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3E3935"/>
        </w:rPr>
        <w:t>UNITED STATES</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3E3935"/>
        </w:rPr>
        <w:t>SECURITIES AND EXCHANGE COMMISSION</w:t>
      </w:r>
    </w:p>
    <w:p>
      <w:pPr>
        <w:jc w:val="center"/>
        <w:ind w:right="-139"/>
        <w:spacing w:after="0"/>
        <w:rPr>
          <w:sz w:val="20"/>
          <w:szCs w:val="20"/>
          <w:color w:val="auto"/>
        </w:rPr>
      </w:pPr>
      <w:r>
        <w:rPr>
          <w:rFonts w:ascii="Arial" w:cs="Arial" w:eastAsia="Arial" w:hAnsi="Arial"/>
          <w:sz w:val="14"/>
          <w:szCs w:val="14"/>
          <w:color w:val="3E3935"/>
        </w:rPr>
        <w:t>Washington, D.C. 20549</w:t>
      </w:r>
    </w:p>
    <w:p>
      <w:pPr>
        <w:spacing w:after="0" w:line="18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3E3935"/>
        </w:rPr>
        <w:t>SCHEDULE 14A</w:t>
      </w: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3E3935"/>
        </w:rPr>
        <w:t>Proxy Statement Pursuant to Section 14(a) of the Securities</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3E3935"/>
        </w:rPr>
        <w:t>Exchange Act of 1934</w:t>
      </w:r>
    </w:p>
    <w:p>
      <w:pPr>
        <w:spacing w:after="0" w:line="175" w:lineRule="exact"/>
        <w:rPr>
          <w:sz w:val="24"/>
          <w:szCs w:val="24"/>
          <w:color w:val="auto"/>
        </w:rPr>
      </w:pPr>
    </w:p>
    <w:p>
      <w:pPr>
        <w:ind w:left="2280"/>
        <w:spacing w:after="0" w:line="150" w:lineRule="exact"/>
        <w:tabs>
          <w:tab w:leader="none" w:pos="6360" w:val="left"/>
        </w:tabs>
        <w:rPr>
          <w:sz w:val="20"/>
          <w:szCs w:val="20"/>
          <w:color w:val="auto"/>
        </w:rPr>
      </w:pPr>
      <w:r>
        <w:rPr>
          <w:rFonts w:ascii="MS PGothic" w:cs="MS PGothic" w:eastAsia="MS PGothic" w:hAnsi="MS PGothic"/>
          <w:sz w:val="13"/>
          <w:szCs w:val="13"/>
          <w:color w:val="3E3935"/>
        </w:rPr>
        <w:t>☑</w:t>
      </w:r>
      <w:r>
        <w:rPr>
          <w:rFonts w:ascii="Arial" w:cs="Arial" w:eastAsia="Arial" w:hAnsi="Arial"/>
          <w:sz w:val="13"/>
          <w:szCs w:val="13"/>
          <w:color w:val="3E3935"/>
        </w:rPr>
        <w:t xml:space="preserve"> Filed by the Registrant</w:t>
      </w:r>
      <w:r>
        <w:rPr>
          <w:sz w:val="20"/>
          <w:szCs w:val="20"/>
          <w:color w:val="auto"/>
        </w:rPr>
        <w:tab/>
      </w:r>
      <w:r>
        <w:rPr>
          <w:rFonts w:ascii="MS PGothic" w:cs="MS PGothic" w:eastAsia="MS PGothic" w:hAnsi="MS PGothic"/>
          <w:sz w:val="13"/>
          <w:szCs w:val="13"/>
          <w:color w:val="3E3935"/>
        </w:rPr>
        <w:t xml:space="preserve">☐ </w:t>
      </w:r>
      <w:r>
        <w:rPr>
          <w:rFonts w:ascii="Arial" w:cs="Arial" w:eastAsia="Arial" w:hAnsi="Arial"/>
          <w:sz w:val="13"/>
          <w:szCs w:val="13"/>
          <w:color w:val="3E3935"/>
        </w:rPr>
        <w:t>Filed by a Party other than the Registrant</w:t>
      </w:r>
    </w:p>
    <w:p>
      <w:pPr>
        <w:spacing w:after="0" w:line="266" w:lineRule="exact"/>
        <w:rPr>
          <w:sz w:val="24"/>
          <w:szCs w:val="24"/>
          <w:color w:val="auto"/>
        </w:rPr>
      </w:pPr>
    </w:p>
    <w:p>
      <w:pPr>
        <w:ind w:left="320"/>
        <w:spacing w:after="0"/>
        <w:rPr>
          <w:sz w:val="20"/>
          <w:szCs w:val="20"/>
          <w:color w:val="auto"/>
        </w:rPr>
      </w:pPr>
      <w:r>
        <w:rPr>
          <w:rFonts w:ascii="Arial" w:cs="Arial" w:eastAsia="Arial" w:hAnsi="Arial"/>
          <w:sz w:val="21"/>
          <w:szCs w:val="21"/>
          <w:b w:val="1"/>
          <w:bCs w:val="1"/>
          <w:color w:val="3E3935"/>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38010" cy="976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8010" cy="976630"/>
                    </a:xfrm>
                    <a:prstGeom prst="rect">
                      <a:avLst/>
                    </a:prstGeom>
                    <a:noFill/>
                  </pic:spPr>
                </pic:pic>
              </a:graphicData>
            </a:graphic>
          </wp:anchor>
        </w:drawing>
      </w:r>
    </w:p>
    <w:p>
      <w:pPr>
        <w:spacing w:after="0" w:line="43" w:lineRule="exact"/>
        <w:rPr>
          <w:sz w:val="24"/>
          <w:szCs w:val="24"/>
          <w:color w:val="auto"/>
        </w:rPr>
      </w:pPr>
    </w:p>
    <w:p>
      <w:pPr>
        <w:ind w:left="660" w:hanging="337"/>
        <w:spacing w:after="0"/>
        <w:tabs>
          <w:tab w:leader="none" w:pos="66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Preliminary Proxy Statement</w:t>
      </w:r>
    </w:p>
    <w:p>
      <w:pPr>
        <w:spacing w:after="0" w:line="83" w:lineRule="exact"/>
        <w:rPr>
          <w:rFonts w:ascii="MS PGothic" w:cs="MS PGothic" w:eastAsia="MS PGothic" w:hAnsi="MS PGothic"/>
          <w:sz w:val="18"/>
          <w:szCs w:val="18"/>
          <w:color w:val="3E3935"/>
        </w:rPr>
      </w:pPr>
    </w:p>
    <w:p>
      <w:pPr>
        <w:ind w:left="320" w:right="4140" w:firstLine="3"/>
        <w:spacing w:after="0" w:line="228" w:lineRule="exact"/>
        <w:tabs>
          <w:tab w:leader="none" w:pos="658"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 xml:space="preserve">CONFIDENTIAL, FOR USE OF THE COMMISSION ONLY (AS PERMITTED BY RULE 14a-6(e)(2)) </w:t>
      </w:r>
      <w:r>
        <w:rPr>
          <w:rFonts w:ascii="MS PGothic" w:cs="MS PGothic" w:eastAsia="MS PGothic" w:hAnsi="MS PGothic"/>
          <w:sz w:val="17"/>
          <w:szCs w:val="17"/>
          <w:color w:val="3E3935"/>
        </w:rPr>
        <w:t>☑</w:t>
      </w:r>
      <w:r>
        <w:rPr>
          <w:rFonts w:ascii="Arial" w:cs="Arial" w:eastAsia="Arial" w:hAnsi="Arial"/>
          <w:sz w:val="14"/>
          <w:szCs w:val="14"/>
          <w:color w:val="3E3935"/>
        </w:rPr>
        <w:t xml:space="preserve"> Definitive Proxy Statement</w:t>
      </w:r>
    </w:p>
    <w:p>
      <w:pPr>
        <w:spacing w:after="0" w:line="40" w:lineRule="exact"/>
        <w:rPr>
          <w:rFonts w:ascii="MS PGothic" w:cs="MS PGothic" w:eastAsia="MS PGothic" w:hAnsi="MS PGothic"/>
          <w:sz w:val="18"/>
          <w:szCs w:val="18"/>
          <w:color w:val="3E3935"/>
        </w:rPr>
      </w:pPr>
    </w:p>
    <w:p>
      <w:pPr>
        <w:ind w:left="660" w:hanging="337"/>
        <w:spacing w:after="0"/>
        <w:tabs>
          <w:tab w:leader="none" w:pos="66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Definitive Additional Materials</w:t>
      </w:r>
    </w:p>
    <w:p>
      <w:pPr>
        <w:spacing w:after="0" w:line="69" w:lineRule="exact"/>
        <w:rPr>
          <w:rFonts w:ascii="MS PGothic" w:cs="MS PGothic" w:eastAsia="MS PGothic" w:hAnsi="MS PGothic"/>
          <w:sz w:val="18"/>
          <w:szCs w:val="18"/>
          <w:color w:val="3E3935"/>
        </w:rPr>
      </w:pPr>
    </w:p>
    <w:p>
      <w:pPr>
        <w:ind w:left="660" w:hanging="337"/>
        <w:spacing w:after="0"/>
        <w:tabs>
          <w:tab w:leader="none" w:pos="66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Soliciting Material under ss.240.14a-12</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30"/>
          <w:szCs w:val="30"/>
          <w:b w:val="1"/>
          <w:bCs w:val="1"/>
          <w:color w:val="0071CE"/>
        </w:rPr>
        <w:t>GENERAL MOTORS COMPANY</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3E3935"/>
        </w:rPr>
        <w:t>300 Renaissance Center, Detroit, Michigan 48265</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4"/>
          <w:szCs w:val="14"/>
          <w:i w:val="1"/>
          <w:iCs w:val="1"/>
          <w:color w:val="3E3935"/>
        </w:rPr>
        <w:t>(Name of Registrant as Specified In Its Charter)</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14"/>
          <w:szCs w:val="14"/>
          <w:i w:val="1"/>
          <w:iCs w:val="1"/>
          <w:color w:val="3E3935"/>
        </w:rPr>
        <w:t>(Name of Person(s) Filing Proxy Statement, if other than the Registrant)</w:t>
      </w:r>
    </w:p>
    <w:p>
      <w:pPr>
        <w:spacing w:after="0" w:line="230" w:lineRule="exact"/>
        <w:rPr>
          <w:sz w:val="24"/>
          <w:szCs w:val="24"/>
          <w:color w:val="auto"/>
        </w:rPr>
      </w:pPr>
    </w:p>
    <w:p>
      <w:pPr>
        <w:ind w:left="320"/>
        <w:spacing w:after="0"/>
        <w:rPr>
          <w:sz w:val="20"/>
          <w:szCs w:val="20"/>
          <w:color w:val="auto"/>
        </w:rPr>
      </w:pPr>
      <w:r>
        <w:rPr>
          <w:rFonts w:ascii="Arial" w:cs="Arial" w:eastAsia="Arial" w:hAnsi="Arial"/>
          <w:sz w:val="21"/>
          <w:szCs w:val="21"/>
          <w:b w:val="1"/>
          <w:bCs w:val="1"/>
          <w:color w:val="3E3935"/>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38010" cy="2242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8010" cy="2242185"/>
                    </a:xfrm>
                    <a:prstGeom prst="rect">
                      <a:avLst/>
                    </a:prstGeom>
                    <a:noFill/>
                  </pic:spPr>
                </pic:pic>
              </a:graphicData>
            </a:graphic>
          </wp:anchor>
        </w:drawing>
      </w:r>
    </w:p>
    <w:p>
      <w:pPr>
        <w:spacing w:after="0" w:line="12" w:lineRule="exact"/>
        <w:rPr>
          <w:sz w:val="24"/>
          <w:szCs w:val="24"/>
          <w:color w:val="auto"/>
        </w:rPr>
      </w:pPr>
    </w:p>
    <w:tbl>
      <w:tblPr>
        <w:tblLayout w:type="fixed"/>
        <w:tblInd w:w="160" w:type="dxa"/>
        <w:tblCellMar>
          <w:top w:w="0" w:type="dxa"/>
          <w:left w:w="0" w:type="dxa"/>
          <w:bottom w:w="0" w:type="dxa"/>
          <w:right w:w="0" w:type="dxa"/>
        </w:tblCellMar>
      </w:tblPr>
      <w:tr>
        <w:trPr>
          <w:trHeight w:val="225"/>
        </w:trPr>
        <w:tc>
          <w:tcPr>
            <w:tcW w:w="460" w:type="dxa"/>
            <w:vAlign w:val="bottom"/>
            <w:tcBorders>
              <w:top w:val="single" w:sz="8" w:color="3E3935"/>
              <w:right w:val="single" w:sz="8" w:color="3E3935"/>
            </w:tcBorders>
          </w:tcPr>
          <w:p>
            <w:pPr>
              <w:ind w:left="200"/>
              <w:spacing w:after="0" w:line="141" w:lineRule="exact"/>
              <w:rPr>
                <w:sz w:val="20"/>
                <w:szCs w:val="20"/>
                <w:color w:val="auto"/>
              </w:rPr>
            </w:pPr>
            <w:r>
              <w:rPr>
                <w:rFonts w:ascii="MS PGothic" w:cs="MS PGothic" w:eastAsia="MS PGothic" w:hAnsi="MS PGothic"/>
                <w:sz w:val="14"/>
                <w:szCs w:val="14"/>
                <w:color w:val="3E3935"/>
              </w:rPr>
              <w:t>☑</w:t>
            </w:r>
          </w:p>
        </w:tc>
        <w:tc>
          <w:tcPr>
            <w:tcW w:w="10480" w:type="dxa"/>
            <w:vAlign w:val="bottom"/>
            <w:tcBorders>
              <w:top w:val="single" w:sz="8" w:color="3E3935"/>
            </w:tcBorders>
            <w:gridSpan w:val="2"/>
          </w:tcPr>
          <w:p>
            <w:pPr>
              <w:ind w:left="100"/>
              <w:spacing w:after="0"/>
              <w:rPr>
                <w:sz w:val="20"/>
                <w:szCs w:val="20"/>
                <w:color w:val="auto"/>
              </w:rPr>
            </w:pPr>
            <w:r>
              <w:rPr>
                <w:rFonts w:ascii="Arial" w:cs="Arial" w:eastAsia="Arial" w:hAnsi="Arial"/>
                <w:sz w:val="14"/>
                <w:szCs w:val="14"/>
                <w:b w:val="1"/>
                <w:bCs w:val="1"/>
                <w:color w:val="3E3935"/>
              </w:rPr>
              <w:t>No fee required.</w:t>
            </w:r>
          </w:p>
        </w:tc>
      </w:tr>
      <w:tr>
        <w:trPr>
          <w:trHeight w:val="22"/>
        </w:trPr>
        <w:tc>
          <w:tcPr>
            <w:tcW w:w="460" w:type="dxa"/>
            <w:vAlign w:val="bottom"/>
            <w:tcBorders>
              <w:bottom w:val="single" w:sz="8" w:color="3E3935"/>
              <w:right w:val="single" w:sz="8" w:color="3E3935"/>
            </w:tcBorders>
          </w:tcPr>
          <w:p>
            <w:pPr>
              <w:spacing w:after="0" w:line="20" w:lineRule="exact"/>
              <w:rPr>
                <w:sz w:val="1"/>
                <w:szCs w:val="1"/>
                <w:color w:val="auto"/>
              </w:rPr>
            </w:pPr>
          </w:p>
        </w:tc>
        <w:tc>
          <w:tcPr>
            <w:tcW w:w="10480" w:type="dxa"/>
            <w:vAlign w:val="bottom"/>
            <w:tcBorders>
              <w:bottom w:val="single" w:sz="8" w:color="3E3935"/>
            </w:tcBorders>
            <w:gridSpan w:val="2"/>
          </w:tcPr>
          <w:p>
            <w:pPr>
              <w:spacing w:after="0" w:line="20" w:lineRule="exact"/>
              <w:rPr>
                <w:sz w:val="1"/>
                <w:szCs w:val="1"/>
                <w:color w:val="auto"/>
              </w:rPr>
            </w:pPr>
          </w:p>
        </w:tc>
      </w:tr>
      <w:tr>
        <w:trPr>
          <w:trHeight w:val="225"/>
        </w:trPr>
        <w:tc>
          <w:tcPr>
            <w:tcW w:w="460" w:type="dxa"/>
            <w:vAlign w:val="bottom"/>
            <w:tcBorders>
              <w:right w:val="single" w:sz="8" w:color="3E3935"/>
            </w:tcBorders>
          </w:tcPr>
          <w:p>
            <w:pPr>
              <w:ind w:left="200"/>
              <w:spacing w:after="0" w:line="141" w:lineRule="exact"/>
              <w:rPr>
                <w:sz w:val="20"/>
                <w:szCs w:val="20"/>
                <w:color w:val="auto"/>
              </w:rPr>
            </w:pPr>
            <w:r>
              <w:rPr>
                <w:rFonts w:ascii="MS PGothic" w:cs="MS PGothic" w:eastAsia="MS PGothic" w:hAnsi="MS PGothic"/>
                <w:sz w:val="14"/>
                <w:szCs w:val="14"/>
                <w:color w:val="3E3935"/>
              </w:rPr>
              <w:t>☐</w:t>
            </w:r>
          </w:p>
        </w:tc>
        <w:tc>
          <w:tcPr>
            <w:tcW w:w="10480" w:type="dxa"/>
            <w:vAlign w:val="bottom"/>
            <w:gridSpan w:val="2"/>
          </w:tcPr>
          <w:p>
            <w:pPr>
              <w:ind w:left="100"/>
              <w:spacing w:after="0"/>
              <w:rPr>
                <w:sz w:val="20"/>
                <w:szCs w:val="20"/>
                <w:color w:val="auto"/>
              </w:rPr>
            </w:pPr>
            <w:r>
              <w:rPr>
                <w:rFonts w:ascii="Arial" w:cs="Arial" w:eastAsia="Arial" w:hAnsi="Arial"/>
                <w:sz w:val="14"/>
                <w:szCs w:val="14"/>
                <w:b w:val="1"/>
                <w:bCs w:val="1"/>
                <w:color w:val="3E3935"/>
              </w:rPr>
              <w:t>Fee computed on table below per Exchange Act Rules 14a-6(i)(1) and 0-11.</w:t>
            </w:r>
          </w:p>
        </w:tc>
      </w:tr>
      <w:tr>
        <w:trPr>
          <w:trHeight w:val="22"/>
        </w:trPr>
        <w:tc>
          <w:tcPr>
            <w:tcW w:w="460" w:type="dxa"/>
            <w:vAlign w:val="bottom"/>
            <w:tcBorders>
              <w:bottom w:val="single" w:sz="8" w:color="3E3935"/>
              <w:right w:val="single" w:sz="8" w:color="3E3935"/>
            </w:tcBorders>
          </w:tcPr>
          <w:p>
            <w:pPr>
              <w:spacing w:after="0" w:line="20" w:lineRule="exact"/>
              <w:rPr>
                <w:sz w:val="1"/>
                <w:szCs w:val="1"/>
                <w:color w:val="auto"/>
              </w:rPr>
            </w:pPr>
          </w:p>
        </w:tc>
        <w:tc>
          <w:tcPr>
            <w:tcW w:w="320" w:type="dxa"/>
            <w:vAlign w:val="bottom"/>
            <w:tcBorders>
              <w:bottom w:val="single" w:sz="8" w:color="3E3935"/>
            </w:tcBorders>
          </w:tcPr>
          <w:p>
            <w:pPr>
              <w:spacing w:after="0" w:line="20" w:lineRule="exact"/>
              <w:rPr>
                <w:sz w:val="1"/>
                <w:szCs w:val="1"/>
                <w:color w:val="auto"/>
              </w:rPr>
            </w:pPr>
          </w:p>
        </w:tc>
        <w:tc>
          <w:tcPr>
            <w:tcW w:w="10160" w:type="dxa"/>
            <w:vAlign w:val="bottom"/>
            <w:tcBorders>
              <w:bottom w:val="single" w:sz="8" w:color="3E3935"/>
            </w:tcBorders>
          </w:tcPr>
          <w:p>
            <w:pPr>
              <w:spacing w:after="0" w:line="20" w:lineRule="exact"/>
              <w:rPr>
                <w:sz w:val="1"/>
                <w:szCs w:val="1"/>
                <w:color w:val="auto"/>
              </w:rPr>
            </w:pPr>
          </w:p>
        </w:tc>
      </w:tr>
      <w:tr>
        <w:trPr>
          <w:trHeight w:val="209"/>
        </w:trPr>
        <w:tc>
          <w:tcPr>
            <w:tcW w:w="460" w:type="dxa"/>
            <w:vAlign w:val="bottom"/>
            <w:tcBorders>
              <w:right w:val="single" w:sz="8" w:color="3E3935"/>
            </w:tcBorders>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(1)</w:t>
            </w:r>
          </w:p>
        </w:tc>
        <w:tc>
          <w:tcPr>
            <w:tcW w:w="10160" w:type="dxa"/>
            <w:vAlign w:val="bottom"/>
          </w:tcPr>
          <w:p>
            <w:pPr>
              <w:ind w:left="100"/>
              <w:spacing w:after="0"/>
              <w:rPr>
                <w:sz w:val="20"/>
                <w:szCs w:val="20"/>
                <w:color w:val="auto"/>
              </w:rPr>
            </w:pPr>
            <w:r>
              <w:rPr>
                <w:rFonts w:ascii="Arial" w:cs="Arial" w:eastAsia="Arial" w:hAnsi="Arial"/>
                <w:sz w:val="14"/>
                <w:szCs w:val="14"/>
                <w:color w:val="3E3935"/>
              </w:rPr>
              <w:t>Title of each class of securities to which transaction applies:</w:t>
            </w:r>
          </w:p>
        </w:tc>
      </w:tr>
      <w:tr>
        <w:trPr>
          <w:trHeight w:val="201"/>
        </w:trPr>
        <w:tc>
          <w:tcPr>
            <w:tcW w:w="460" w:type="dxa"/>
            <w:vAlign w:val="bottom"/>
            <w:tcBorders>
              <w:right w:val="single" w:sz="8" w:color="3E3935"/>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(2)</w:t>
            </w:r>
          </w:p>
        </w:tc>
        <w:tc>
          <w:tcPr>
            <w:tcW w:w="10160" w:type="dxa"/>
            <w:vAlign w:val="bottom"/>
          </w:tcPr>
          <w:p>
            <w:pPr>
              <w:ind w:left="60"/>
              <w:spacing w:after="0"/>
              <w:rPr>
                <w:sz w:val="20"/>
                <w:szCs w:val="20"/>
                <w:color w:val="auto"/>
              </w:rPr>
            </w:pPr>
            <w:r>
              <w:rPr>
                <w:rFonts w:ascii="Arial" w:cs="Arial" w:eastAsia="Arial" w:hAnsi="Arial"/>
                <w:sz w:val="14"/>
                <w:szCs w:val="14"/>
                <w:color w:val="3E3935"/>
              </w:rPr>
              <w:t>Aggregate number of securities to which transaction applies:</w:t>
            </w:r>
          </w:p>
        </w:tc>
      </w:tr>
      <w:tr>
        <w:trPr>
          <w:trHeight w:val="190"/>
        </w:trPr>
        <w:tc>
          <w:tcPr>
            <w:tcW w:w="460" w:type="dxa"/>
            <w:vAlign w:val="bottom"/>
            <w:tcBorders>
              <w:right w:val="single" w:sz="8" w:color="3E3935"/>
            </w:tcBorders>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(3)</w:t>
            </w:r>
          </w:p>
        </w:tc>
        <w:tc>
          <w:tcPr>
            <w:tcW w:w="10160" w:type="dxa"/>
            <w:vAlign w:val="bottom"/>
          </w:tcPr>
          <w:p>
            <w:pPr>
              <w:ind w:left="60"/>
              <w:spacing w:after="0"/>
              <w:rPr>
                <w:sz w:val="20"/>
                <w:szCs w:val="20"/>
                <w:color w:val="auto"/>
              </w:rPr>
            </w:pPr>
            <w:r>
              <w:rPr>
                <w:rFonts w:ascii="Arial" w:cs="Arial" w:eastAsia="Arial" w:hAnsi="Arial"/>
                <w:sz w:val="14"/>
                <w:szCs w:val="14"/>
                <w:color w:val="3E3935"/>
              </w:rPr>
              <w:t>Per unit price or other underlying value of transaction computed pursuant to Exchange Act Rule 0-11 (set forth the amount on which the filing fee is calculated</w:t>
            </w:r>
          </w:p>
        </w:tc>
      </w:tr>
      <w:tr>
        <w:trPr>
          <w:trHeight w:val="171"/>
        </w:trPr>
        <w:tc>
          <w:tcPr>
            <w:tcW w:w="460" w:type="dxa"/>
            <w:vAlign w:val="bottom"/>
            <w:tcBorders>
              <w:right w:val="single" w:sz="8" w:color="3E3935"/>
            </w:tcBorders>
          </w:tcPr>
          <w:p>
            <w:pPr>
              <w:spacing w:after="0"/>
              <w:rPr>
                <w:sz w:val="14"/>
                <w:szCs w:val="14"/>
                <w:color w:val="auto"/>
              </w:rPr>
            </w:pPr>
          </w:p>
        </w:tc>
        <w:tc>
          <w:tcPr>
            <w:tcW w:w="320" w:type="dxa"/>
            <w:vAlign w:val="bottom"/>
          </w:tcPr>
          <w:p>
            <w:pPr>
              <w:spacing w:after="0"/>
              <w:rPr>
                <w:sz w:val="14"/>
                <w:szCs w:val="14"/>
                <w:color w:val="auto"/>
              </w:rPr>
            </w:pPr>
          </w:p>
        </w:tc>
        <w:tc>
          <w:tcPr>
            <w:tcW w:w="10160" w:type="dxa"/>
            <w:vAlign w:val="bottom"/>
          </w:tcPr>
          <w:p>
            <w:pPr>
              <w:ind w:left="60"/>
              <w:spacing w:after="0"/>
              <w:rPr>
                <w:sz w:val="20"/>
                <w:szCs w:val="20"/>
                <w:color w:val="auto"/>
              </w:rPr>
            </w:pPr>
            <w:r>
              <w:rPr>
                <w:rFonts w:ascii="Arial" w:cs="Arial" w:eastAsia="Arial" w:hAnsi="Arial"/>
                <w:sz w:val="14"/>
                <w:szCs w:val="14"/>
                <w:color w:val="3E3935"/>
              </w:rPr>
              <w:t>and state how it was determined):</w:t>
            </w:r>
          </w:p>
        </w:tc>
      </w:tr>
      <w:tr>
        <w:trPr>
          <w:trHeight w:val="201"/>
        </w:trPr>
        <w:tc>
          <w:tcPr>
            <w:tcW w:w="460" w:type="dxa"/>
            <w:vAlign w:val="bottom"/>
            <w:tcBorders>
              <w:right w:val="single" w:sz="8" w:color="3E3935"/>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(4)</w:t>
            </w:r>
          </w:p>
        </w:tc>
        <w:tc>
          <w:tcPr>
            <w:tcW w:w="10160" w:type="dxa"/>
            <w:vAlign w:val="bottom"/>
          </w:tcPr>
          <w:p>
            <w:pPr>
              <w:ind w:left="60"/>
              <w:spacing w:after="0"/>
              <w:rPr>
                <w:sz w:val="20"/>
                <w:szCs w:val="20"/>
                <w:color w:val="auto"/>
              </w:rPr>
            </w:pPr>
            <w:r>
              <w:rPr>
                <w:rFonts w:ascii="Arial" w:cs="Arial" w:eastAsia="Arial" w:hAnsi="Arial"/>
                <w:sz w:val="14"/>
                <w:szCs w:val="14"/>
                <w:color w:val="3E3935"/>
              </w:rPr>
              <w:t>Proposed maximum aggregate value of transaction:</w:t>
            </w:r>
          </w:p>
        </w:tc>
      </w:tr>
      <w:tr>
        <w:trPr>
          <w:trHeight w:val="206"/>
        </w:trPr>
        <w:tc>
          <w:tcPr>
            <w:tcW w:w="460" w:type="dxa"/>
            <w:vAlign w:val="bottom"/>
            <w:tcBorders>
              <w:bottom w:val="single" w:sz="8" w:color="3E3935"/>
              <w:right w:val="single" w:sz="8" w:color="3E3935"/>
            </w:tcBorders>
          </w:tcPr>
          <w:p>
            <w:pPr>
              <w:spacing w:after="0"/>
              <w:rPr>
                <w:sz w:val="17"/>
                <w:szCs w:val="17"/>
                <w:color w:val="auto"/>
              </w:rPr>
            </w:pPr>
          </w:p>
        </w:tc>
        <w:tc>
          <w:tcPr>
            <w:tcW w:w="320" w:type="dxa"/>
            <w:vAlign w:val="bottom"/>
            <w:tcBorders>
              <w:bottom w:val="single" w:sz="8" w:color="3E3935"/>
            </w:tcBorders>
          </w:tcPr>
          <w:p>
            <w:pPr>
              <w:ind w:left="100"/>
              <w:spacing w:after="0"/>
              <w:rPr>
                <w:sz w:val="20"/>
                <w:szCs w:val="20"/>
                <w:color w:val="auto"/>
              </w:rPr>
            </w:pPr>
            <w:r>
              <w:rPr>
                <w:rFonts w:ascii="Arial" w:cs="Arial" w:eastAsia="Arial" w:hAnsi="Arial"/>
                <w:sz w:val="14"/>
                <w:szCs w:val="14"/>
                <w:color w:val="3E3935"/>
              </w:rPr>
              <w:t>(5)</w:t>
            </w:r>
          </w:p>
        </w:tc>
        <w:tc>
          <w:tcPr>
            <w:tcW w:w="10160" w:type="dxa"/>
            <w:vAlign w:val="bottom"/>
            <w:tcBorders>
              <w:bottom w:val="single" w:sz="8" w:color="3E3935"/>
            </w:tcBorders>
          </w:tcPr>
          <w:p>
            <w:pPr>
              <w:ind w:left="60"/>
              <w:spacing w:after="0"/>
              <w:rPr>
                <w:sz w:val="20"/>
                <w:szCs w:val="20"/>
                <w:color w:val="auto"/>
              </w:rPr>
            </w:pPr>
            <w:r>
              <w:rPr>
                <w:rFonts w:ascii="Arial" w:cs="Arial" w:eastAsia="Arial" w:hAnsi="Arial"/>
                <w:sz w:val="14"/>
                <w:szCs w:val="14"/>
                <w:color w:val="3E3935"/>
              </w:rPr>
              <w:t>Total fee paid:</w:t>
            </w:r>
          </w:p>
        </w:tc>
      </w:tr>
      <w:tr>
        <w:trPr>
          <w:trHeight w:val="253"/>
        </w:trPr>
        <w:tc>
          <w:tcPr>
            <w:tcW w:w="460" w:type="dxa"/>
            <w:vAlign w:val="bottom"/>
            <w:tcBorders>
              <w:bottom w:val="single" w:sz="8" w:color="3E3935"/>
              <w:right w:val="single" w:sz="8" w:color="3E3935"/>
            </w:tcBorders>
          </w:tcPr>
          <w:p>
            <w:pPr>
              <w:ind w:left="200"/>
              <w:spacing w:after="0" w:line="141" w:lineRule="exact"/>
              <w:rPr>
                <w:sz w:val="20"/>
                <w:szCs w:val="20"/>
                <w:color w:val="auto"/>
              </w:rPr>
            </w:pPr>
            <w:r>
              <w:rPr>
                <w:rFonts w:ascii="MS PGothic" w:cs="MS PGothic" w:eastAsia="MS PGothic" w:hAnsi="MS PGothic"/>
                <w:sz w:val="14"/>
                <w:szCs w:val="14"/>
                <w:color w:val="3E3935"/>
              </w:rPr>
              <w:t>☐</w:t>
            </w:r>
          </w:p>
        </w:tc>
        <w:tc>
          <w:tcPr>
            <w:tcW w:w="10480" w:type="dxa"/>
            <w:vAlign w:val="bottom"/>
            <w:tcBorders>
              <w:bottom w:val="single" w:sz="8" w:color="3E3935"/>
            </w:tcBorders>
            <w:gridSpan w:val="2"/>
          </w:tcPr>
          <w:p>
            <w:pPr>
              <w:ind w:left="100"/>
              <w:spacing w:after="0"/>
              <w:rPr>
                <w:sz w:val="20"/>
                <w:szCs w:val="20"/>
                <w:color w:val="auto"/>
              </w:rPr>
            </w:pPr>
            <w:r>
              <w:rPr>
                <w:rFonts w:ascii="Arial" w:cs="Arial" w:eastAsia="Arial" w:hAnsi="Arial"/>
                <w:sz w:val="14"/>
                <w:szCs w:val="14"/>
                <w:b w:val="1"/>
                <w:bCs w:val="1"/>
                <w:color w:val="3E3935"/>
              </w:rPr>
              <w:t>Fee paid previously with preliminary materials.</w:t>
            </w:r>
          </w:p>
        </w:tc>
      </w:tr>
      <w:tr>
        <w:trPr>
          <w:trHeight w:val="181"/>
        </w:trPr>
        <w:tc>
          <w:tcPr>
            <w:tcW w:w="460" w:type="dxa"/>
            <w:vAlign w:val="bottom"/>
            <w:tcBorders>
              <w:right w:val="single" w:sz="8" w:color="3E3935"/>
            </w:tcBorders>
          </w:tcPr>
          <w:p>
            <w:pPr>
              <w:ind w:left="200"/>
              <w:spacing w:after="0" w:line="141" w:lineRule="exact"/>
              <w:rPr>
                <w:sz w:val="20"/>
                <w:szCs w:val="20"/>
                <w:color w:val="auto"/>
              </w:rPr>
            </w:pPr>
            <w:r>
              <w:rPr>
                <w:rFonts w:ascii="MS PGothic" w:cs="MS PGothic" w:eastAsia="MS PGothic" w:hAnsi="MS PGothic"/>
                <w:sz w:val="14"/>
                <w:szCs w:val="14"/>
                <w:color w:val="3E3935"/>
              </w:rPr>
              <w:t>☐</w:t>
            </w:r>
          </w:p>
        </w:tc>
        <w:tc>
          <w:tcPr>
            <w:tcW w:w="10480" w:type="dxa"/>
            <w:vAlign w:val="bottom"/>
            <w:gridSpan w:val="2"/>
          </w:tcPr>
          <w:p>
            <w:pPr>
              <w:ind w:left="100"/>
              <w:spacing w:after="0"/>
              <w:rPr>
                <w:sz w:val="20"/>
                <w:szCs w:val="20"/>
                <w:color w:val="auto"/>
              </w:rPr>
            </w:pPr>
            <w:r>
              <w:rPr>
                <w:rFonts w:ascii="Arial" w:cs="Arial" w:eastAsia="Arial" w:hAnsi="Arial"/>
                <w:sz w:val="14"/>
                <w:szCs w:val="14"/>
                <w:b w:val="1"/>
                <w:bCs w:val="1"/>
                <w:color w:val="3E3935"/>
              </w:rPr>
              <w:t>Check box if any part of the fee is offset as provided by Exchange Act Rule 0-11(a)(2) and identify the filing for which the offsetting fee was paid</w:t>
            </w:r>
          </w:p>
        </w:tc>
      </w:tr>
      <w:tr>
        <w:trPr>
          <w:trHeight w:val="195"/>
        </w:trPr>
        <w:tc>
          <w:tcPr>
            <w:tcW w:w="460" w:type="dxa"/>
            <w:vAlign w:val="bottom"/>
            <w:tcBorders>
              <w:bottom w:val="single" w:sz="8" w:color="3E3935"/>
              <w:right w:val="single" w:sz="8" w:color="3E3935"/>
            </w:tcBorders>
          </w:tcPr>
          <w:p>
            <w:pPr>
              <w:spacing w:after="0"/>
              <w:rPr>
                <w:sz w:val="16"/>
                <w:szCs w:val="16"/>
                <w:color w:val="auto"/>
              </w:rPr>
            </w:pPr>
          </w:p>
        </w:tc>
        <w:tc>
          <w:tcPr>
            <w:tcW w:w="10480" w:type="dxa"/>
            <w:vAlign w:val="bottom"/>
            <w:tcBorders>
              <w:bottom w:val="single" w:sz="8" w:color="3E3935"/>
            </w:tcBorders>
            <w:gridSpan w:val="2"/>
          </w:tcPr>
          <w:p>
            <w:pPr>
              <w:ind w:left="100"/>
              <w:spacing w:after="0"/>
              <w:rPr>
                <w:sz w:val="20"/>
                <w:szCs w:val="20"/>
                <w:color w:val="auto"/>
              </w:rPr>
            </w:pPr>
            <w:r>
              <w:rPr>
                <w:rFonts w:ascii="Arial" w:cs="Arial" w:eastAsia="Arial" w:hAnsi="Arial"/>
                <w:sz w:val="14"/>
                <w:szCs w:val="14"/>
                <w:b w:val="1"/>
                <w:bCs w:val="1"/>
                <w:color w:val="3E3935"/>
              </w:rPr>
              <w:t>previously. Identify the previous filing by registration statement number, or the Form or Schedule and the date of its filing.</w:t>
            </w:r>
          </w:p>
        </w:tc>
      </w:tr>
      <w:tr>
        <w:trPr>
          <w:trHeight w:val="215"/>
        </w:trPr>
        <w:tc>
          <w:tcPr>
            <w:tcW w:w="460" w:type="dxa"/>
            <w:vAlign w:val="bottom"/>
            <w:tcBorders>
              <w:right w:val="single" w:sz="8" w:color="3E3935"/>
            </w:tcBorders>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(1)</w:t>
            </w:r>
          </w:p>
        </w:tc>
        <w:tc>
          <w:tcPr>
            <w:tcW w:w="10160" w:type="dxa"/>
            <w:vAlign w:val="bottom"/>
          </w:tcPr>
          <w:p>
            <w:pPr>
              <w:ind w:left="80"/>
              <w:spacing w:after="0"/>
              <w:rPr>
                <w:sz w:val="20"/>
                <w:szCs w:val="20"/>
                <w:color w:val="auto"/>
              </w:rPr>
            </w:pPr>
            <w:r>
              <w:rPr>
                <w:rFonts w:ascii="Arial" w:cs="Arial" w:eastAsia="Arial" w:hAnsi="Arial"/>
                <w:sz w:val="14"/>
                <w:szCs w:val="14"/>
                <w:color w:val="3E3935"/>
              </w:rPr>
              <w:t>Amount Previously Paid:</w:t>
            </w:r>
          </w:p>
        </w:tc>
      </w:tr>
      <w:tr>
        <w:trPr>
          <w:trHeight w:val="201"/>
        </w:trPr>
        <w:tc>
          <w:tcPr>
            <w:tcW w:w="460" w:type="dxa"/>
            <w:vAlign w:val="bottom"/>
            <w:tcBorders>
              <w:right w:val="single" w:sz="8" w:color="3E3935"/>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(2)</w:t>
            </w:r>
          </w:p>
        </w:tc>
        <w:tc>
          <w:tcPr>
            <w:tcW w:w="10160" w:type="dxa"/>
            <w:vAlign w:val="bottom"/>
          </w:tcPr>
          <w:p>
            <w:pPr>
              <w:ind w:left="60"/>
              <w:spacing w:after="0"/>
              <w:rPr>
                <w:sz w:val="20"/>
                <w:szCs w:val="20"/>
                <w:color w:val="auto"/>
              </w:rPr>
            </w:pPr>
            <w:r>
              <w:rPr>
                <w:rFonts w:ascii="Arial" w:cs="Arial" w:eastAsia="Arial" w:hAnsi="Arial"/>
                <w:sz w:val="14"/>
                <w:szCs w:val="14"/>
                <w:color w:val="3E3935"/>
              </w:rPr>
              <w:t>Form, Schedule or Registration Statement No.:</w:t>
            </w:r>
          </w:p>
        </w:tc>
      </w:tr>
      <w:tr>
        <w:trPr>
          <w:trHeight w:val="201"/>
        </w:trPr>
        <w:tc>
          <w:tcPr>
            <w:tcW w:w="460" w:type="dxa"/>
            <w:vAlign w:val="bottom"/>
            <w:tcBorders>
              <w:right w:val="single" w:sz="8" w:color="3E3935"/>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3E3935"/>
              </w:rPr>
              <w:t>(3)</w:t>
            </w:r>
          </w:p>
        </w:tc>
        <w:tc>
          <w:tcPr>
            <w:tcW w:w="10160" w:type="dxa"/>
            <w:vAlign w:val="bottom"/>
          </w:tcPr>
          <w:p>
            <w:pPr>
              <w:ind w:left="60"/>
              <w:spacing w:after="0"/>
              <w:rPr>
                <w:sz w:val="20"/>
                <w:szCs w:val="20"/>
                <w:color w:val="auto"/>
              </w:rPr>
            </w:pPr>
            <w:r>
              <w:rPr>
                <w:rFonts w:ascii="Arial" w:cs="Arial" w:eastAsia="Arial" w:hAnsi="Arial"/>
                <w:sz w:val="14"/>
                <w:szCs w:val="14"/>
                <w:color w:val="3E3935"/>
              </w:rPr>
              <w:t>Filing Party:</w:t>
            </w:r>
          </w:p>
        </w:tc>
      </w:tr>
      <w:tr>
        <w:trPr>
          <w:trHeight w:val="206"/>
        </w:trPr>
        <w:tc>
          <w:tcPr>
            <w:tcW w:w="460" w:type="dxa"/>
            <w:vAlign w:val="bottom"/>
            <w:tcBorders>
              <w:bottom w:val="single" w:sz="8" w:color="3E3935"/>
              <w:right w:val="single" w:sz="8" w:color="3E3935"/>
            </w:tcBorders>
          </w:tcPr>
          <w:p>
            <w:pPr>
              <w:spacing w:after="0"/>
              <w:rPr>
                <w:sz w:val="17"/>
                <w:szCs w:val="17"/>
                <w:color w:val="auto"/>
              </w:rPr>
            </w:pPr>
          </w:p>
        </w:tc>
        <w:tc>
          <w:tcPr>
            <w:tcW w:w="320" w:type="dxa"/>
            <w:vAlign w:val="bottom"/>
            <w:tcBorders>
              <w:bottom w:val="single" w:sz="8" w:color="3E3935"/>
            </w:tcBorders>
          </w:tcPr>
          <w:p>
            <w:pPr>
              <w:ind w:left="100"/>
              <w:spacing w:after="0"/>
              <w:rPr>
                <w:sz w:val="20"/>
                <w:szCs w:val="20"/>
                <w:color w:val="auto"/>
              </w:rPr>
            </w:pPr>
            <w:r>
              <w:rPr>
                <w:rFonts w:ascii="Arial" w:cs="Arial" w:eastAsia="Arial" w:hAnsi="Arial"/>
                <w:sz w:val="14"/>
                <w:szCs w:val="14"/>
                <w:color w:val="3E3935"/>
              </w:rPr>
              <w:t>(4)</w:t>
            </w:r>
          </w:p>
        </w:tc>
        <w:tc>
          <w:tcPr>
            <w:tcW w:w="10160" w:type="dxa"/>
            <w:vAlign w:val="bottom"/>
            <w:tcBorders>
              <w:bottom w:val="single" w:sz="8" w:color="3E3935"/>
            </w:tcBorders>
          </w:tcPr>
          <w:p>
            <w:pPr>
              <w:ind w:left="60"/>
              <w:spacing w:after="0"/>
              <w:rPr>
                <w:sz w:val="20"/>
                <w:szCs w:val="20"/>
                <w:color w:val="auto"/>
              </w:rPr>
            </w:pPr>
            <w:r>
              <w:rPr>
                <w:rFonts w:ascii="Arial" w:cs="Arial" w:eastAsia="Arial" w:hAnsi="Arial"/>
                <w:sz w:val="14"/>
                <w:szCs w:val="14"/>
                <w:color w:val="3E3935"/>
              </w:rPr>
              <w:t>Date Filed:</w:t>
            </w:r>
          </w:p>
        </w:tc>
      </w:tr>
    </w:tbl>
    <w:p>
      <w:pPr>
        <w:sectPr>
          <w:pgSz w:w="11900" w:h="16838" w:orient="portrait"/>
          <w:cols w:equalWidth="0" w:num="1">
            <w:col w:w="11100"/>
          </w:cols>
          <w:pgMar w:left="320" w:top="229" w:right="4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61" w:lineRule="exact"/>
        <w:rPr>
          <w:sz w:val="20"/>
          <w:szCs w:val="20"/>
          <w:color w:val="auto"/>
        </w:rPr>
      </w:pPr>
    </w:p>
    <w:p>
      <w:pPr>
        <w:ind w:left="160"/>
        <w:spacing w:after="0"/>
        <w:rPr>
          <w:sz w:val="20"/>
          <w:szCs w:val="20"/>
          <w:color w:val="auto"/>
        </w:rPr>
      </w:pPr>
      <w:r>
        <w:rPr>
          <w:rFonts w:ascii="Arial" w:cs="Arial" w:eastAsia="Arial" w:hAnsi="Arial"/>
          <w:sz w:val="44"/>
          <w:szCs w:val="44"/>
          <w:b w:val="1"/>
          <w:bCs w:val="1"/>
          <w:color w:val="0071CE"/>
        </w:rPr>
        <w:t>Notice of 2021 Annual Meeting of Shareholders</w:t>
      </w:r>
    </w:p>
    <w:p>
      <w:pPr>
        <w:sectPr>
          <w:pgSz w:w="11900" w:h="16838" w:orient="portrait"/>
          <w:cols w:equalWidth="0" w:num="1">
            <w:col w:w="10760"/>
          </w:cols>
          <w:pgMar w:left="320" w:top="456"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20"/>
          <w:szCs w:val="20"/>
          <w:color w:val="00C1DE"/>
        </w:rPr>
        <w:t>April 30, 2021</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color w:val="00C1DE"/>
        </w:rPr>
        <w:t>Dear Fellow Shareholders:</w:t>
      </w:r>
    </w:p>
    <w:p>
      <w:pPr>
        <w:spacing w:after="0" w:line="9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Board of Directors of General Motors Company cordially invites you to attend the 2021 Annual Meeting of Shareholders.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At the Annual Meeting, you will be asked to:</w:t>
      </w:r>
    </w:p>
    <w:p>
      <w:pPr>
        <w:spacing w:after="0" w:line="84" w:lineRule="exact"/>
        <w:rPr>
          <w:sz w:val="20"/>
          <w:szCs w:val="20"/>
          <w:color w:val="auto"/>
        </w:rPr>
      </w:pPr>
    </w:p>
    <w:p>
      <w:pPr>
        <w:ind w:left="640" w:hanging="259"/>
        <w:spacing w:after="0" w:line="181" w:lineRule="auto"/>
        <w:tabs>
          <w:tab w:leader="none" w:pos="640" w:val="left"/>
        </w:tabs>
        <w:numPr>
          <w:ilvl w:val="0"/>
          <w:numId w:val="2"/>
        </w:numPr>
        <w:rPr>
          <w:rFonts w:ascii="Arial" w:cs="Arial" w:eastAsia="Arial" w:hAnsi="Arial"/>
          <w:sz w:val="38"/>
          <w:szCs w:val="38"/>
          <w:color w:val="00C1DE"/>
          <w:vertAlign w:val="subscript"/>
        </w:rPr>
      </w:pPr>
      <w:r>
        <w:rPr>
          <w:rFonts w:ascii="Arial" w:cs="Arial" w:eastAsia="Arial" w:hAnsi="Arial"/>
          <w:sz w:val="16"/>
          <w:szCs w:val="16"/>
          <w:i w:val="1"/>
          <w:iCs w:val="1"/>
          <w:color w:val="3E3935"/>
        </w:rPr>
        <w:t>Elect the 12 Board-recommended director nominees named in this Proxy Statement;</w:t>
      </w:r>
    </w:p>
    <w:p>
      <w:pPr>
        <w:spacing w:after="0" w:line="80" w:lineRule="exact"/>
        <w:rPr>
          <w:rFonts w:ascii="Arial" w:cs="Arial" w:eastAsia="Arial" w:hAnsi="Arial"/>
          <w:sz w:val="38"/>
          <w:szCs w:val="38"/>
          <w:color w:val="00C1DE"/>
          <w:vertAlign w:val="subscript"/>
        </w:rPr>
      </w:pPr>
    </w:p>
    <w:p>
      <w:pPr>
        <w:ind w:left="640" w:right="20" w:hanging="259"/>
        <w:spacing w:after="0" w:line="181" w:lineRule="auto"/>
        <w:tabs>
          <w:tab w:leader="none" w:pos="640" w:val="left"/>
        </w:tabs>
        <w:numPr>
          <w:ilvl w:val="0"/>
          <w:numId w:val="2"/>
        </w:numPr>
        <w:rPr>
          <w:rFonts w:ascii="Arial" w:cs="Arial" w:eastAsia="Arial" w:hAnsi="Arial"/>
          <w:sz w:val="38"/>
          <w:szCs w:val="38"/>
          <w:color w:val="00C1DE"/>
          <w:vertAlign w:val="subscript"/>
        </w:rPr>
      </w:pPr>
      <w:r>
        <w:rPr>
          <w:rFonts w:ascii="Arial" w:cs="Arial" w:eastAsia="Arial" w:hAnsi="Arial"/>
          <w:sz w:val="16"/>
          <w:szCs w:val="16"/>
          <w:i w:val="1"/>
          <w:iCs w:val="1"/>
          <w:color w:val="3E3935"/>
        </w:rPr>
        <w:t>Approve, on an advisory basis, Named Executive Officer compensation;</w:t>
      </w:r>
    </w:p>
    <w:p>
      <w:pPr>
        <w:spacing w:after="0" w:line="80" w:lineRule="exact"/>
        <w:rPr>
          <w:rFonts w:ascii="Arial" w:cs="Arial" w:eastAsia="Arial" w:hAnsi="Arial"/>
          <w:sz w:val="38"/>
          <w:szCs w:val="38"/>
          <w:color w:val="00C1DE"/>
          <w:vertAlign w:val="subscript"/>
        </w:rPr>
      </w:pPr>
    </w:p>
    <w:p>
      <w:pPr>
        <w:jc w:val="both"/>
        <w:ind w:left="640" w:right="20" w:hanging="259"/>
        <w:spacing w:after="0" w:line="180" w:lineRule="auto"/>
        <w:tabs>
          <w:tab w:leader="none" w:pos="640" w:val="left"/>
        </w:tabs>
        <w:numPr>
          <w:ilvl w:val="0"/>
          <w:numId w:val="2"/>
        </w:numPr>
        <w:rPr>
          <w:rFonts w:ascii="Arial" w:cs="Arial" w:eastAsia="Arial" w:hAnsi="Arial"/>
          <w:sz w:val="43"/>
          <w:szCs w:val="43"/>
          <w:color w:val="00C1DE"/>
          <w:vertAlign w:val="subscript"/>
        </w:rPr>
      </w:pPr>
      <w:r>
        <w:rPr>
          <w:rFonts w:ascii="Arial" w:cs="Arial" w:eastAsia="Arial" w:hAnsi="Arial"/>
          <w:sz w:val="18"/>
          <w:szCs w:val="18"/>
          <w:i w:val="1"/>
          <w:iCs w:val="1"/>
          <w:color w:val="3E3935"/>
        </w:rPr>
        <w:t>Ratify the selection of Ernst &amp; Young LLP as the Company’s independent registered public accounting firm for 2021;</w:t>
      </w:r>
    </w:p>
    <w:p>
      <w:pPr>
        <w:spacing w:after="0" w:line="80" w:lineRule="exact"/>
        <w:rPr>
          <w:rFonts w:ascii="Arial" w:cs="Arial" w:eastAsia="Arial" w:hAnsi="Arial"/>
          <w:sz w:val="43"/>
          <w:szCs w:val="43"/>
          <w:color w:val="00C1DE"/>
          <w:vertAlign w:val="subscript"/>
        </w:rPr>
      </w:pPr>
    </w:p>
    <w:p>
      <w:pPr>
        <w:ind w:left="640" w:right="20" w:hanging="259"/>
        <w:spacing w:after="0" w:line="181" w:lineRule="auto"/>
        <w:tabs>
          <w:tab w:leader="none" w:pos="640" w:val="left"/>
        </w:tabs>
        <w:numPr>
          <w:ilvl w:val="0"/>
          <w:numId w:val="2"/>
        </w:numPr>
        <w:rPr>
          <w:rFonts w:ascii="Arial" w:cs="Arial" w:eastAsia="Arial" w:hAnsi="Arial"/>
          <w:sz w:val="38"/>
          <w:szCs w:val="38"/>
          <w:color w:val="00C1DE"/>
          <w:vertAlign w:val="subscript"/>
        </w:rPr>
      </w:pPr>
      <w:r>
        <w:rPr>
          <w:rFonts w:ascii="Arial" w:cs="Arial" w:eastAsia="Arial" w:hAnsi="Arial"/>
          <w:sz w:val="16"/>
          <w:szCs w:val="16"/>
          <w:i w:val="1"/>
          <w:iCs w:val="1"/>
          <w:color w:val="3E3935"/>
        </w:rPr>
        <w:t>Vote on Rule 14a-8 shareholder proposals, if properly presented at the meeting; and</w:t>
      </w:r>
    </w:p>
    <w:p>
      <w:pPr>
        <w:spacing w:after="0" w:line="80" w:lineRule="exact"/>
        <w:rPr>
          <w:rFonts w:ascii="Arial" w:cs="Arial" w:eastAsia="Arial" w:hAnsi="Arial"/>
          <w:sz w:val="38"/>
          <w:szCs w:val="38"/>
          <w:color w:val="00C1DE"/>
          <w:vertAlign w:val="subscript"/>
        </w:rPr>
      </w:pPr>
    </w:p>
    <w:p>
      <w:pPr>
        <w:ind w:left="640" w:right="20" w:hanging="259"/>
        <w:spacing w:after="0" w:line="181" w:lineRule="auto"/>
        <w:tabs>
          <w:tab w:leader="none" w:pos="640" w:val="left"/>
        </w:tabs>
        <w:numPr>
          <w:ilvl w:val="0"/>
          <w:numId w:val="2"/>
        </w:numPr>
        <w:rPr>
          <w:rFonts w:ascii="Arial" w:cs="Arial" w:eastAsia="Arial" w:hAnsi="Arial"/>
          <w:sz w:val="38"/>
          <w:szCs w:val="38"/>
          <w:color w:val="00C1DE"/>
          <w:vertAlign w:val="subscript"/>
        </w:rPr>
      </w:pPr>
      <w:r>
        <w:rPr>
          <w:rFonts w:ascii="Arial" w:cs="Arial" w:eastAsia="Arial" w:hAnsi="Arial"/>
          <w:sz w:val="16"/>
          <w:szCs w:val="16"/>
          <w:i w:val="1"/>
          <w:iCs w:val="1"/>
          <w:color w:val="3E3935"/>
        </w:rPr>
        <w:t>Transact any other business that is properly presented at the meeting.</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20"/>
          <w:szCs w:val="20"/>
          <w:color w:val="00C1DE"/>
        </w:rPr>
        <w:t>Record Date: April 15, 2021.</w:t>
      </w:r>
    </w:p>
    <w:p>
      <w:pPr>
        <w:spacing w:after="0" w:line="91"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 xml:space="preserve">A list of registered shareholders will be available for examination for any purpose that is germane to the meeting for 10 business days before the Annual Meeting. Shareholders may request to review the list by emailing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w:t>
      </w:r>
    </w:p>
    <w:p>
      <w:pPr>
        <w:spacing w:after="0" w:line="12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This Proxy Statement is provided in conjunction with GM’s solicitation of proxies to be used at the Annual Meeting. Thank you for your interest in General Motors Company.</w:t>
      </w:r>
    </w:p>
    <w:p>
      <w:pPr>
        <w:spacing w:after="0" w:line="114"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For additional information about how to attend our Annual Meeting, see “General Information About the Annual Meeting” on page 92 of this Proxy Statement.</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By Order of the Board of Directors,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Ann Cathcart Chaplin</w:t>
      </w:r>
    </w:p>
    <w:p>
      <w:pPr>
        <w:ind w:left="160"/>
        <w:spacing w:after="0" w:line="231" w:lineRule="auto"/>
        <w:rPr>
          <w:sz w:val="20"/>
          <w:szCs w:val="20"/>
          <w:color w:val="auto"/>
        </w:rPr>
      </w:pPr>
      <w:r>
        <w:rPr>
          <w:rFonts w:ascii="Arial" w:cs="Arial" w:eastAsia="Arial" w:hAnsi="Arial"/>
          <w:sz w:val="20"/>
          <w:szCs w:val="20"/>
          <w:color w:val="3E3935"/>
        </w:rPr>
        <w:t>Corporate Secretary</w:t>
      </w:r>
    </w:p>
    <w:p>
      <w:pPr>
        <w:ind w:left="160"/>
        <w:spacing w:after="0" w:line="223" w:lineRule="auto"/>
        <w:rPr>
          <w:sz w:val="20"/>
          <w:szCs w:val="20"/>
          <w:color w:val="auto"/>
        </w:rPr>
      </w:pPr>
      <w:r>
        <w:rPr>
          <w:rFonts w:ascii="Arial" w:cs="Arial" w:eastAsia="Arial" w:hAnsi="Arial"/>
          <w:sz w:val="20"/>
          <w:szCs w:val="20"/>
          <w:color w:val="3E3935"/>
        </w:rPr>
        <w:t>300 Renaissance Center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Detroit, Michigan 48265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00C1DE"/>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-667385</wp:posOffset>
            </wp:positionV>
            <wp:extent cx="3362960" cy="6675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2960" cy="66751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3E3935"/>
        </w:rPr>
        <w:t>Date:</w:t>
      </w:r>
      <w:r>
        <w:rPr>
          <w:sz w:val="20"/>
          <w:szCs w:val="20"/>
          <w:color w:val="auto"/>
        </w:rPr>
        <w:tab/>
      </w:r>
      <w:r>
        <w:rPr>
          <w:rFonts w:ascii="Arial" w:cs="Arial" w:eastAsia="Arial" w:hAnsi="Arial"/>
          <w:sz w:val="19"/>
          <w:szCs w:val="19"/>
          <w:color w:val="3E3935"/>
        </w:rPr>
        <w:t>June 14, 2021</w:t>
      </w:r>
    </w:p>
    <w:p>
      <w:pPr>
        <w:spacing w:after="0" w:line="1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3E3935"/>
        </w:rPr>
        <w:t>Time:</w:t>
      </w:r>
      <w:r>
        <w:rPr>
          <w:sz w:val="20"/>
          <w:szCs w:val="20"/>
          <w:color w:val="auto"/>
        </w:rPr>
        <w:tab/>
      </w:r>
      <w:r>
        <w:rPr>
          <w:rFonts w:ascii="Arial" w:cs="Arial" w:eastAsia="Arial" w:hAnsi="Arial"/>
          <w:sz w:val="19"/>
          <w:szCs w:val="19"/>
          <w:color w:val="3E3935"/>
        </w:rPr>
        <w:t>1:00 p.m. Eastern</w:t>
      </w:r>
    </w:p>
    <w:p>
      <w:pPr>
        <w:spacing w:after="0" w:line="104" w:lineRule="exact"/>
        <w:rPr>
          <w:sz w:val="20"/>
          <w:szCs w:val="20"/>
          <w:color w:val="auto"/>
        </w:rPr>
      </w:pPr>
    </w:p>
    <w:p>
      <w:pPr>
        <w:ind w:left="680" w:right="480" w:hanging="685"/>
        <w:spacing w:after="0" w:line="280" w:lineRule="auto"/>
        <w:rPr>
          <w:sz w:val="20"/>
          <w:szCs w:val="20"/>
          <w:color w:val="auto"/>
        </w:rPr>
      </w:pPr>
      <w:r>
        <w:rPr>
          <w:rFonts w:ascii="Arial" w:cs="Arial" w:eastAsia="Arial" w:hAnsi="Arial"/>
          <w:sz w:val="19"/>
          <w:szCs w:val="19"/>
          <w:b w:val="1"/>
          <w:bCs w:val="1"/>
          <w:color w:val="3E3935"/>
        </w:rPr>
        <w:t xml:space="preserve">Place: </w:t>
      </w:r>
      <w:r>
        <w:rPr>
          <w:rFonts w:ascii="Arial" w:cs="Arial" w:eastAsia="Arial" w:hAnsi="Arial"/>
          <w:sz w:val="19"/>
          <w:szCs w:val="19"/>
          <w:color w:val="3E3935"/>
        </w:rPr>
        <w:t>Online via live webcast at</w:t>
      </w:r>
      <w:r>
        <w:rPr>
          <w:rFonts w:ascii="Arial" w:cs="Arial" w:eastAsia="Arial" w:hAnsi="Arial"/>
          <w:sz w:val="19"/>
          <w:szCs w:val="19"/>
          <w:b w:val="1"/>
          <w:bCs w:val="1"/>
          <w:color w:val="3E3935"/>
        </w:rPr>
        <w:t xml:space="preserve"> </w:t>
      </w:r>
      <w:r>
        <w:rPr>
          <w:rFonts w:ascii="Arial" w:cs="Arial" w:eastAsia="Arial" w:hAnsi="Arial"/>
          <w:sz w:val="19"/>
          <w:szCs w:val="19"/>
          <w:i w:val="1"/>
          <w:iCs w:val="1"/>
          <w:color w:val="00C1DE"/>
        </w:rPr>
        <w:t>virtualshareholdermeeting.com/GM2021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spacing w:after="0"/>
        <w:rPr>
          <w:sz w:val="20"/>
          <w:szCs w:val="20"/>
          <w:color w:val="auto"/>
        </w:rPr>
      </w:pPr>
      <w:r>
        <w:rPr>
          <w:rFonts w:ascii="Arial" w:cs="Arial" w:eastAsia="Arial" w:hAnsi="Arial"/>
          <w:sz w:val="21"/>
          <w:szCs w:val="21"/>
          <w:color w:val="00C1DE"/>
        </w:rPr>
        <w:t>Your Vote Is Important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Please promptly submit your vote by Internet, by telephone, or by signing, dating, and returning the enclosed proxy card or voting instruction form in the postage-paid envelope provided so that your shares will be represented and voted at the meeting.</w:t>
      </w:r>
    </w:p>
    <w:p>
      <w:pPr>
        <w:spacing w:after="0" w:line="10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We are first mailing these proxy materials to our shareholders on or about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00C1DE"/>
        </w:rPr>
        <w:t>How to Access the</w:t>
      </w:r>
    </w:p>
    <w:p>
      <w:pPr>
        <w:jc w:val="center"/>
        <w:spacing w:after="0"/>
        <w:rPr>
          <w:sz w:val="20"/>
          <w:szCs w:val="20"/>
          <w:color w:val="auto"/>
        </w:rPr>
      </w:pPr>
      <w:r>
        <w:rPr>
          <w:rFonts w:ascii="Arial" w:cs="Arial" w:eastAsia="Arial" w:hAnsi="Arial"/>
          <w:sz w:val="21"/>
          <w:szCs w:val="21"/>
          <w:color w:val="00C1DE"/>
        </w:rPr>
        <w:t>Proxy Materials Online:</w:t>
      </w:r>
    </w:p>
    <w:p>
      <w:pPr>
        <w:spacing w:after="0" w:line="200" w:lineRule="exact"/>
        <w:rPr>
          <w:sz w:val="20"/>
          <w:szCs w:val="20"/>
          <w:color w:val="auto"/>
        </w:rPr>
      </w:pPr>
    </w:p>
    <w:p>
      <w:pPr>
        <w:spacing w:after="0" w:line="26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3E3935"/>
        </w:rPr>
        <w:t>Important Notice Regarding the Availability of Proxy Materials for the 2021 Annual Meeting of Shareholders to Be Held on June 14, 2021:</w:t>
      </w:r>
    </w:p>
    <w:p>
      <w:pPr>
        <w:spacing w:after="0" w:line="9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 xml:space="preserve">Our Proxy Statement and 2020 Annual Report are available at </w:t>
      </w:r>
      <w:r>
        <w:rPr>
          <w:rFonts w:ascii="Arial" w:cs="Arial" w:eastAsia="Arial" w:hAnsi="Arial"/>
          <w:sz w:val="20"/>
          <w:szCs w:val="20"/>
          <w:i w:val="1"/>
          <w:iCs w:val="1"/>
          <w:color w:val="00C1DE"/>
        </w:rPr>
        <w:t>investor.gm.com/shareholder</w:t>
      </w:r>
      <w:r>
        <w:rPr>
          <w:rFonts w:ascii="Arial" w:cs="Arial" w:eastAsia="Arial" w:hAnsi="Arial"/>
          <w:sz w:val="20"/>
          <w:szCs w:val="20"/>
          <w:i w:val="1"/>
          <w:iCs w:val="1"/>
          <w:color w:val="3E3935"/>
        </w:rPr>
        <w:t>.</w:t>
      </w:r>
      <w:r>
        <w:rPr>
          <w:rFonts w:ascii="Arial" w:cs="Arial" w:eastAsia="Arial" w:hAnsi="Arial"/>
          <w:sz w:val="20"/>
          <w:szCs w:val="20"/>
          <w:color w:val="3E3935"/>
        </w:rPr>
        <w:t xml:space="preserve"> You may also scan the QR code above with your smartphone or other mobile device to view our Proxy Statement and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347980</wp:posOffset>
            </wp:positionV>
            <wp:extent cx="5927725" cy="101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4640"/>
          </w:cols>
          <w:pgMar w:left="320" w:top="456" w:right="819" w:bottom="1440" w:gutter="0" w:footer="0" w:header="0"/>
          <w:type w:val="continuous"/>
        </w:sectPr>
      </w:pPr>
    </w:p>
    <w:p>
      <w:pPr>
        <w:spacing w:after="0" w:line="352" w:lineRule="exact"/>
        <w:rPr>
          <w:sz w:val="20"/>
          <w:szCs w:val="20"/>
          <w:color w:val="auto"/>
        </w:rPr>
      </w:pPr>
    </w:p>
    <w:p>
      <w:pPr>
        <w:ind w:left="10740"/>
        <w:spacing w:after="0"/>
        <w:rPr>
          <w:sz w:val="20"/>
          <w:szCs w:val="20"/>
          <w:color w:val="auto"/>
        </w:rPr>
      </w:pPr>
      <w:r>
        <w:rPr>
          <w:rFonts w:ascii="Arial" w:cs="Arial" w:eastAsia="Arial" w:hAnsi="Arial"/>
          <w:sz w:val="9"/>
          <w:szCs w:val="9"/>
          <w:color w:val="0071CE"/>
        </w:rPr>
        <w:t>i</w:t>
      </w:r>
    </w:p>
    <w:p>
      <w:pPr>
        <w:sectPr>
          <w:pgSz w:w="11900" w:h="16838" w:orient="portrait"/>
          <w:cols w:equalWidth="0" w:num="1">
            <w:col w:w="10760"/>
          </w:cols>
          <w:pgMar w:left="320" w:top="456" w:right="8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A Message From Our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-103505</wp:posOffset>
            </wp:positionV>
            <wp:extent cx="586105" cy="586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105"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April 30, 2021</w:t>
      </w: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Dear Fellow Shareholders:</w:t>
      </w:r>
    </w:p>
    <w:p>
      <w:pPr>
        <w:spacing w:after="0" w:line="23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3E3935"/>
        </w:rPr>
        <w:t>At General Motors and around the world, 2020 was defined by responding to the once-in-a-century challenges presented by the COVID-19 pandemic. Over the course of the year, the Board worked closely with GM’s Senior Leadership Team to ensure that the Company prioritized the health and safety of its employees and customers and acted with speed and agility to serve its communities and protect its business. We are proud of the thousands of GM employees who raised their hands to produce critical-care ventilators or to make and donate personal protective equipment for frontline healthcare workers and schools. With the same speed and sense of urgency, which we now call “ventilator speed,” we protected our liquidity and developed rigorous protocols to safely restart operations at the appropriate time. These actions enabled GM to deliver strong results in the second half of 2020 while advancing our electric vehicle (“EV”) goals and growth strategy.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71CE"/>
        </w:rPr>
        <w:t>Accelerating Our All-Electric Future</w:t>
      </w:r>
    </w:p>
    <w:p>
      <w:pPr>
        <w:spacing w:after="0" w:line="11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3E3935"/>
        </w:rPr>
        <w:t>Last year, we made a strategic decision to accelerate our all-electric future by announcing our commitment to invest more than $27 billion through 2025 on electric and self-driving vehicles. These investments will allow GM to offer 30 EVs globally by 2025 — and 40% of U.S. entries will be battery electric vehicles by that time. The Board has worked for years to shape a long-term strategy to decarbonize our portfolio and replace GM’s gas-powered light-duty vehicles with EVs. Our focus has always been to align GM’s long-term vision with the interests of our shareholders, and our recent investments have brought us to an inflection point in our long-term sustainability plan. As a result, earlier this year, we announced the following:</w:t>
      </w:r>
    </w:p>
    <w:p>
      <w:pPr>
        <w:spacing w:after="0" w:line="46" w:lineRule="exact"/>
        <w:rPr>
          <w:sz w:val="20"/>
          <w:szCs w:val="20"/>
          <w:color w:val="auto"/>
        </w:rPr>
      </w:pPr>
    </w:p>
    <w:p>
      <w:pPr>
        <w:ind w:left="380" w:hanging="213"/>
        <w:spacing w:after="0" w:line="265" w:lineRule="auto"/>
        <w:tabs>
          <w:tab w:leader="none" w:pos="380" w:val="left"/>
        </w:tabs>
        <w:numPr>
          <w:ilvl w:val="0"/>
          <w:numId w:val="3"/>
        </w:numPr>
        <w:rPr>
          <w:rFonts w:ascii="Arial" w:cs="Arial" w:eastAsia="Arial" w:hAnsi="Arial"/>
          <w:sz w:val="18"/>
          <w:szCs w:val="18"/>
          <w:color w:val="0071CE"/>
        </w:rPr>
      </w:pPr>
      <w:r>
        <w:rPr>
          <w:rFonts w:ascii="Arial" w:cs="Arial" w:eastAsia="Arial" w:hAnsi="Arial"/>
          <w:sz w:val="18"/>
          <w:szCs w:val="18"/>
          <w:color w:val="3E3935"/>
        </w:rPr>
        <w:t xml:space="preserve">We will be </w:t>
      </w:r>
      <w:r>
        <w:rPr>
          <w:rFonts w:ascii="Arial" w:cs="Arial" w:eastAsia="Arial" w:hAnsi="Arial"/>
          <w:sz w:val="18"/>
          <w:szCs w:val="18"/>
          <w:b w:val="1"/>
          <w:bCs w:val="1"/>
          <w:color w:val="0071CE"/>
        </w:rPr>
        <w:t>carbon neutral</w:t>
      </w:r>
      <w:r>
        <w:rPr>
          <w:rFonts w:ascii="Arial" w:cs="Arial" w:eastAsia="Arial" w:hAnsi="Arial"/>
          <w:sz w:val="18"/>
          <w:szCs w:val="18"/>
          <w:color w:val="3E3935"/>
        </w:rPr>
        <w:t xml:space="preserve"> in our global products and operations by 2040, 10 years ahead of the goals set forth in the Paris Agreement on climate change.</w:t>
      </w:r>
    </w:p>
    <w:p>
      <w:pPr>
        <w:spacing w:after="0" w:line="24" w:lineRule="exact"/>
        <w:rPr>
          <w:rFonts w:ascii="Arial" w:cs="Arial" w:eastAsia="Arial" w:hAnsi="Arial"/>
          <w:sz w:val="18"/>
          <w:szCs w:val="18"/>
          <w:color w:val="0071CE"/>
        </w:rPr>
      </w:pPr>
    </w:p>
    <w:p>
      <w:pPr>
        <w:ind w:left="380" w:hanging="213"/>
        <w:spacing w:after="0"/>
        <w:tabs>
          <w:tab w:leader="none" w:pos="380" w:val="left"/>
        </w:tabs>
        <w:numPr>
          <w:ilvl w:val="0"/>
          <w:numId w:val="3"/>
        </w:numPr>
        <w:rPr>
          <w:rFonts w:ascii="Arial" w:cs="Arial" w:eastAsia="Arial" w:hAnsi="Arial"/>
          <w:sz w:val="18"/>
          <w:szCs w:val="18"/>
          <w:color w:val="0071CE"/>
        </w:rPr>
      </w:pPr>
      <w:r>
        <w:rPr>
          <w:rFonts w:ascii="Arial" w:cs="Arial" w:eastAsia="Arial" w:hAnsi="Arial"/>
          <w:sz w:val="18"/>
          <w:szCs w:val="18"/>
          <w:color w:val="3E3935"/>
        </w:rPr>
        <w:t xml:space="preserve">We signed the Business Ambition for 1.5° C commitment and set </w:t>
      </w:r>
      <w:r>
        <w:rPr>
          <w:rFonts w:ascii="Arial" w:cs="Arial" w:eastAsia="Arial" w:hAnsi="Arial"/>
          <w:sz w:val="18"/>
          <w:szCs w:val="18"/>
          <w:b w:val="1"/>
          <w:bCs w:val="1"/>
          <w:color w:val="0071CE"/>
        </w:rPr>
        <w:t>science-based targets</w:t>
      </w:r>
      <w:r>
        <w:rPr>
          <w:rFonts w:ascii="Arial" w:cs="Arial" w:eastAsia="Arial" w:hAnsi="Arial"/>
          <w:sz w:val="18"/>
          <w:szCs w:val="18"/>
          <w:color w:val="3E3935"/>
        </w:rPr>
        <w:t xml:space="preserve"> that align with the Paris Agreement.</w:t>
      </w:r>
    </w:p>
    <w:p>
      <w:pPr>
        <w:spacing w:after="0" w:line="73" w:lineRule="exact"/>
        <w:rPr>
          <w:rFonts w:ascii="Arial" w:cs="Arial" w:eastAsia="Arial" w:hAnsi="Arial"/>
          <w:sz w:val="18"/>
          <w:szCs w:val="18"/>
          <w:color w:val="0071CE"/>
        </w:rPr>
      </w:pPr>
    </w:p>
    <w:p>
      <w:pPr>
        <w:ind w:left="380" w:hanging="213"/>
        <w:spacing w:after="0"/>
        <w:tabs>
          <w:tab w:leader="none" w:pos="380" w:val="left"/>
        </w:tabs>
        <w:numPr>
          <w:ilvl w:val="0"/>
          <w:numId w:val="3"/>
        </w:numPr>
        <w:rPr>
          <w:rFonts w:ascii="Arial" w:cs="Arial" w:eastAsia="Arial" w:hAnsi="Arial"/>
          <w:sz w:val="18"/>
          <w:szCs w:val="18"/>
          <w:color w:val="0071CE"/>
        </w:rPr>
      </w:pPr>
      <w:r>
        <w:rPr>
          <w:rFonts w:ascii="Arial" w:cs="Arial" w:eastAsia="Arial" w:hAnsi="Arial"/>
          <w:sz w:val="18"/>
          <w:szCs w:val="18"/>
          <w:color w:val="3E3935"/>
        </w:rPr>
        <w:t xml:space="preserve">We aspire to </w:t>
      </w:r>
      <w:r>
        <w:rPr>
          <w:rFonts w:ascii="Arial" w:cs="Arial" w:eastAsia="Arial" w:hAnsi="Arial"/>
          <w:sz w:val="18"/>
          <w:szCs w:val="18"/>
          <w:b w:val="1"/>
          <w:bCs w:val="1"/>
          <w:color w:val="0071CE"/>
        </w:rPr>
        <w:t>eliminate tailpipe emissions</w:t>
      </w:r>
      <w:r>
        <w:rPr>
          <w:rFonts w:ascii="Arial" w:cs="Arial" w:eastAsia="Arial" w:hAnsi="Arial"/>
          <w:sz w:val="18"/>
          <w:szCs w:val="18"/>
          <w:color w:val="3E3935"/>
        </w:rPr>
        <w:t xml:space="preserve"> from new light-duty vehicles globally by 2035.</w:t>
      </w:r>
    </w:p>
    <w:p>
      <w:pPr>
        <w:spacing w:after="0" w:line="73" w:lineRule="exact"/>
        <w:rPr>
          <w:rFonts w:ascii="Arial" w:cs="Arial" w:eastAsia="Arial" w:hAnsi="Arial"/>
          <w:sz w:val="18"/>
          <w:szCs w:val="18"/>
          <w:color w:val="0071CE"/>
        </w:rPr>
      </w:pPr>
    </w:p>
    <w:p>
      <w:pPr>
        <w:ind w:left="380" w:hanging="213"/>
        <w:spacing w:after="0" w:line="265" w:lineRule="auto"/>
        <w:tabs>
          <w:tab w:leader="none" w:pos="380" w:val="left"/>
        </w:tabs>
        <w:numPr>
          <w:ilvl w:val="0"/>
          <w:numId w:val="3"/>
        </w:numPr>
        <w:rPr>
          <w:rFonts w:ascii="Arial" w:cs="Arial" w:eastAsia="Arial" w:hAnsi="Arial"/>
          <w:sz w:val="18"/>
          <w:szCs w:val="18"/>
          <w:color w:val="0071CE"/>
        </w:rPr>
      </w:pPr>
      <w:r>
        <w:rPr>
          <w:rFonts w:ascii="Arial" w:cs="Arial" w:eastAsia="Arial" w:hAnsi="Arial"/>
          <w:sz w:val="18"/>
          <w:szCs w:val="18"/>
          <w:color w:val="3E3935"/>
        </w:rPr>
        <w:t xml:space="preserve">We will source </w:t>
      </w:r>
      <w:r>
        <w:rPr>
          <w:rFonts w:ascii="Arial" w:cs="Arial" w:eastAsia="Arial" w:hAnsi="Arial"/>
          <w:sz w:val="18"/>
          <w:szCs w:val="18"/>
          <w:b w:val="1"/>
          <w:bCs w:val="1"/>
          <w:color w:val="0071CE"/>
        </w:rPr>
        <w:t>100% renewable energy</w:t>
      </w:r>
      <w:r>
        <w:rPr>
          <w:rFonts w:ascii="Arial" w:cs="Arial" w:eastAsia="Arial" w:hAnsi="Arial"/>
          <w:sz w:val="18"/>
          <w:szCs w:val="18"/>
          <w:color w:val="3E3935"/>
        </w:rPr>
        <w:t xml:space="preserve"> to power our U.S. facilities by 2030 and our global facilities by 2035, five years earlier than our previously announced goal.</w:t>
      </w:r>
    </w:p>
    <w:p>
      <w:pPr>
        <w:spacing w:after="0" w:line="18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3E3935"/>
        </w:rPr>
        <w:t>To meet these commitments, we will offer EVs across all of our brands that will span the global EV market, from the low-cost Wuling Hong Guang Mini to the hand-crafted Cadillac CELESTIQ flagship sedan. In 2020, Ultium Cells LLC, our joint venture with LG Energy Solution, broke ground on a nearly 3 million-square-foot plant in Lordstown, Ohio, which we expect will produce millions of battery cells every year – and we recently announced plans to build a second battery cell manufacturing plant in Spring Hill, Tennessee. In February 2021, we unveiled the Chevrolet Bolt EUV; and later this year, the Ultium-powered GMC HUMMER EV will launch from our transformed Factory ZERO plant in Detroit-Hamtramck, Michigan. Next year, we will launch the Cadillac LYRIQ, and we will have several high-volume entries in North America by 2023. You can learn more about our climate and sustainability goals on page 35 of this Proxy Statement.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71CE"/>
        </w:rPr>
        <w:t>Committed to Driving Diversity, Equity, and Inclusion in Our Workforce</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3E3935"/>
        </w:rPr>
        <w:t>The Board also recognizes that how we achieve our all-electric future matters. At GM, we intend for our transformation to be inclusive and consistent with our longstanding leadership in fostering diversity and inclusion. The events of 2020 underscored the economic and racial inequalities that persist in the United States and around the world. Following the killings of unarmed black citizens, including George Floyd, Jr., Breonna Taylor, Ahmaud Arbery, Rayshard Brooks, and more, shock and protests reverberated throughout the country and around the world. GM challenged its employees to stop asking “why” and start asking “what are we going to do?” GM has doubled down on its commitment to create and maintain a workplace that is inclusive for employees. We named Telva McGruder our Chief of Diversity, Equity, and Inclusion. We also created an Inclusion Advisory Board, which consists of internal and external leaders, that is committed to making sure GM’s words are supported by action. Our Senior Leadership Team has also worked to enhance GM’s diversity accountability reporting at Board and senior leader meetings using two key metrics: diversity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86995</wp:posOffset>
            </wp:positionV>
            <wp:extent cx="5927725" cy="101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22"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ii</w:t>
      </w:r>
    </w:p>
    <w:p>
      <w:pPr>
        <w:sectPr>
          <w:pgSz w:w="11900" w:h="16838" w:orient="portrait"/>
          <w:cols w:equalWidth="0" w:num="1">
            <w:col w:w="11080"/>
          </w:cols>
          <w:pgMar w:left="320" w:top="45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3E3935"/>
        </w:rPr>
        <w:t xml:space="preserve">the overall GM population and diversity in hiring. We are also focused on promotions, performance ratings, interview slates, and attrition, among other things. In 2020, we also introduced a new employee behavior: </w:t>
      </w:r>
      <w:r>
        <w:rPr>
          <w:rFonts w:ascii="Arial" w:cs="Arial" w:eastAsia="Arial" w:hAnsi="Arial"/>
          <w:sz w:val="18"/>
          <w:szCs w:val="18"/>
          <w:b w:val="1"/>
          <w:bCs w:val="1"/>
          <w:color w:val="0071CE"/>
        </w:rPr>
        <w:t>Be Inclusive.</w:t>
      </w:r>
      <w:r>
        <w:rPr>
          <w:rFonts w:ascii="Arial" w:cs="Arial" w:eastAsia="Arial" w:hAnsi="Arial"/>
          <w:sz w:val="18"/>
          <w:szCs w:val="18"/>
          <w:color w:val="3E3935"/>
        </w:rPr>
        <w:t xml:space="preserve"> You can learn more about our work to develop and execute strategies to build a high-performing, inclusive culture on pages 33 to 34 of this Proxy Statement.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Continued Evolution of Our Board</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3E3935"/>
        </w:rPr>
        <w:t>This year is a tipping point for EVs and an inflection point on sustainability, inclusion, and growth. In response, the Board has continued to evolve its membership to ensure it has the right mix of skills and diverse perspectives to continue to be a strategic asset for the Company. In March 2021, the Board added two new directors: Margaret (“Meg”) C. Whitman and Mark A. Tatum. Meg brings significant technology expertise to the Board, along with decades of experience leading large, complex companies, including Hewlett Packard Enterprise and eBay, Inc. Mark is responsible for the National Basketball Association’s global business operations and oversees its global partnerships, marketing, communications, and team marketing and business operations. We believe their unique experiences will bolster our Board’s already strong skillset, especially in technology, brand building, and customer experience, that will help us drive value for shareholders now and into the future.</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3E3935"/>
        </w:rPr>
        <w:t>As we welcome Meg and Mark, the Board’s leadership is also evolving. Theodore M. Solso (“Tim”) will not stand for re-election this year after ten years of distinguished service on the Board. The evolution of our Company in recent years would not have been possible without Tim, who helped lead the successful implementation of a number of key strategic priorities in our Company’s transformation, including exiting and restructuring unprofitable markets, reimagining the future of transportation, and accelerating our EV goals. On behalf of the entire Board, I sincerely thank Tim for his invaluable service and many contributions. I am confident our Board will continue to evolve under the leadership of Patricia Russo, who will succeed Tim in that important role upon his retirement. For more information on the role of the Independent Lead Director, please see page 16 of this Proxy Statement.</w:t>
      </w:r>
    </w:p>
    <w:p>
      <w:pPr>
        <w:spacing w:after="0" w:line="20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3E3935"/>
        </w:rPr>
        <w:t>We appreciate your continued commitment to investing in GM, and we look forward to your attendance at our 2021 Annual Meeting of Shareholders on June 14 at 1:00 p.m. Eastern Time.</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8"/>
          <w:szCs w:val="18"/>
          <w:color w:val="3E3935"/>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1673225" cy="399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322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Mary T. Barra</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85725</wp:posOffset>
            </wp:positionV>
            <wp:extent cx="5927725" cy="101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9" w:lineRule="exact"/>
        <w:rPr>
          <w:sz w:val="20"/>
          <w:szCs w:val="20"/>
          <w:color w:val="auto"/>
        </w:rPr>
      </w:pPr>
    </w:p>
    <w:p>
      <w:pPr>
        <w:ind w:left="10680"/>
        <w:spacing w:after="0"/>
        <w:rPr>
          <w:sz w:val="20"/>
          <w:szCs w:val="20"/>
          <w:color w:val="auto"/>
        </w:rPr>
      </w:pPr>
      <w:r>
        <w:rPr>
          <w:rFonts w:ascii="Arial" w:cs="Arial" w:eastAsia="Arial" w:hAnsi="Arial"/>
          <w:sz w:val="14"/>
          <w:szCs w:val="14"/>
          <w:color w:val="0071CE"/>
        </w:rPr>
        <w:t>iii</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60"/>
        <w:spacing w:after="0"/>
        <w:rPr>
          <w:sz w:val="20"/>
          <w:szCs w:val="20"/>
          <w:color w:val="auto"/>
        </w:rPr>
      </w:pPr>
      <w:r>
        <w:rPr>
          <w:rFonts w:ascii="Arial" w:cs="Arial" w:eastAsia="Arial" w:hAnsi="Arial"/>
          <w:sz w:val="37"/>
          <w:szCs w:val="37"/>
          <w:color w:val="0071CE"/>
        </w:rPr>
        <w:t>Helpful Resources</w:t>
      </w: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 xml:space="preserve">Annual Meeting: </w:t>
      </w:r>
      <w:r>
        <w:rPr>
          <w:rFonts w:ascii="Arial" w:cs="Arial" w:eastAsia="Arial" w:hAnsi="Arial"/>
          <w:sz w:val="20"/>
          <w:szCs w:val="20"/>
          <w:i w:val="1"/>
          <w:iCs w:val="1"/>
          <w:color w:val="00C1DE"/>
        </w:rPr>
        <w:t>investor.gm.com/shareholder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3320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Proxy Statement</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Annual Report</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 xml:space="preserve">Governance Documents: </w:t>
      </w:r>
      <w:r>
        <w:rPr>
          <w:rFonts w:ascii="Arial" w:cs="Arial" w:eastAsia="Arial" w:hAnsi="Arial"/>
          <w:sz w:val="20"/>
          <w:szCs w:val="20"/>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3320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Board Committee Charters</w:t>
      </w:r>
    </w:p>
    <w:p>
      <w:pPr>
        <w:spacing w:after="0" w:line="25" w:lineRule="exact"/>
        <w:rPr>
          <w:sz w:val="20"/>
          <w:szCs w:val="20"/>
          <w:color w:val="auto"/>
        </w:rPr>
      </w:pPr>
    </w:p>
    <w:p>
      <w:pPr>
        <w:ind w:left="380" w:right="1340"/>
        <w:spacing w:after="0" w:line="288" w:lineRule="auto"/>
        <w:rPr>
          <w:sz w:val="20"/>
          <w:szCs w:val="20"/>
          <w:color w:val="auto"/>
        </w:rPr>
      </w:pPr>
      <w:r>
        <w:rPr>
          <w:rFonts w:ascii="Arial" w:cs="Arial" w:eastAsia="Arial" w:hAnsi="Arial"/>
          <w:sz w:val="19"/>
          <w:szCs w:val="19"/>
          <w:i w:val="1"/>
          <w:iCs w:val="1"/>
          <w:color w:val="3E3935"/>
        </w:rPr>
        <w:t>Bylaws and Certificate of Incorporation Corporate Governance Guidelines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 xml:space="preserve">Key Compliance Policies: </w:t>
      </w:r>
      <w:r>
        <w:rPr>
          <w:rFonts w:ascii="Arial" w:cs="Arial" w:eastAsia="Arial" w:hAnsi="Arial"/>
          <w:sz w:val="20"/>
          <w:szCs w:val="20"/>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3320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1" w:lineRule="exact"/>
        <w:rPr>
          <w:sz w:val="20"/>
          <w:szCs w:val="20"/>
          <w:color w:val="auto"/>
        </w:rPr>
      </w:pPr>
    </w:p>
    <w:p>
      <w:pPr>
        <w:ind w:left="600" w:right="380" w:hanging="217"/>
        <w:spacing w:after="0" w:line="244" w:lineRule="auto"/>
        <w:rPr>
          <w:sz w:val="20"/>
          <w:szCs w:val="20"/>
          <w:color w:val="auto"/>
        </w:rPr>
      </w:pPr>
      <w:r>
        <w:rPr>
          <w:rFonts w:ascii="Arial" w:cs="Arial" w:eastAsia="Arial" w:hAnsi="Arial"/>
          <w:sz w:val="20"/>
          <w:szCs w:val="20"/>
          <w:i w:val="1"/>
          <w:iCs w:val="1"/>
          <w:color w:val="3E3935"/>
        </w:rPr>
        <w:t>Winning with Integrity: Our Values and Guidelines for Employee Conduct</w:t>
      </w:r>
    </w:p>
    <w:p>
      <w:pPr>
        <w:spacing w:after="0" w:line="2" w:lineRule="exact"/>
        <w:rPr>
          <w:sz w:val="20"/>
          <w:szCs w:val="20"/>
          <w:color w:val="auto"/>
        </w:rPr>
      </w:pPr>
    </w:p>
    <w:p>
      <w:pPr>
        <w:ind w:left="380" w:right="360"/>
        <w:spacing w:after="0" w:line="256" w:lineRule="auto"/>
        <w:rPr>
          <w:sz w:val="20"/>
          <w:szCs w:val="20"/>
          <w:color w:val="auto"/>
        </w:rPr>
      </w:pPr>
      <w:r>
        <w:rPr>
          <w:rFonts w:ascii="Arial" w:cs="Arial" w:eastAsia="Arial" w:hAnsi="Arial"/>
          <w:sz w:val="20"/>
          <w:szCs w:val="20"/>
          <w:i w:val="1"/>
          <w:iCs w:val="1"/>
          <w:color w:val="3E3935"/>
        </w:rPr>
        <w:t>Policy on Recoupment of Incentive Compensation Related Party Transactions Policy Insider Trading Policy</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 xml:space="preserve">ESG Policies: </w:t>
      </w:r>
      <w:r>
        <w:rPr>
          <w:rFonts w:ascii="Arial" w:cs="Arial" w:eastAsia="Arial" w:hAnsi="Arial"/>
          <w:sz w:val="20"/>
          <w:szCs w:val="20"/>
          <w:i w:val="1"/>
          <w:iCs w:val="1"/>
          <w:color w:val="00C1DE"/>
        </w:rPr>
        <w:t>investor.gm.com/resources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3320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Voluntary Report of 2020 Political Contributions</w:t>
      </w:r>
    </w:p>
    <w:p>
      <w:pPr>
        <w:spacing w:after="0" w:line="25" w:lineRule="exact"/>
        <w:rPr>
          <w:sz w:val="20"/>
          <w:szCs w:val="20"/>
          <w:color w:val="auto"/>
        </w:rPr>
      </w:pPr>
    </w:p>
    <w:p>
      <w:pPr>
        <w:ind w:left="600" w:right="140" w:hanging="217"/>
        <w:spacing w:after="0" w:line="237" w:lineRule="auto"/>
        <w:rPr>
          <w:sz w:val="20"/>
          <w:szCs w:val="20"/>
          <w:color w:val="auto"/>
        </w:rPr>
      </w:pPr>
      <w:r>
        <w:rPr>
          <w:rFonts w:ascii="Arial" w:cs="Arial" w:eastAsia="Arial" w:hAnsi="Arial"/>
          <w:sz w:val="20"/>
          <w:szCs w:val="20"/>
          <w:i w:val="1"/>
          <w:iCs w:val="1"/>
          <w:color w:val="3E3935"/>
        </w:rPr>
        <w:t>Company Policy on Corporate Political Contributions and Expenditures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Conflict Minerals Policy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Environmental Policy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Global Human Rights Policy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Global Integrity Policy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3E3935"/>
        </w:rPr>
        <w:t>Supplier Code of Conduct</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 xml:space="preserve">Sustainability Report: </w:t>
      </w:r>
      <w:r>
        <w:rPr>
          <w:rFonts w:ascii="Arial" w:cs="Arial" w:eastAsia="Arial" w:hAnsi="Arial"/>
          <w:sz w:val="20"/>
          <w:szCs w:val="20"/>
          <w:i w:val="1"/>
          <w:iCs w:val="1"/>
          <w:color w:val="00C1DE"/>
        </w:rPr>
        <w:t>gmsustainability.com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33204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3E3935"/>
        </w:rPr>
        <w:t xml:space="preserve">Investors Relations: </w:t>
      </w:r>
      <w:r>
        <w:rPr>
          <w:rFonts w:ascii="Arial" w:cs="Arial" w:eastAsia="Arial" w:hAnsi="Arial"/>
          <w:sz w:val="19"/>
          <w:szCs w:val="19"/>
          <w:i w:val="1"/>
          <w:iCs w:val="1"/>
          <w:color w:val="00C1DE"/>
        </w:rPr>
        <w:t>investor.gm.com/investor-relations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31750</wp:posOffset>
            </wp:positionV>
            <wp:extent cx="3320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3E3935"/>
        </w:rPr>
        <w:t>Defined Terms and Commonly Used 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-1282700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24130</wp:posOffset>
            </wp:positionV>
            <wp:extent cx="33883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Annual Meeting</w:t>
            </w:r>
          </w:p>
        </w:tc>
        <w:tc>
          <w:tcPr>
            <w:tcW w:w="1000" w:type="dxa"/>
            <w:vAlign w:val="bottom"/>
          </w:tcPr>
          <w:p>
            <w:pPr>
              <w:ind w:left="260"/>
              <w:spacing w:after="0"/>
              <w:rPr>
                <w:sz w:val="20"/>
                <w:szCs w:val="20"/>
                <w:color w:val="auto"/>
              </w:rPr>
            </w:pPr>
            <w:r>
              <w:rPr>
                <w:rFonts w:ascii="Arial" w:cs="Arial" w:eastAsia="Arial" w:hAnsi="Arial"/>
                <w:sz w:val="20"/>
                <w:szCs w:val="20"/>
                <w:color w:val="3E3935"/>
              </w:rPr>
              <w:t>GM’s</w:t>
            </w:r>
          </w:p>
        </w:tc>
        <w:tc>
          <w:tcPr>
            <w:tcW w:w="720" w:type="dxa"/>
            <w:vAlign w:val="bottom"/>
            <w:gridSpan w:val="2"/>
          </w:tcPr>
          <w:p>
            <w:pPr>
              <w:ind w:left="40"/>
              <w:spacing w:after="0"/>
              <w:rPr>
                <w:sz w:val="20"/>
                <w:szCs w:val="20"/>
                <w:color w:val="auto"/>
              </w:rPr>
            </w:pPr>
            <w:r>
              <w:rPr>
                <w:rFonts w:ascii="Arial" w:cs="Arial" w:eastAsia="Arial" w:hAnsi="Arial"/>
                <w:sz w:val="20"/>
                <w:szCs w:val="20"/>
                <w:color w:val="3E3935"/>
              </w:rPr>
              <w:t>Annual</w:t>
            </w:r>
          </w:p>
        </w:tc>
        <w:tc>
          <w:tcPr>
            <w:tcW w:w="1020" w:type="dxa"/>
            <w:vAlign w:val="bottom"/>
            <w:gridSpan w:val="2"/>
          </w:tcPr>
          <w:p>
            <w:pPr>
              <w:ind w:left="240"/>
              <w:spacing w:after="0"/>
              <w:rPr>
                <w:sz w:val="20"/>
                <w:szCs w:val="20"/>
                <w:color w:val="auto"/>
              </w:rPr>
            </w:pPr>
            <w:r>
              <w:rPr>
                <w:rFonts w:ascii="Arial" w:cs="Arial" w:eastAsia="Arial" w:hAnsi="Arial"/>
                <w:sz w:val="20"/>
                <w:szCs w:val="20"/>
                <w:color w:val="3E3935"/>
              </w:rPr>
              <w:t>Meeting</w:t>
            </w:r>
          </w:p>
        </w:tc>
        <w:tc>
          <w:tcPr>
            <w:tcW w:w="420" w:type="dxa"/>
            <w:vAlign w:val="bottom"/>
          </w:tcPr>
          <w:p>
            <w:pPr>
              <w:jc w:val="right"/>
              <w:spacing w:after="0"/>
              <w:rPr>
                <w:sz w:val="20"/>
                <w:szCs w:val="20"/>
                <w:color w:val="auto"/>
              </w:rPr>
            </w:pPr>
            <w:r>
              <w:rPr>
                <w:rFonts w:ascii="Arial" w:cs="Arial" w:eastAsia="Arial" w:hAnsi="Arial"/>
                <w:sz w:val="20"/>
                <w:szCs w:val="20"/>
                <w:color w:val="3E3935"/>
              </w:rPr>
              <w:t>of</w:t>
            </w:r>
          </w:p>
        </w:tc>
      </w:tr>
      <w:tr>
        <w:trPr>
          <w:trHeight w:val="214"/>
        </w:trPr>
        <w:tc>
          <w:tcPr>
            <w:tcW w:w="2180" w:type="dxa"/>
            <w:vAlign w:val="bottom"/>
          </w:tcPr>
          <w:p>
            <w:pPr>
              <w:spacing w:after="0"/>
              <w:rPr>
                <w:sz w:val="18"/>
                <w:szCs w:val="18"/>
                <w:color w:val="auto"/>
              </w:rPr>
            </w:pPr>
          </w:p>
        </w:tc>
        <w:tc>
          <w:tcPr>
            <w:tcW w:w="3160" w:type="dxa"/>
            <w:vAlign w:val="bottom"/>
            <w:gridSpan w:val="6"/>
          </w:tcPr>
          <w:p>
            <w:pPr>
              <w:ind w:left="260"/>
              <w:spacing w:after="0" w:line="214" w:lineRule="exact"/>
              <w:rPr>
                <w:sz w:val="20"/>
                <w:szCs w:val="20"/>
                <w:color w:val="auto"/>
              </w:rPr>
            </w:pPr>
            <w:r>
              <w:rPr>
                <w:rFonts w:ascii="Arial" w:cs="Arial" w:eastAsia="Arial" w:hAnsi="Arial"/>
                <w:sz w:val="20"/>
                <w:szCs w:val="20"/>
                <w:color w:val="3E3935"/>
              </w:rPr>
              <w:t>Shareholders  to  be  held  on</w:t>
            </w:r>
          </w:p>
        </w:tc>
      </w:tr>
      <w:tr>
        <w:trPr>
          <w:trHeight w:val="240"/>
        </w:trPr>
        <w:tc>
          <w:tcPr>
            <w:tcW w:w="2180" w:type="dxa"/>
            <w:vAlign w:val="bottom"/>
            <w:tcBorders>
              <w:bottom w:val="single" w:sz="8" w:color="3E3935"/>
            </w:tcBorders>
          </w:tcPr>
          <w:p>
            <w:pPr>
              <w:spacing w:after="0"/>
              <w:rPr>
                <w:sz w:val="20"/>
                <w:szCs w:val="20"/>
                <w:color w:val="auto"/>
              </w:rPr>
            </w:pPr>
          </w:p>
        </w:tc>
        <w:tc>
          <w:tcPr>
            <w:tcW w:w="1620" w:type="dxa"/>
            <w:vAlign w:val="bottom"/>
            <w:tcBorders>
              <w:bottom w:val="single" w:sz="8" w:color="3E3935"/>
            </w:tcBorders>
            <w:gridSpan w:val="2"/>
          </w:tcPr>
          <w:p>
            <w:pPr>
              <w:ind w:left="260"/>
              <w:spacing w:after="0"/>
              <w:rPr>
                <w:sz w:val="20"/>
                <w:szCs w:val="20"/>
                <w:color w:val="auto"/>
              </w:rPr>
            </w:pPr>
            <w:r>
              <w:rPr>
                <w:rFonts w:ascii="Arial" w:cs="Arial" w:eastAsia="Arial" w:hAnsi="Arial"/>
                <w:sz w:val="20"/>
                <w:szCs w:val="20"/>
                <w:color w:val="3E3935"/>
              </w:rPr>
              <w:t>June 14, 2021</w:t>
            </w:r>
          </w:p>
        </w:tc>
        <w:tc>
          <w:tcPr>
            <w:tcW w:w="1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c>
          <w:tcPr>
            <w:tcW w:w="6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AV</w:t>
            </w:r>
          </w:p>
        </w:tc>
        <w:tc>
          <w:tcPr>
            <w:tcW w:w="2140" w:type="dxa"/>
            <w:vAlign w:val="bottom"/>
            <w:tcBorders>
              <w:bottom w:val="single" w:sz="8" w:color="3E3935"/>
            </w:tcBorders>
            <w:gridSpan w:val="4"/>
          </w:tcPr>
          <w:p>
            <w:pPr>
              <w:ind w:left="260"/>
              <w:spacing w:after="0"/>
              <w:rPr>
                <w:sz w:val="20"/>
                <w:szCs w:val="20"/>
                <w:color w:val="auto"/>
              </w:rPr>
            </w:pPr>
            <w:r>
              <w:rPr>
                <w:rFonts w:ascii="Arial" w:cs="Arial" w:eastAsia="Arial" w:hAnsi="Arial"/>
                <w:sz w:val="20"/>
                <w:szCs w:val="20"/>
                <w:color w:val="3E3935"/>
              </w:rPr>
              <w:t>Autonomous Vehicle</w:t>
            </w:r>
          </w:p>
        </w:tc>
        <w:tc>
          <w:tcPr>
            <w:tcW w:w="600" w:type="dxa"/>
            <w:vAlign w:val="bottom"/>
            <w:tcBorders>
              <w:bottom w:val="single" w:sz="8" w:color="3E3935"/>
            </w:tcBorders>
          </w:tcPr>
          <w:p>
            <w:pPr>
              <w:spacing w:after="0"/>
              <w:rPr>
                <w:sz w:val="23"/>
                <w:szCs w:val="23"/>
                <w:color w:val="auto"/>
              </w:rPr>
            </w:pPr>
          </w:p>
        </w:tc>
        <w:tc>
          <w:tcPr>
            <w:tcW w:w="420" w:type="dxa"/>
            <w:vAlign w:val="bottom"/>
            <w:tcBorders>
              <w:bottom w:val="single" w:sz="8" w:color="3E3935"/>
            </w:tcBorders>
          </w:tcPr>
          <w:p>
            <w:pPr>
              <w:spacing w:after="0"/>
              <w:rPr>
                <w:sz w:val="23"/>
                <w:szCs w:val="23"/>
                <w:color w:val="auto"/>
              </w:rPr>
            </w:pPr>
          </w:p>
        </w:tc>
      </w:tr>
      <w:tr>
        <w:trPr>
          <w:trHeight w:val="24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Board</w:t>
            </w:r>
          </w:p>
        </w:tc>
        <w:tc>
          <w:tcPr>
            <w:tcW w:w="1000" w:type="dxa"/>
            <w:vAlign w:val="bottom"/>
          </w:tcPr>
          <w:p>
            <w:pPr>
              <w:ind w:left="260"/>
              <w:spacing w:after="0"/>
              <w:rPr>
                <w:sz w:val="20"/>
                <w:szCs w:val="20"/>
                <w:color w:val="auto"/>
              </w:rPr>
            </w:pPr>
            <w:r>
              <w:rPr>
                <w:rFonts w:ascii="Arial" w:cs="Arial" w:eastAsia="Arial" w:hAnsi="Arial"/>
                <w:sz w:val="20"/>
                <w:szCs w:val="20"/>
                <w:color w:val="3E3935"/>
              </w:rPr>
              <w:t>General</w:t>
            </w:r>
          </w:p>
        </w:tc>
        <w:tc>
          <w:tcPr>
            <w:tcW w:w="1140" w:type="dxa"/>
            <w:vAlign w:val="bottom"/>
            <w:gridSpan w:val="3"/>
          </w:tcPr>
          <w:p>
            <w:pPr>
              <w:ind w:left="260"/>
              <w:spacing w:after="0"/>
              <w:rPr>
                <w:sz w:val="20"/>
                <w:szCs w:val="20"/>
                <w:color w:val="auto"/>
              </w:rPr>
            </w:pPr>
            <w:r>
              <w:rPr>
                <w:rFonts w:ascii="Arial" w:cs="Arial" w:eastAsia="Arial" w:hAnsi="Arial"/>
                <w:sz w:val="20"/>
                <w:szCs w:val="20"/>
                <w:color w:val="3E3935"/>
              </w:rPr>
              <w:t>Motors</w:t>
            </w:r>
          </w:p>
        </w:tc>
        <w:tc>
          <w:tcPr>
            <w:tcW w:w="1020" w:type="dxa"/>
            <w:vAlign w:val="bottom"/>
            <w:gridSpan w:val="2"/>
          </w:tcPr>
          <w:p>
            <w:pPr>
              <w:jc w:val="right"/>
              <w:spacing w:after="0"/>
              <w:rPr>
                <w:sz w:val="20"/>
                <w:szCs w:val="20"/>
                <w:color w:val="auto"/>
              </w:rPr>
            </w:pPr>
            <w:r>
              <w:rPr>
                <w:rFonts w:ascii="Arial" w:cs="Arial" w:eastAsia="Arial" w:hAnsi="Arial"/>
                <w:sz w:val="20"/>
                <w:szCs w:val="20"/>
                <w:color w:val="3E3935"/>
                <w:w w:val="97"/>
              </w:rPr>
              <w:t>Company’s</w:t>
            </w:r>
          </w:p>
        </w:tc>
      </w:tr>
      <w:tr>
        <w:trPr>
          <w:trHeight w:val="240"/>
        </w:trPr>
        <w:tc>
          <w:tcPr>
            <w:tcW w:w="2180" w:type="dxa"/>
            <w:vAlign w:val="bottom"/>
            <w:tcBorders>
              <w:bottom w:val="single" w:sz="8" w:color="3E3935"/>
            </w:tcBorders>
          </w:tcPr>
          <w:p>
            <w:pPr>
              <w:spacing w:after="0"/>
              <w:rPr>
                <w:sz w:val="20"/>
                <w:szCs w:val="20"/>
                <w:color w:val="auto"/>
              </w:rPr>
            </w:pPr>
          </w:p>
        </w:tc>
        <w:tc>
          <w:tcPr>
            <w:tcW w:w="2140" w:type="dxa"/>
            <w:vAlign w:val="bottom"/>
            <w:tcBorders>
              <w:bottom w:val="single" w:sz="8" w:color="3E3935"/>
            </w:tcBorders>
            <w:gridSpan w:val="4"/>
          </w:tcPr>
          <w:p>
            <w:pPr>
              <w:ind w:left="260"/>
              <w:spacing w:after="0"/>
              <w:rPr>
                <w:sz w:val="20"/>
                <w:szCs w:val="20"/>
                <w:color w:val="auto"/>
              </w:rPr>
            </w:pPr>
            <w:r>
              <w:rPr>
                <w:rFonts w:ascii="Arial" w:cs="Arial" w:eastAsia="Arial" w:hAnsi="Arial"/>
                <w:sz w:val="20"/>
                <w:szCs w:val="20"/>
                <w:color w:val="3E3935"/>
              </w:rPr>
              <w:t>Board of Directors</w:t>
            </w:r>
          </w:p>
        </w:tc>
        <w:tc>
          <w:tcPr>
            <w:tcW w:w="6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CEO</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Chief Executive Officer</w:t>
            </w:r>
          </w:p>
        </w:tc>
        <w:tc>
          <w:tcPr>
            <w:tcW w:w="420" w:type="dxa"/>
            <w:vAlign w:val="bottom"/>
            <w:tcBorders>
              <w:bottom w:val="single" w:sz="8" w:color="3E3935"/>
            </w:tcBorders>
          </w:tcPr>
          <w:p>
            <w:pPr>
              <w:spacing w:after="0"/>
              <w:rPr>
                <w:sz w:val="23"/>
                <w:szCs w:val="23"/>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CFO</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Chief Financial Officer</w:t>
            </w:r>
          </w:p>
        </w:tc>
        <w:tc>
          <w:tcPr>
            <w:tcW w:w="420" w:type="dxa"/>
            <w:vAlign w:val="bottom"/>
            <w:tcBorders>
              <w:bottom w:val="single" w:sz="8" w:color="3E3935"/>
            </w:tcBorders>
          </w:tcPr>
          <w:p>
            <w:pPr>
              <w:spacing w:after="0"/>
              <w:rPr>
                <w:sz w:val="23"/>
                <w:szCs w:val="23"/>
                <w:color w:val="auto"/>
              </w:rPr>
            </w:pPr>
          </w:p>
        </w:tc>
      </w:tr>
      <w:tr>
        <w:trPr>
          <w:trHeight w:val="24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Code of Conduct</w:t>
            </w:r>
          </w:p>
        </w:tc>
        <w:tc>
          <w:tcPr>
            <w:tcW w:w="1000" w:type="dxa"/>
            <w:vAlign w:val="bottom"/>
          </w:tcPr>
          <w:p>
            <w:pPr>
              <w:ind w:left="260"/>
              <w:spacing w:after="0"/>
              <w:rPr>
                <w:sz w:val="20"/>
                <w:szCs w:val="20"/>
                <w:color w:val="auto"/>
              </w:rPr>
            </w:pPr>
            <w:r>
              <w:rPr>
                <w:rFonts w:ascii="Arial" w:cs="Arial" w:eastAsia="Arial" w:hAnsi="Arial"/>
                <w:sz w:val="20"/>
                <w:szCs w:val="20"/>
                <w:color w:val="3E3935"/>
                <w:w w:val="99"/>
              </w:rPr>
              <w:t>Winning</w:t>
            </w:r>
          </w:p>
        </w:tc>
        <w:tc>
          <w:tcPr>
            <w:tcW w:w="620" w:type="dxa"/>
            <w:vAlign w:val="bottom"/>
          </w:tcPr>
          <w:p>
            <w:pPr>
              <w:ind w:left="220"/>
              <w:spacing w:after="0"/>
              <w:rPr>
                <w:sz w:val="20"/>
                <w:szCs w:val="20"/>
                <w:color w:val="auto"/>
              </w:rPr>
            </w:pPr>
            <w:r>
              <w:rPr>
                <w:rFonts w:ascii="Arial" w:cs="Arial" w:eastAsia="Arial" w:hAnsi="Arial"/>
                <w:sz w:val="20"/>
                <w:szCs w:val="20"/>
                <w:color w:val="3E3935"/>
              </w:rPr>
              <w:t>with</w:t>
            </w:r>
          </w:p>
        </w:tc>
        <w:tc>
          <w:tcPr>
            <w:tcW w:w="100" w:type="dxa"/>
            <w:vAlign w:val="bottom"/>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Arial" w:cs="Arial" w:eastAsia="Arial" w:hAnsi="Arial"/>
                <w:sz w:val="20"/>
                <w:szCs w:val="20"/>
                <w:color w:val="3E3935"/>
                <w:w w:val="99"/>
              </w:rPr>
              <w:t>Integrity:</w:t>
            </w:r>
          </w:p>
        </w:tc>
        <w:tc>
          <w:tcPr>
            <w:tcW w:w="420" w:type="dxa"/>
            <w:vAlign w:val="bottom"/>
          </w:tcPr>
          <w:p>
            <w:pPr>
              <w:jc w:val="right"/>
              <w:spacing w:after="0"/>
              <w:rPr>
                <w:sz w:val="20"/>
                <w:szCs w:val="20"/>
                <w:color w:val="auto"/>
              </w:rPr>
            </w:pPr>
            <w:r>
              <w:rPr>
                <w:rFonts w:ascii="Arial" w:cs="Arial" w:eastAsia="Arial" w:hAnsi="Arial"/>
                <w:sz w:val="20"/>
                <w:szCs w:val="20"/>
                <w:color w:val="3E3935"/>
              </w:rPr>
              <w:t>Our</w:t>
            </w:r>
          </w:p>
        </w:tc>
      </w:tr>
      <w:tr>
        <w:trPr>
          <w:trHeight w:val="214"/>
        </w:trPr>
        <w:tc>
          <w:tcPr>
            <w:tcW w:w="2180" w:type="dxa"/>
            <w:vAlign w:val="bottom"/>
          </w:tcPr>
          <w:p>
            <w:pPr>
              <w:spacing w:after="0"/>
              <w:rPr>
                <w:sz w:val="18"/>
                <w:szCs w:val="18"/>
                <w:color w:val="auto"/>
              </w:rPr>
            </w:pPr>
          </w:p>
        </w:tc>
        <w:tc>
          <w:tcPr>
            <w:tcW w:w="1000" w:type="dxa"/>
            <w:vAlign w:val="bottom"/>
          </w:tcPr>
          <w:p>
            <w:pPr>
              <w:ind w:left="260"/>
              <w:spacing w:after="0" w:line="214" w:lineRule="exact"/>
              <w:rPr>
                <w:sz w:val="20"/>
                <w:szCs w:val="20"/>
                <w:color w:val="auto"/>
              </w:rPr>
            </w:pPr>
            <w:r>
              <w:rPr>
                <w:rFonts w:ascii="Arial" w:cs="Arial" w:eastAsia="Arial" w:hAnsi="Arial"/>
                <w:sz w:val="20"/>
                <w:szCs w:val="20"/>
                <w:color w:val="3E3935"/>
              </w:rPr>
              <w:t>Values</w:t>
            </w:r>
          </w:p>
        </w:tc>
        <w:tc>
          <w:tcPr>
            <w:tcW w:w="620" w:type="dxa"/>
            <w:vAlign w:val="bottom"/>
          </w:tcPr>
          <w:p>
            <w:pPr>
              <w:ind w:left="120"/>
              <w:spacing w:after="0" w:line="214" w:lineRule="exact"/>
              <w:rPr>
                <w:sz w:val="20"/>
                <w:szCs w:val="20"/>
                <w:color w:val="auto"/>
              </w:rPr>
            </w:pPr>
            <w:r>
              <w:rPr>
                <w:rFonts w:ascii="Arial" w:cs="Arial" w:eastAsia="Arial" w:hAnsi="Arial"/>
                <w:sz w:val="20"/>
                <w:szCs w:val="20"/>
                <w:color w:val="3E3935"/>
              </w:rPr>
              <w:t>and</w:t>
            </w:r>
          </w:p>
        </w:tc>
        <w:tc>
          <w:tcPr>
            <w:tcW w:w="100" w:type="dxa"/>
            <w:vAlign w:val="bottom"/>
          </w:tcPr>
          <w:p>
            <w:pPr>
              <w:spacing w:after="0"/>
              <w:rPr>
                <w:sz w:val="18"/>
                <w:szCs w:val="18"/>
                <w:color w:val="auto"/>
              </w:rPr>
            </w:pPr>
          </w:p>
        </w:tc>
        <w:tc>
          <w:tcPr>
            <w:tcW w:w="1020" w:type="dxa"/>
            <w:vAlign w:val="bottom"/>
            <w:gridSpan w:val="2"/>
          </w:tcPr>
          <w:p>
            <w:pPr>
              <w:jc w:val="center"/>
              <w:ind w:right="2"/>
              <w:spacing w:after="0" w:line="214" w:lineRule="exact"/>
              <w:rPr>
                <w:sz w:val="20"/>
                <w:szCs w:val="20"/>
                <w:color w:val="auto"/>
              </w:rPr>
            </w:pPr>
            <w:r>
              <w:rPr>
                <w:rFonts w:ascii="Arial" w:cs="Arial" w:eastAsia="Arial" w:hAnsi="Arial"/>
                <w:sz w:val="20"/>
                <w:szCs w:val="20"/>
                <w:color w:val="3E3935"/>
                <w:w w:val="97"/>
              </w:rPr>
              <w:t>Guidelines</w:t>
            </w:r>
          </w:p>
        </w:tc>
        <w:tc>
          <w:tcPr>
            <w:tcW w:w="420" w:type="dxa"/>
            <w:vAlign w:val="bottom"/>
          </w:tcPr>
          <w:p>
            <w:pPr>
              <w:jc w:val="right"/>
              <w:spacing w:after="0" w:line="214" w:lineRule="exact"/>
              <w:rPr>
                <w:sz w:val="20"/>
                <w:szCs w:val="20"/>
                <w:color w:val="auto"/>
              </w:rPr>
            </w:pPr>
            <w:r>
              <w:rPr>
                <w:rFonts w:ascii="Arial" w:cs="Arial" w:eastAsia="Arial" w:hAnsi="Arial"/>
                <w:sz w:val="20"/>
                <w:szCs w:val="20"/>
                <w:color w:val="3E3935"/>
              </w:rPr>
              <w:t>for</w:t>
            </w:r>
          </w:p>
        </w:tc>
      </w:tr>
      <w:tr>
        <w:trPr>
          <w:trHeight w:val="240"/>
        </w:trPr>
        <w:tc>
          <w:tcPr>
            <w:tcW w:w="2180" w:type="dxa"/>
            <w:vAlign w:val="bottom"/>
            <w:tcBorders>
              <w:bottom w:val="single" w:sz="8" w:color="3E3935"/>
            </w:tcBorders>
          </w:tcPr>
          <w:p>
            <w:pPr>
              <w:spacing w:after="0"/>
              <w:rPr>
                <w:sz w:val="20"/>
                <w:szCs w:val="20"/>
                <w:color w:val="auto"/>
              </w:rPr>
            </w:pPr>
          </w:p>
        </w:tc>
        <w:tc>
          <w:tcPr>
            <w:tcW w:w="2140" w:type="dxa"/>
            <w:vAlign w:val="bottom"/>
            <w:tcBorders>
              <w:bottom w:val="single" w:sz="8" w:color="3E3935"/>
            </w:tcBorders>
            <w:gridSpan w:val="4"/>
          </w:tcPr>
          <w:p>
            <w:pPr>
              <w:ind w:left="260"/>
              <w:spacing w:after="0"/>
              <w:rPr>
                <w:sz w:val="20"/>
                <w:szCs w:val="20"/>
                <w:color w:val="auto"/>
              </w:rPr>
            </w:pPr>
            <w:r>
              <w:rPr>
                <w:rFonts w:ascii="Arial" w:cs="Arial" w:eastAsia="Arial" w:hAnsi="Arial"/>
                <w:sz w:val="20"/>
                <w:szCs w:val="20"/>
                <w:color w:val="3E3935"/>
              </w:rPr>
              <w:t>Employee Conduct</w:t>
            </w:r>
          </w:p>
        </w:tc>
        <w:tc>
          <w:tcPr>
            <w:tcW w:w="6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r>
      <w:tr>
        <w:trPr>
          <w:trHeight w:val="24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Committees</w:t>
            </w:r>
          </w:p>
        </w:tc>
        <w:tc>
          <w:tcPr>
            <w:tcW w:w="1720" w:type="dxa"/>
            <w:vAlign w:val="bottom"/>
            <w:gridSpan w:val="3"/>
          </w:tcPr>
          <w:p>
            <w:pPr>
              <w:ind w:left="260"/>
              <w:spacing w:after="0"/>
              <w:rPr>
                <w:sz w:val="20"/>
                <w:szCs w:val="20"/>
                <w:color w:val="auto"/>
              </w:rPr>
            </w:pPr>
            <w:r>
              <w:rPr>
                <w:rFonts w:ascii="Arial" w:cs="Arial" w:eastAsia="Arial" w:hAnsi="Arial"/>
                <w:sz w:val="20"/>
                <w:szCs w:val="20"/>
                <w:color w:val="3E3935"/>
                <w:w w:val="97"/>
              </w:rPr>
              <w:t>Audit Committee</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4"/>
        </w:trPr>
        <w:tc>
          <w:tcPr>
            <w:tcW w:w="2180" w:type="dxa"/>
            <w:vAlign w:val="bottom"/>
          </w:tcPr>
          <w:p>
            <w:pPr>
              <w:spacing w:after="0"/>
              <w:rPr>
                <w:sz w:val="18"/>
                <w:szCs w:val="18"/>
                <w:color w:val="auto"/>
              </w:rPr>
            </w:pPr>
          </w:p>
        </w:tc>
        <w:tc>
          <w:tcPr>
            <w:tcW w:w="2140" w:type="dxa"/>
            <w:vAlign w:val="bottom"/>
            <w:gridSpan w:val="4"/>
          </w:tcPr>
          <w:p>
            <w:pPr>
              <w:ind w:left="260"/>
              <w:spacing w:after="0" w:line="214" w:lineRule="exact"/>
              <w:rPr>
                <w:sz w:val="20"/>
                <w:szCs w:val="20"/>
                <w:color w:val="auto"/>
              </w:rPr>
            </w:pPr>
            <w:r>
              <w:rPr>
                <w:rFonts w:ascii="Arial" w:cs="Arial" w:eastAsia="Arial" w:hAnsi="Arial"/>
                <w:sz w:val="20"/>
                <w:szCs w:val="20"/>
                <w:color w:val="3E3935"/>
                <w:w w:val="98"/>
              </w:rPr>
              <w:t>Executive Committee</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2180" w:type="dxa"/>
            <w:vAlign w:val="bottom"/>
          </w:tcPr>
          <w:p>
            <w:pPr>
              <w:spacing w:after="0"/>
              <w:rPr>
                <w:sz w:val="18"/>
                <w:szCs w:val="18"/>
                <w:color w:val="auto"/>
              </w:rPr>
            </w:pPr>
          </w:p>
        </w:tc>
        <w:tc>
          <w:tcPr>
            <w:tcW w:w="1620" w:type="dxa"/>
            <w:vAlign w:val="bottom"/>
            <w:gridSpan w:val="2"/>
          </w:tcPr>
          <w:p>
            <w:pPr>
              <w:ind w:left="260"/>
              <w:spacing w:after="0" w:line="214" w:lineRule="exact"/>
              <w:rPr>
                <w:sz w:val="20"/>
                <w:szCs w:val="20"/>
                <w:color w:val="auto"/>
              </w:rPr>
            </w:pPr>
            <w:r>
              <w:rPr>
                <w:rFonts w:ascii="Arial" w:cs="Arial" w:eastAsia="Arial" w:hAnsi="Arial"/>
                <w:sz w:val="20"/>
                <w:szCs w:val="20"/>
                <w:color w:val="3E3935"/>
              </w:rPr>
              <w:t>Executive</w:t>
            </w:r>
          </w:p>
        </w:tc>
        <w:tc>
          <w:tcPr>
            <w:tcW w:w="100" w:type="dxa"/>
            <w:vAlign w:val="bottom"/>
          </w:tcPr>
          <w:p>
            <w:pPr>
              <w:spacing w:after="0"/>
              <w:rPr>
                <w:sz w:val="18"/>
                <w:szCs w:val="18"/>
                <w:color w:val="auto"/>
              </w:rPr>
            </w:pPr>
          </w:p>
        </w:tc>
        <w:tc>
          <w:tcPr>
            <w:tcW w:w="1440" w:type="dxa"/>
            <w:vAlign w:val="bottom"/>
            <w:gridSpan w:val="3"/>
          </w:tcPr>
          <w:p>
            <w:pPr>
              <w:jc w:val="right"/>
              <w:spacing w:after="0" w:line="214" w:lineRule="exact"/>
              <w:rPr>
                <w:sz w:val="20"/>
                <w:szCs w:val="20"/>
                <w:color w:val="auto"/>
              </w:rPr>
            </w:pPr>
            <w:r>
              <w:rPr>
                <w:rFonts w:ascii="Arial" w:cs="Arial" w:eastAsia="Arial" w:hAnsi="Arial"/>
                <w:sz w:val="20"/>
                <w:szCs w:val="20"/>
                <w:color w:val="3E3935"/>
              </w:rPr>
              <w:t>Compensation</w:t>
            </w:r>
          </w:p>
        </w:tc>
      </w:tr>
      <w:tr>
        <w:trPr>
          <w:trHeight w:val="214"/>
        </w:trPr>
        <w:tc>
          <w:tcPr>
            <w:tcW w:w="2180" w:type="dxa"/>
            <w:vAlign w:val="bottom"/>
          </w:tcPr>
          <w:p>
            <w:pPr>
              <w:spacing w:after="0"/>
              <w:rPr>
                <w:sz w:val="18"/>
                <w:szCs w:val="18"/>
                <w:color w:val="auto"/>
              </w:rPr>
            </w:pPr>
          </w:p>
        </w:tc>
        <w:tc>
          <w:tcPr>
            <w:tcW w:w="1620" w:type="dxa"/>
            <w:vAlign w:val="bottom"/>
            <w:gridSpan w:val="2"/>
          </w:tcPr>
          <w:p>
            <w:pPr>
              <w:ind w:left="460"/>
              <w:spacing w:after="0" w:line="214" w:lineRule="exact"/>
              <w:rPr>
                <w:sz w:val="20"/>
                <w:szCs w:val="20"/>
                <w:color w:val="auto"/>
              </w:rPr>
            </w:pPr>
            <w:r>
              <w:rPr>
                <w:rFonts w:ascii="Arial" w:cs="Arial" w:eastAsia="Arial" w:hAnsi="Arial"/>
                <w:sz w:val="20"/>
                <w:szCs w:val="20"/>
                <w:color w:val="3E3935"/>
              </w:rPr>
              <w:t>Committee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2180" w:type="dxa"/>
            <w:vAlign w:val="bottom"/>
          </w:tcPr>
          <w:p>
            <w:pPr>
              <w:spacing w:after="0"/>
              <w:rPr>
                <w:sz w:val="18"/>
                <w:szCs w:val="18"/>
                <w:color w:val="auto"/>
              </w:rPr>
            </w:pPr>
          </w:p>
        </w:tc>
        <w:tc>
          <w:tcPr>
            <w:tcW w:w="1620" w:type="dxa"/>
            <w:vAlign w:val="bottom"/>
            <w:gridSpan w:val="2"/>
          </w:tcPr>
          <w:p>
            <w:pPr>
              <w:ind w:left="260"/>
              <w:spacing w:after="0" w:line="214" w:lineRule="exact"/>
              <w:rPr>
                <w:sz w:val="20"/>
                <w:szCs w:val="20"/>
                <w:color w:val="auto"/>
              </w:rPr>
            </w:pPr>
            <w:r>
              <w:rPr>
                <w:rFonts w:ascii="Arial" w:cs="Arial" w:eastAsia="Arial" w:hAnsi="Arial"/>
                <w:sz w:val="20"/>
                <w:szCs w:val="20"/>
                <w:color w:val="3E3935"/>
              </w:rPr>
              <w:t>Governance</w:t>
            </w:r>
          </w:p>
        </w:tc>
        <w:tc>
          <w:tcPr>
            <w:tcW w:w="520" w:type="dxa"/>
            <w:vAlign w:val="bottom"/>
            <w:gridSpan w:val="2"/>
          </w:tcPr>
          <w:p>
            <w:pPr>
              <w:ind w:left="20"/>
              <w:spacing w:after="0" w:line="214" w:lineRule="exact"/>
              <w:rPr>
                <w:sz w:val="20"/>
                <w:szCs w:val="20"/>
                <w:color w:val="auto"/>
              </w:rPr>
            </w:pPr>
            <w:r>
              <w:rPr>
                <w:rFonts w:ascii="Arial" w:cs="Arial" w:eastAsia="Arial" w:hAnsi="Arial"/>
                <w:sz w:val="20"/>
                <w:szCs w:val="20"/>
                <w:color w:val="3E3935"/>
              </w:rPr>
              <w:t>and</w:t>
            </w:r>
          </w:p>
        </w:tc>
        <w:tc>
          <w:tcPr>
            <w:tcW w:w="1020" w:type="dxa"/>
            <w:vAlign w:val="bottom"/>
            <w:gridSpan w:val="2"/>
          </w:tcPr>
          <w:p>
            <w:pPr>
              <w:jc w:val="right"/>
              <w:spacing w:after="0" w:line="214" w:lineRule="exact"/>
              <w:rPr>
                <w:sz w:val="20"/>
                <w:szCs w:val="20"/>
                <w:color w:val="auto"/>
              </w:rPr>
            </w:pPr>
            <w:r>
              <w:rPr>
                <w:rFonts w:ascii="Arial" w:cs="Arial" w:eastAsia="Arial" w:hAnsi="Arial"/>
                <w:sz w:val="20"/>
                <w:szCs w:val="20"/>
                <w:color w:val="3E3935"/>
              </w:rPr>
              <w:t>Corporate</w:t>
            </w:r>
          </w:p>
        </w:tc>
      </w:tr>
      <w:tr>
        <w:trPr>
          <w:trHeight w:val="214"/>
        </w:trPr>
        <w:tc>
          <w:tcPr>
            <w:tcW w:w="2180" w:type="dxa"/>
            <w:vAlign w:val="bottom"/>
          </w:tcPr>
          <w:p>
            <w:pPr>
              <w:spacing w:after="0"/>
              <w:rPr>
                <w:sz w:val="18"/>
                <w:szCs w:val="18"/>
                <w:color w:val="auto"/>
              </w:rPr>
            </w:pPr>
          </w:p>
        </w:tc>
        <w:tc>
          <w:tcPr>
            <w:tcW w:w="2740" w:type="dxa"/>
            <w:vAlign w:val="bottom"/>
            <w:gridSpan w:val="5"/>
          </w:tcPr>
          <w:p>
            <w:pPr>
              <w:ind w:left="460"/>
              <w:spacing w:after="0" w:line="214" w:lineRule="exact"/>
              <w:rPr>
                <w:sz w:val="20"/>
                <w:szCs w:val="20"/>
                <w:color w:val="auto"/>
              </w:rPr>
            </w:pPr>
            <w:r>
              <w:rPr>
                <w:rFonts w:ascii="Arial" w:cs="Arial" w:eastAsia="Arial" w:hAnsi="Arial"/>
                <w:sz w:val="20"/>
                <w:szCs w:val="20"/>
                <w:color w:val="3E3935"/>
              </w:rPr>
              <w:t>Responsibility Committee</w:t>
            </w:r>
          </w:p>
        </w:tc>
        <w:tc>
          <w:tcPr>
            <w:tcW w:w="420" w:type="dxa"/>
            <w:vAlign w:val="bottom"/>
          </w:tcPr>
          <w:p>
            <w:pPr>
              <w:spacing w:after="0"/>
              <w:rPr>
                <w:sz w:val="18"/>
                <w:szCs w:val="18"/>
                <w:color w:val="auto"/>
              </w:rPr>
            </w:pPr>
          </w:p>
        </w:tc>
      </w:tr>
      <w:tr>
        <w:trPr>
          <w:trHeight w:val="214"/>
        </w:trPr>
        <w:tc>
          <w:tcPr>
            <w:tcW w:w="2180" w:type="dxa"/>
            <w:vAlign w:val="bottom"/>
          </w:tcPr>
          <w:p>
            <w:pPr>
              <w:spacing w:after="0"/>
              <w:rPr>
                <w:sz w:val="18"/>
                <w:szCs w:val="18"/>
                <w:color w:val="auto"/>
              </w:rPr>
            </w:pPr>
          </w:p>
        </w:tc>
        <w:tc>
          <w:tcPr>
            <w:tcW w:w="2140" w:type="dxa"/>
            <w:vAlign w:val="bottom"/>
            <w:gridSpan w:val="4"/>
          </w:tcPr>
          <w:p>
            <w:pPr>
              <w:ind w:left="260"/>
              <w:spacing w:after="0" w:line="214" w:lineRule="exact"/>
              <w:rPr>
                <w:sz w:val="20"/>
                <w:szCs w:val="20"/>
                <w:color w:val="auto"/>
              </w:rPr>
            </w:pPr>
            <w:r>
              <w:rPr>
                <w:rFonts w:ascii="Arial" w:cs="Arial" w:eastAsia="Arial" w:hAnsi="Arial"/>
                <w:sz w:val="20"/>
                <w:szCs w:val="20"/>
                <w:color w:val="3E3935"/>
              </w:rPr>
              <w:t>Finance Committee</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4"/>
        </w:trPr>
        <w:tc>
          <w:tcPr>
            <w:tcW w:w="2180" w:type="dxa"/>
            <w:vAlign w:val="bottom"/>
          </w:tcPr>
          <w:p>
            <w:pPr>
              <w:spacing w:after="0"/>
              <w:rPr>
                <w:sz w:val="18"/>
                <w:szCs w:val="18"/>
                <w:color w:val="auto"/>
              </w:rPr>
            </w:pPr>
          </w:p>
        </w:tc>
        <w:tc>
          <w:tcPr>
            <w:tcW w:w="1000" w:type="dxa"/>
            <w:vAlign w:val="bottom"/>
          </w:tcPr>
          <w:p>
            <w:pPr>
              <w:ind w:left="260"/>
              <w:spacing w:after="0" w:line="214" w:lineRule="exact"/>
              <w:rPr>
                <w:sz w:val="20"/>
                <w:szCs w:val="20"/>
                <w:color w:val="auto"/>
              </w:rPr>
            </w:pPr>
            <w:r>
              <w:rPr>
                <w:rFonts w:ascii="Arial" w:cs="Arial" w:eastAsia="Arial" w:hAnsi="Arial"/>
                <w:sz w:val="20"/>
                <w:szCs w:val="20"/>
                <w:color w:val="3E3935"/>
              </w:rPr>
              <w:t>Risk</w:t>
            </w:r>
          </w:p>
        </w:tc>
        <w:tc>
          <w:tcPr>
            <w:tcW w:w="620" w:type="dxa"/>
            <w:vAlign w:val="bottom"/>
          </w:tcPr>
          <w:p>
            <w:pPr>
              <w:ind w:left="140"/>
              <w:spacing w:after="0" w:line="214" w:lineRule="exact"/>
              <w:rPr>
                <w:sz w:val="20"/>
                <w:szCs w:val="20"/>
                <w:color w:val="auto"/>
              </w:rPr>
            </w:pPr>
            <w:r>
              <w:rPr>
                <w:rFonts w:ascii="Arial" w:cs="Arial" w:eastAsia="Arial" w:hAnsi="Arial"/>
                <w:sz w:val="20"/>
                <w:szCs w:val="20"/>
                <w:color w:val="3E3935"/>
              </w:rPr>
              <w:t>and</w:t>
            </w:r>
          </w:p>
        </w:tc>
        <w:tc>
          <w:tcPr>
            <w:tcW w:w="100" w:type="dxa"/>
            <w:vAlign w:val="bottom"/>
          </w:tcPr>
          <w:p>
            <w:pPr>
              <w:spacing w:after="0"/>
              <w:rPr>
                <w:sz w:val="18"/>
                <w:szCs w:val="18"/>
                <w:color w:val="auto"/>
              </w:rPr>
            </w:pPr>
          </w:p>
        </w:tc>
        <w:tc>
          <w:tcPr>
            <w:tcW w:w="1440" w:type="dxa"/>
            <w:vAlign w:val="bottom"/>
            <w:gridSpan w:val="3"/>
          </w:tcPr>
          <w:p>
            <w:pPr>
              <w:jc w:val="right"/>
              <w:spacing w:after="0" w:line="214" w:lineRule="exact"/>
              <w:rPr>
                <w:sz w:val="20"/>
                <w:szCs w:val="20"/>
                <w:color w:val="auto"/>
              </w:rPr>
            </w:pPr>
            <w:r>
              <w:rPr>
                <w:rFonts w:ascii="Arial" w:cs="Arial" w:eastAsia="Arial" w:hAnsi="Arial"/>
                <w:sz w:val="20"/>
                <w:szCs w:val="20"/>
                <w:color w:val="3E3935"/>
              </w:rPr>
              <w:t>Cybersecurity</w:t>
            </w:r>
          </w:p>
        </w:tc>
      </w:tr>
      <w:tr>
        <w:trPr>
          <w:trHeight w:val="235"/>
        </w:trPr>
        <w:tc>
          <w:tcPr>
            <w:tcW w:w="2180" w:type="dxa"/>
            <w:vAlign w:val="bottom"/>
          </w:tcPr>
          <w:p>
            <w:pPr>
              <w:spacing w:after="0"/>
              <w:rPr>
                <w:sz w:val="20"/>
                <w:szCs w:val="20"/>
                <w:color w:val="auto"/>
              </w:rPr>
            </w:pPr>
          </w:p>
        </w:tc>
        <w:tc>
          <w:tcPr>
            <w:tcW w:w="1620" w:type="dxa"/>
            <w:vAlign w:val="bottom"/>
            <w:gridSpan w:val="2"/>
          </w:tcPr>
          <w:p>
            <w:pPr>
              <w:ind w:left="460"/>
              <w:spacing w:after="0"/>
              <w:rPr>
                <w:sz w:val="20"/>
                <w:szCs w:val="20"/>
                <w:color w:val="auto"/>
              </w:rPr>
            </w:pPr>
            <w:r>
              <w:rPr>
                <w:rFonts w:ascii="Arial" w:cs="Arial" w:eastAsia="Arial" w:hAnsi="Arial"/>
                <w:sz w:val="20"/>
                <w:szCs w:val="20"/>
                <w:color w:val="3E3935"/>
              </w:rPr>
              <w:t>Committee</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
        </w:trPr>
        <w:tc>
          <w:tcPr>
            <w:tcW w:w="2180" w:type="dxa"/>
            <w:vAlign w:val="bottom"/>
            <w:tcBorders>
              <w:bottom w:val="single" w:sz="8" w:color="3E3935"/>
            </w:tcBorders>
          </w:tcPr>
          <w:p>
            <w:pPr>
              <w:spacing w:after="0" w:line="20" w:lineRule="exact"/>
              <w:rPr>
                <w:sz w:val="1"/>
                <w:szCs w:val="1"/>
                <w:color w:val="auto"/>
              </w:rPr>
            </w:pPr>
          </w:p>
        </w:tc>
        <w:tc>
          <w:tcPr>
            <w:tcW w:w="2140" w:type="dxa"/>
            <w:vAlign w:val="bottom"/>
            <w:tcBorders>
              <w:bottom w:val="single" w:sz="8" w:color="3E3935"/>
            </w:tcBorders>
            <w:gridSpan w:val="4"/>
          </w:tcPr>
          <w:p>
            <w:pPr>
              <w:spacing w:after="0" w:line="20" w:lineRule="exact"/>
              <w:rPr>
                <w:sz w:val="1"/>
                <w:szCs w:val="1"/>
                <w:color w:val="auto"/>
              </w:rPr>
            </w:pPr>
          </w:p>
        </w:tc>
        <w:tc>
          <w:tcPr>
            <w:tcW w:w="600" w:type="dxa"/>
            <w:vAlign w:val="bottom"/>
            <w:tcBorders>
              <w:bottom w:val="single" w:sz="8" w:color="3E3935"/>
            </w:tcBorders>
          </w:tcPr>
          <w:p>
            <w:pPr>
              <w:spacing w:after="0" w:line="20" w:lineRule="exact"/>
              <w:rPr>
                <w:sz w:val="1"/>
                <w:szCs w:val="1"/>
                <w:color w:val="auto"/>
              </w:rPr>
            </w:pPr>
          </w:p>
        </w:tc>
        <w:tc>
          <w:tcPr>
            <w:tcW w:w="420" w:type="dxa"/>
            <w:vAlign w:val="bottom"/>
            <w:tcBorders>
              <w:bottom w:val="single" w:sz="8" w:color="3E3935"/>
            </w:tcBorders>
          </w:tcPr>
          <w:p>
            <w:pPr>
              <w:spacing w:after="0" w:line="20" w:lineRule="exact"/>
              <w:rPr>
                <w:sz w:val="1"/>
                <w:szCs w:val="1"/>
                <w:color w:val="auto"/>
              </w:rPr>
            </w:pPr>
          </w:p>
        </w:tc>
      </w:tr>
      <w:tr>
        <w:trPr>
          <w:trHeight w:val="270"/>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DSU</w:t>
            </w:r>
          </w:p>
        </w:tc>
        <w:tc>
          <w:tcPr>
            <w:tcW w:w="2140" w:type="dxa"/>
            <w:vAlign w:val="bottom"/>
            <w:tcBorders>
              <w:bottom w:val="single" w:sz="8" w:color="3E3935"/>
            </w:tcBorders>
            <w:gridSpan w:val="4"/>
          </w:tcPr>
          <w:p>
            <w:pPr>
              <w:ind w:left="260"/>
              <w:spacing w:after="0"/>
              <w:rPr>
                <w:sz w:val="20"/>
                <w:szCs w:val="20"/>
                <w:color w:val="auto"/>
              </w:rPr>
            </w:pPr>
            <w:r>
              <w:rPr>
                <w:rFonts w:ascii="Arial" w:cs="Arial" w:eastAsia="Arial" w:hAnsi="Arial"/>
                <w:sz w:val="20"/>
                <w:szCs w:val="20"/>
                <w:color w:val="3E3935"/>
              </w:rPr>
              <w:t>Deferred Share Unit</w:t>
            </w:r>
          </w:p>
        </w:tc>
        <w:tc>
          <w:tcPr>
            <w:tcW w:w="600" w:type="dxa"/>
            <w:vAlign w:val="bottom"/>
            <w:tcBorders>
              <w:bottom w:val="single" w:sz="8" w:color="3E3935"/>
            </w:tcBorders>
          </w:tcPr>
          <w:p>
            <w:pPr>
              <w:spacing w:after="0"/>
              <w:rPr>
                <w:sz w:val="23"/>
                <w:szCs w:val="23"/>
                <w:color w:val="auto"/>
              </w:rPr>
            </w:pPr>
          </w:p>
        </w:tc>
        <w:tc>
          <w:tcPr>
            <w:tcW w:w="420" w:type="dxa"/>
            <w:vAlign w:val="bottom"/>
            <w:tcBorders>
              <w:bottom w:val="single" w:sz="8" w:color="3E3935"/>
            </w:tcBorders>
          </w:tcPr>
          <w:p>
            <w:pPr>
              <w:spacing w:after="0"/>
              <w:rPr>
                <w:sz w:val="23"/>
                <w:szCs w:val="23"/>
                <w:color w:val="auto"/>
              </w:rPr>
            </w:pPr>
          </w:p>
        </w:tc>
      </w:tr>
      <w:tr>
        <w:trPr>
          <w:trHeight w:val="24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ESG</w:t>
            </w:r>
          </w:p>
        </w:tc>
        <w:tc>
          <w:tcPr>
            <w:tcW w:w="1620" w:type="dxa"/>
            <w:vAlign w:val="bottom"/>
            <w:gridSpan w:val="2"/>
          </w:tcPr>
          <w:p>
            <w:pPr>
              <w:ind w:left="260"/>
              <w:spacing w:after="0"/>
              <w:rPr>
                <w:sz w:val="20"/>
                <w:szCs w:val="20"/>
                <w:color w:val="auto"/>
              </w:rPr>
            </w:pPr>
            <w:r>
              <w:rPr>
                <w:rFonts w:ascii="Arial" w:cs="Arial" w:eastAsia="Arial" w:hAnsi="Arial"/>
                <w:sz w:val="20"/>
                <w:szCs w:val="20"/>
                <w:color w:val="3E3935"/>
              </w:rPr>
              <w:t>Environmental,</w:t>
            </w:r>
          </w:p>
        </w:tc>
        <w:tc>
          <w:tcPr>
            <w:tcW w:w="100" w:type="dxa"/>
            <w:vAlign w:val="bottom"/>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Arial" w:cs="Arial" w:eastAsia="Arial" w:hAnsi="Arial"/>
                <w:sz w:val="20"/>
                <w:szCs w:val="20"/>
                <w:color w:val="3E3935"/>
                <w:w w:val="99"/>
              </w:rPr>
              <w:t>Social,</w:t>
            </w:r>
          </w:p>
        </w:tc>
        <w:tc>
          <w:tcPr>
            <w:tcW w:w="420" w:type="dxa"/>
            <w:vAlign w:val="bottom"/>
          </w:tcPr>
          <w:p>
            <w:pPr>
              <w:jc w:val="right"/>
              <w:spacing w:after="0"/>
              <w:rPr>
                <w:sz w:val="20"/>
                <w:szCs w:val="20"/>
                <w:color w:val="auto"/>
              </w:rPr>
            </w:pPr>
            <w:r>
              <w:rPr>
                <w:rFonts w:ascii="Arial" w:cs="Arial" w:eastAsia="Arial" w:hAnsi="Arial"/>
                <w:sz w:val="20"/>
                <w:szCs w:val="20"/>
                <w:color w:val="3E3935"/>
              </w:rPr>
              <w:t>and</w:t>
            </w:r>
          </w:p>
        </w:tc>
      </w:tr>
      <w:tr>
        <w:trPr>
          <w:trHeight w:val="240"/>
        </w:trPr>
        <w:tc>
          <w:tcPr>
            <w:tcW w:w="2180" w:type="dxa"/>
            <w:vAlign w:val="bottom"/>
            <w:tcBorders>
              <w:bottom w:val="single" w:sz="8" w:color="3E3935"/>
            </w:tcBorders>
          </w:tcPr>
          <w:p>
            <w:pPr>
              <w:spacing w:after="0"/>
              <w:rPr>
                <w:sz w:val="20"/>
                <w:szCs w:val="20"/>
                <w:color w:val="auto"/>
              </w:rPr>
            </w:pPr>
          </w:p>
        </w:tc>
        <w:tc>
          <w:tcPr>
            <w:tcW w:w="1620" w:type="dxa"/>
            <w:vAlign w:val="bottom"/>
            <w:tcBorders>
              <w:bottom w:val="single" w:sz="8" w:color="3E3935"/>
            </w:tcBorders>
            <w:gridSpan w:val="2"/>
          </w:tcPr>
          <w:p>
            <w:pPr>
              <w:ind w:left="260"/>
              <w:spacing w:after="0"/>
              <w:rPr>
                <w:sz w:val="20"/>
                <w:szCs w:val="20"/>
                <w:color w:val="auto"/>
              </w:rPr>
            </w:pPr>
            <w:r>
              <w:rPr>
                <w:rFonts w:ascii="Arial" w:cs="Arial" w:eastAsia="Arial" w:hAnsi="Arial"/>
                <w:sz w:val="20"/>
                <w:szCs w:val="20"/>
                <w:color w:val="3E3935"/>
              </w:rPr>
              <w:t>Governance</w:t>
            </w:r>
          </w:p>
        </w:tc>
        <w:tc>
          <w:tcPr>
            <w:tcW w:w="1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c>
          <w:tcPr>
            <w:tcW w:w="6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EV</w:t>
            </w:r>
          </w:p>
        </w:tc>
        <w:tc>
          <w:tcPr>
            <w:tcW w:w="1620" w:type="dxa"/>
            <w:vAlign w:val="bottom"/>
            <w:tcBorders>
              <w:bottom w:val="single" w:sz="8" w:color="3E3935"/>
            </w:tcBorders>
            <w:gridSpan w:val="2"/>
          </w:tcPr>
          <w:p>
            <w:pPr>
              <w:ind w:left="260"/>
              <w:spacing w:after="0"/>
              <w:rPr>
                <w:sz w:val="20"/>
                <w:szCs w:val="20"/>
                <w:color w:val="auto"/>
              </w:rPr>
            </w:pPr>
            <w:r>
              <w:rPr>
                <w:rFonts w:ascii="Arial" w:cs="Arial" w:eastAsia="Arial" w:hAnsi="Arial"/>
                <w:sz w:val="20"/>
                <w:szCs w:val="20"/>
                <w:color w:val="3E3935"/>
                <w:w w:val="97"/>
              </w:rPr>
              <w:t>Electric Vehicle</w:t>
            </w:r>
          </w:p>
        </w:tc>
        <w:tc>
          <w:tcPr>
            <w:tcW w:w="100" w:type="dxa"/>
            <w:vAlign w:val="bottom"/>
            <w:tcBorders>
              <w:bottom w:val="single" w:sz="8" w:color="3E3935"/>
            </w:tcBorders>
          </w:tcPr>
          <w:p>
            <w:pPr>
              <w:spacing w:after="0"/>
              <w:rPr>
                <w:sz w:val="23"/>
                <w:szCs w:val="23"/>
                <w:color w:val="auto"/>
              </w:rPr>
            </w:pPr>
          </w:p>
        </w:tc>
        <w:tc>
          <w:tcPr>
            <w:tcW w:w="420" w:type="dxa"/>
            <w:vAlign w:val="bottom"/>
            <w:tcBorders>
              <w:bottom w:val="single" w:sz="8" w:color="3E3935"/>
            </w:tcBorders>
          </w:tcPr>
          <w:p>
            <w:pPr>
              <w:spacing w:after="0"/>
              <w:rPr>
                <w:sz w:val="23"/>
                <w:szCs w:val="23"/>
                <w:color w:val="auto"/>
              </w:rPr>
            </w:pPr>
          </w:p>
        </w:tc>
        <w:tc>
          <w:tcPr>
            <w:tcW w:w="600" w:type="dxa"/>
            <w:vAlign w:val="bottom"/>
            <w:tcBorders>
              <w:bottom w:val="single" w:sz="8" w:color="3E3935"/>
            </w:tcBorders>
          </w:tcPr>
          <w:p>
            <w:pPr>
              <w:spacing w:after="0"/>
              <w:rPr>
                <w:sz w:val="23"/>
                <w:szCs w:val="23"/>
                <w:color w:val="auto"/>
              </w:rPr>
            </w:pPr>
          </w:p>
        </w:tc>
        <w:tc>
          <w:tcPr>
            <w:tcW w:w="420" w:type="dxa"/>
            <w:vAlign w:val="bottom"/>
            <w:tcBorders>
              <w:bottom w:val="single" w:sz="8" w:color="3E3935"/>
            </w:tcBorders>
          </w:tcPr>
          <w:p>
            <w:pPr>
              <w:spacing w:after="0"/>
              <w:rPr>
                <w:sz w:val="23"/>
                <w:szCs w:val="23"/>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EY</w:t>
            </w:r>
          </w:p>
        </w:tc>
        <w:tc>
          <w:tcPr>
            <w:tcW w:w="2140" w:type="dxa"/>
            <w:vAlign w:val="bottom"/>
            <w:tcBorders>
              <w:bottom w:val="single" w:sz="8" w:color="3E3935"/>
            </w:tcBorders>
            <w:gridSpan w:val="4"/>
          </w:tcPr>
          <w:p>
            <w:pPr>
              <w:ind w:left="260"/>
              <w:spacing w:after="0"/>
              <w:rPr>
                <w:sz w:val="20"/>
                <w:szCs w:val="20"/>
                <w:color w:val="auto"/>
              </w:rPr>
            </w:pPr>
            <w:r>
              <w:rPr>
                <w:rFonts w:ascii="Arial" w:cs="Arial" w:eastAsia="Arial" w:hAnsi="Arial"/>
                <w:sz w:val="20"/>
                <w:szCs w:val="20"/>
                <w:color w:val="3E3935"/>
              </w:rPr>
              <w:t>Ernst &amp; Young LLP</w:t>
            </w:r>
          </w:p>
        </w:tc>
        <w:tc>
          <w:tcPr>
            <w:tcW w:w="600" w:type="dxa"/>
            <w:vAlign w:val="bottom"/>
            <w:tcBorders>
              <w:bottom w:val="single" w:sz="8" w:color="3E3935"/>
            </w:tcBorders>
          </w:tcPr>
          <w:p>
            <w:pPr>
              <w:spacing w:after="0"/>
              <w:rPr>
                <w:sz w:val="23"/>
                <w:szCs w:val="23"/>
                <w:color w:val="auto"/>
              </w:rPr>
            </w:pPr>
          </w:p>
        </w:tc>
        <w:tc>
          <w:tcPr>
            <w:tcW w:w="420" w:type="dxa"/>
            <w:vAlign w:val="bottom"/>
            <w:tcBorders>
              <w:bottom w:val="single" w:sz="8" w:color="3E3935"/>
            </w:tcBorders>
          </w:tcPr>
          <w:p>
            <w:pPr>
              <w:spacing w:after="0"/>
              <w:rPr>
                <w:sz w:val="23"/>
                <w:szCs w:val="23"/>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GM or the Company</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General Motors Company</w:t>
            </w:r>
          </w:p>
        </w:tc>
        <w:tc>
          <w:tcPr>
            <w:tcW w:w="420" w:type="dxa"/>
            <w:vAlign w:val="bottom"/>
            <w:tcBorders>
              <w:bottom w:val="single" w:sz="8" w:color="3E3935"/>
            </w:tcBorders>
          </w:tcPr>
          <w:p>
            <w:pPr>
              <w:spacing w:after="0"/>
              <w:rPr>
                <w:sz w:val="23"/>
                <w:szCs w:val="23"/>
                <w:color w:val="auto"/>
              </w:rPr>
            </w:pPr>
          </w:p>
        </w:tc>
      </w:tr>
      <w:tr>
        <w:trPr>
          <w:trHeight w:val="224"/>
        </w:trPr>
        <w:tc>
          <w:tcPr>
            <w:tcW w:w="2180" w:type="dxa"/>
            <w:vAlign w:val="bottom"/>
          </w:tcPr>
          <w:p>
            <w:pPr>
              <w:ind w:left="60"/>
              <w:spacing w:after="0" w:line="225" w:lineRule="exact"/>
              <w:rPr>
                <w:sz w:val="20"/>
                <w:szCs w:val="20"/>
                <w:color w:val="auto"/>
              </w:rPr>
            </w:pPr>
            <w:r>
              <w:rPr>
                <w:rFonts w:ascii="Arial" w:cs="Arial" w:eastAsia="Arial" w:hAnsi="Arial"/>
                <w:sz w:val="20"/>
                <w:szCs w:val="20"/>
                <w:b w:val="1"/>
                <w:bCs w:val="1"/>
                <w:color w:val="3E3935"/>
              </w:rPr>
              <w:t>Governance</w:t>
            </w:r>
          </w:p>
        </w:tc>
        <w:tc>
          <w:tcPr>
            <w:tcW w:w="1620" w:type="dxa"/>
            <w:vAlign w:val="bottom"/>
            <w:gridSpan w:val="2"/>
          </w:tcPr>
          <w:p>
            <w:pPr>
              <w:ind w:left="260"/>
              <w:spacing w:after="0" w:line="225" w:lineRule="exact"/>
              <w:rPr>
                <w:sz w:val="20"/>
                <w:szCs w:val="20"/>
                <w:color w:val="auto"/>
              </w:rPr>
            </w:pPr>
            <w:r>
              <w:rPr>
                <w:rFonts w:ascii="Arial" w:cs="Arial" w:eastAsia="Arial" w:hAnsi="Arial"/>
                <w:sz w:val="20"/>
                <w:szCs w:val="20"/>
                <w:color w:val="3E3935"/>
              </w:rPr>
              <w:t>Governance</w:t>
            </w:r>
          </w:p>
        </w:tc>
        <w:tc>
          <w:tcPr>
            <w:tcW w:w="520" w:type="dxa"/>
            <w:vAlign w:val="bottom"/>
            <w:gridSpan w:val="2"/>
          </w:tcPr>
          <w:p>
            <w:pPr>
              <w:ind w:left="20"/>
              <w:spacing w:after="0" w:line="225" w:lineRule="exact"/>
              <w:rPr>
                <w:sz w:val="20"/>
                <w:szCs w:val="20"/>
                <w:color w:val="auto"/>
              </w:rPr>
            </w:pPr>
            <w:r>
              <w:rPr>
                <w:rFonts w:ascii="Arial" w:cs="Arial" w:eastAsia="Arial" w:hAnsi="Arial"/>
                <w:sz w:val="20"/>
                <w:szCs w:val="20"/>
                <w:color w:val="3E3935"/>
              </w:rPr>
              <w:t>and</w:t>
            </w:r>
          </w:p>
        </w:tc>
        <w:tc>
          <w:tcPr>
            <w:tcW w:w="1020" w:type="dxa"/>
            <w:vAlign w:val="bottom"/>
            <w:gridSpan w:val="2"/>
          </w:tcPr>
          <w:p>
            <w:pPr>
              <w:jc w:val="right"/>
              <w:spacing w:after="0" w:line="225" w:lineRule="exact"/>
              <w:rPr>
                <w:sz w:val="20"/>
                <w:szCs w:val="20"/>
                <w:color w:val="auto"/>
              </w:rPr>
            </w:pPr>
            <w:r>
              <w:rPr>
                <w:rFonts w:ascii="Arial" w:cs="Arial" w:eastAsia="Arial" w:hAnsi="Arial"/>
                <w:sz w:val="20"/>
                <w:szCs w:val="20"/>
                <w:color w:val="3E3935"/>
              </w:rPr>
              <w:t>Corporate</w:t>
            </w:r>
          </w:p>
        </w:tc>
      </w:tr>
      <w:tr>
        <w:trPr>
          <w:trHeight w:val="26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Committee</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Responsibility Committee</w:t>
            </w:r>
          </w:p>
        </w:tc>
        <w:tc>
          <w:tcPr>
            <w:tcW w:w="420" w:type="dxa"/>
            <w:vAlign w:val="bottom"/>
            <w:tcBorders>
              <w:bottom w:val="single" w:sz="8" w:color="3E3935"/>
            </w:tcBorders>
          </w:tcPr>
          <w:p>
            <w:pPr>
              <w:spacing w:after="0"/>
              <w:rPr>
                <w:sz w:val="22"/>
                <w:szCs w:val="22"/>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LTIP</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Long-Term Incentive Plan</w:t>
            </w:r>
          </w:p>
        </w:tc>
        <w:tc>
          <w:tcPr>
            <w:tcW w:w="420" w:type="dxa"/>
            <w:vAlign w:val="bottom"/>
            <w:tcBorders>
              <w:bottom w:val="single" w:sz="8" w:color="3E3935"/>
            </w:tcBorders>
          </w:tcPr>
          <w:p>
            <w:pPr>
              <w:spacing w:after="0"/>
              <w:rPr>
                <w:sz w:val="23"/>
                <w:szCs w:val="23"/>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NEO</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Named Executive Officer</w:t>
            </w:r>
          </w:p>
        </w:tc>
        <w:tc>
          <w:tcPr>
            <w:tcW w:w="420" w:type="dxa"/>
            <w:vAlign w:val="bottom"/>
            <w:tcBorders>
              <w:bottom w:val="single" w:sz="8" w:color="3E3935"/>
            </w:tcBorders>
          </w:tcPr>
          <w:p>
            <w:pPr>
              <w:spacing w:after="0"/>
              <w:rPr>
                <w:sz w:val="23"/>
                <w:szCs w:val="23"/>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NYSE</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New York Stock Exchange</w:t>
            </w:r>
          </w:p>
        </w:tc>
        <w:tc>
          <w:tcPr>
            <w:tcW w:w="420" w:type="dxa"/>
            <w:vAlign w:val="bottom"/>
            <w:tcBorders>
              <w:bottom w:val="single" w:sz="8" w:color="3E3935"/>
            </w:tcBorders>
          </w:tcPr>
          <w:p>
            <w:pPr>
              <w:spacing w:after="0"/>
              <w:rPr>
                <w:sz w:val="23"/>
                <w:szCs w:val="23"/>
                <w:color w:val="auto"/>
              </w:rPr>
            </w:pPr>
          </w:p>
        </w:tc>
      </w:tr>
      <w:tr>
        <w:trPr>
          <w:trHeight w:val="24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SEC</w:t>
            </w:r>
          </w:p>
        </w:tc>
        <w:tc>
          <w:tcPr>
            <w:tcW w:w="1720" w:type="dxa"/>
            <w:vAlign w:val="bottom"/>
            <w:gridSpan w:val="3"/>
          </w:tcPr>
          <w:p>
            <w:pPr>
              <w:ind w:left="260"/>
              <w:spacing w:after="0"/>
              <w:rPr>
                <w:sz w:val="20"/>
                <w:szCs w:val="20"/>
                <w:color w:val="auto"/>
              </w:rPr>
            </w:pPr>
            <w:r>
              <w:rPr>
                <w:rFonts w:ascii="Arial" w:cs="Arial" w:eastAsia="Arial" w:hAnsi="Arial"/>
                <w:sz w:val="20"/>
                <w:szCs w:val="20"/>
                <w:color w:val="3E3935"/>
              </w:rPr>
              <w:t>U.S.  Securities</w:t>
            </w:r>
          </w:p>
        </w:tc>
        <w:tc>
          <w:tcPr>
            <w:tcW w:w="420" w:type="dxa"/>
            <w:vAlign w:val="bottom"/>
          </w:tcPr>
          <w:p>
            <w:pPr>
              <w:jc w:val="center"/>
              <w:spacing w:after="0"/>
              <w:rPr>
                <w:sz w:val="20"/>
                <w:szCs w:val="20"/>
                <w:color w:val="auto"/>
              </w:rPr>
            </w:pPr>
            <w:r>
              <w:rPr>
                <w:rFonts w:ascii="Arial" w:cs="Arial" w:eastAsia="Arial" w:hAnsi="Arial"/>
                <w:sz w:val="20"/>
                <w:szCs w:val="20"/>
                <w:color w:val="3E3935"/>
              </w:rPr>
              <w:t>and</w:t>
            </w:r>
          </w:p>
        </w:tc>
        <w:tc>
          <w:tcPr>
            <w:tcW w:w="1020" w:type="dxa"/>
            <w:vAlign w:val="bottom"/>
            <w:gridSpan w:val="2"/>
          </w:tcPr>
          <w:p>
            <w:pPr>
              <w:jc w:val="right"/>
              <w:spacing w:after="0"/>
              <w:rPr>
                <w:sz w:val="20"/>
                <w:szCs w:val="20"/>
                <w:color w:val="auto"/>
              </w:rPr>
            </w:pPr>
            <w:r>
              <w:rPr>
                <w:rFonts w:ascii="Arial" w:cs="Arial" w:eastAsia="Arial" w:hAnsi="Arial"/>
                <w:sz w:val="20"/>
                <w:szCs w:val="20"/>
                <w:color w:val="3E3935"/>
              </w:rPr>
              <w:t>Exchange</w:t>
            </w:r>
          </w:p>
        </w:tc>
      </w:tr>
      <w:tr>
        <w:trPr>
          <w:trHeight w:val="240"/>
        </w:trPr>
        <w:tc>
          <w:tcPr>
            <w:tcW w:w="2180" w:type="dxa"/>
            <w:vAlign w:val="bottom"/>
            <w:tcBorders>
              <w:bottom w:val="single" w:sz="8" w:color="3E3935"/>
            </w:tcBorders>
          </w:tcPr>
          <w:p>
            <w:pPr>
              <w:spacing w:after="0"/>
              <w:rPr>
                <w:sz w:val="20"/>
                <w:szCs w:val="20"/>
                <w:color w:val="auto"/>
              </w:rPr>
            </w:pPr>
          </w:p>
        </w:tc>
        <w:tc>
          <w:tcPr>
            <w:tcW w:w="1620" w:type="dxa"/>
            <w:vAlign w:val="bottom"/>
            <w:tcBorders>
              <w:bottom w:val="single" w:sz="8" w:color="3E3935"/>
            </w:tcBorders>
            <w:gridSpan w:val="2"/>
          </w:tcPr>
          <w:p>
            <w:pPr>
              <w:ind w:left="260"/>
              <w:spacing w:after="0"/>
              <w:rPr>
                <w:sz w:val="20"/>
                <w:szCs w:val="20"/>
                <w:color w:val="auto"/>
              </w:rPr>
            </w:pPr>
            <w:r>
              <w:rPr>
                <w:rFonts w:ascii="Arial" w:cs="Arial" w:eastAsia="Arial" w:hAnsi="Arial"/>
                <w:sz w:val="20"/>
                <w:szCs w:val="20"/>
                <w:color w:val="3E3935"/>
              </w:rPr>
              <w:t>Commission</w:t>
            </w:r>
          </w:p>
        </w:tc>
        <w:tc>
          <w:tcPr>
            <w:tcW w:w="1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c>
          <w:tcPr>
            <w:tcW w:w="600" w:type="dxa"/>
            <w:vAlign w:val="bottom"/>
            <w:tcBorders>
              <w:bottom w:val="single" w:sz="8" w:color="3E3935"/>
            </w:tcBorders>
          </w:tcPr>
          <w:p>
            <w:pPr>
              <w:spacing w:after="0"/>
              <w:rPr>
                <w:sz w:val="20"/>
                <w:szCs w:val="20"/>
                <w:color w:val="auto"/>
              </w:rPr>
            </w:pPr>
          </w:p>
        </w:tc>
        <w:tc>
          <w:tcPr>
            <w:tcW w:w="420" w:type="dxa"/>
            <w:vAlign w:val="bottom"/>
            <w:tcBorders>
              <w:bottom w:val="single" w:sz="8" w:color="3E3935"/>
            </w:tcBorders>
          </w:tcPr>
          <w:p>
            <w:pPr>
              <w:spacing w:after="0"/>
              <w:rPr>
                <w:sz w:val="20"/>
                <w:szCs w:val="20"/>
                <w:color w:val="auto"/>
              </w:rPr>
            </w:pPr>
          </w:p>
        </w:tc>
      </w:tr>
      <w:tr>
        <w:trPr>
          <w:trHeight w:val="224"/>
        </w:trPr>
        <w:tc>
          <w:tcPr>
            <w:tcW w:w="2180" w:type="dxa"/>
            <w:vAlign w:val="bottom"/>
          </w:tcPr>
          <w:p>
            <w:pPr>
              <w:ind w:left="60"/>
              <w:spacing w:after="0" w:line="225" w:lineRule="exact"/>
              <w:rPr>
                <w:sz w:val="20"/>
                <w:szCs w:val="20"/>
                <w:color w:val="auto"/>
              </w:rPr>
            </w:pPr>
            <w:r>
              <w:rPr>
                <w:rFonts w:ascii="Arial" w:cs="Arial" w:eastAsia="Arial" w:hAnsi="Arial"/>
                <w:sz w:val="20"/>
                <w:szCs w:val="20"/>
                <w:b w:val="1"/>
                <w:bCs w:val="1"/>
                <w:color w:val="3E3935"/>
              </w:rPr>
              <w:t>Senior Leadership</w:t>
            </w:r>
          </w:p>
        </w:tc>
        <w:tc>
          <w:tcPr>
            <w:tcW w:w="1000" w:type="dxa"/>
            <w:vAlign w:val="bottom"/>
          </w:tcPr>
          <w:p>
            <w:pPr>
              <w:ind w:left="260"/>
              <w:spacing w:after="0" w:line="225" w:lineRule="exact"/>
              <w:rPr>
                <w:sz w:val="20"/>
                <w:szCs w:val="20"/>
                <w:color w:val="auto"/>
              </w:rPr>
            </w:pPr>
            <w:r>
              <w:rPr>
                <w:rFonts w:ascii="Arial" w:cs="Arial" w:eastAsia="Arial" w:hAnsi="Arial"/>
                <w:sz w:val="20"/>
                <w:szCs w:val="20"/>
                <w:color w:val="3E3935"/>
              </w:rPr>
              <w:t>Certain</w:t>
            </w:r>
          </w:p>
        </w:tc>
        <w:tc>
          <w:tcPr>
            <w:tcW w:w="1740" w:type="dxa"/>
            <w:vAlign w:val="bottom"/>
            <w:gridSpan w:val="4"/>
          </w:tcPr>
          <w:p>
            <w:pPr>
              <w:jc w:val="center"/>
              <w:ind w:left="62"/>
              <w:spacing w:after="0" w:line="225" w:lineRule="exact"/>
              <w:rPr>
                <w:sz w:val="20"/>
                <w:szCs w:val="20"/>
                <w:color w:val="auto"/>
              </w:rPr>
            </w:pPr>
            <w:r>
              <w:rPr>
                <w:rFonts w:ascii="Arial" w:cs="Arial" w:eastAsia="Arial" w:hAnsi="Arial"/>
                <w:sz w:val="20"/>
                <w:szCs w:val="20"/>
                <w:color w:val="3E3935"/>
                <w:w w:val="98"/>
              </w:rPr>
              <w:t>members</w:t>
            </w:r>
          </w:p>
        </w:tc>
        <w:tc>
          <w:tcPr>
            <w:tcW w:w="420" w:type="dxa"/>
            <w:vAlign w:val="bottom"/>
          </w:tcPr>
          <w:p>
            <w:pPr>
              <w:jc w:val="right"/>
              <w:spacing w:after="0" w:line="225" w:lineRule="exact"/>
              <w:rPr>
                <w:sz w:val="20"/>
                <w:szCs w:val="20"/>
                <w:color w:val="auto"/>
              </w:rPr>
            </w:pPr>
            <w:r>
              <w:rPr>
                <w:rFonts w:ascii="Arial" w:cs="Arial" w:eastAsia="Arial" w:hAnsi="Arial"/>
                <w:sz w:val="20"/>
                <w:szCs w:val="20"/>
                <w:color w:val="3E3935"/>
              </w:rPr>
              <w:t>of</w:t>
            </w:r>
          </w:p>
        </w:tc>
      </w:tr>
      <w:tr>
        <w:trPr>
          <w:trHeight w:val="238"/>
        </w:trPr>
        <w:tc>
          <w:tcPr>
            <w:tcW w:w="2180" w:type="dxa"/>
            <w:vAlign w:val="bottom"/>
          </w:tcPr>
          <w:p>
            <w:pPr>
              <w:ind w:left="60"/>
              <w:spacing w:after="0"/>
              <w:rPr>
                <w:sz w:val="20"/>
                <w:szCs w:val="20"/>
                <w:color w:val="auto"/>
              </w:rPr>
            </w:pPr>
            <w:r>
              <w:rPr>
                <w:rFonts w:ascii="Arial" w:cs="Arial" w:eastAsia="Arial" w:hAnsi="Arial"/>
                <w:sz w:val="20"/>
                <w:szCs w:val="20"/>
                <w:b w:val="1"/>
                <w:bCs w:val="1"/>
                <w:color w:val="3E3935"/>
              </w:rPr>
              <w:t>Team</w:t>
            </w:r>
          </w:p>
        </w:tc>
        <w:tc>
          <w:tcPr>
            <w:tcW w:w="3160" w:type="dxa"/>
            <w:vAlign w:val="bottom"/>
            <w:gridSpan w:val="6"/>
          </w:tcPr>
          <w:p>
            <w:pPr>
              <w:ind w:left="260"/>
              <w:spacing w:after="0"/>
              <w:rPr>
                <w:sz w:val="20"/>
                <w:szCs w:val="20"/>
                <w:color w:val="auto"/>
              </w:rPr>
            </w:pPr>
            <w:r>
              <w:rPr>
                <w:rFonts w:ascii="Arial" w:cs="Arial" w:eastAsia="Arial" w:hAnsi="Arial"/>
                <w:sz w:val="20"/>
                <w:szCs w:val="20"/>
                <w:color w:val="3E3935"/>
              </w:rPr>
              <w:t>management who report directly</w:t>
            </w:r>
          </w:p>
        </w:tc>
      </w:tr>
      <w:tr>
        <w:trPr>
          <w:trHeight w:val="240"/>
        </w:trPr>
        <w:tc>
          <w:tcPr>
            <w:tcW w:w="2180" w:type="dxa"/>
            <w:vAlign w:val="bottom"/>
            <w:tcBorders>
              <w:bottom w:val="single" w:sz="8" w:color="3E3935"/>
            </w:tcBorders>
          </w:tcPr>
          <w:p>
            <w:pPr>
              <w:spacing w:after="0"/>
              <w:rPr>
                <w:sz w:val="20"/>
                <w:szCs w:val="20"/>
                <w:color w:val="auto"/>
              </w:rPr>
            </w:pP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to the CEO or the President</w:t>
            </w:r>
          </w:p>
        </w:tc>
        <w:tc>
          <w:tcPr>
            <w:tcW w:w="420" w:type="dxa"/>
            <w:vAlign w:val="bottom"/>
            <w:tcBorders>
              <w:bottom w:val="single" w:sz="8" w:color="3E3935"/>
            </w:tcBorders>
          </w:tcPr>
          <w:p>
            <w:pPr>
              <w:spacing w:after="0"/>
              <w:rPr>
                <w:sz w:val="20"/>
                <w:szCs w:val="20"/>
                <w:color w:val="auto"/>
              </w:rPr>
            </w:pPr>
          </w:p>
        </w:tc>
      </w:tr>
      <w:tr>
        <w:trPr>
          <w:trHeight w:val="274"/>
        </w:trPr>
        <w:tc>
          <w:tcPr>
            <w:tcW w:w="21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STIP</w:t>
            </w:r>
          </w:p>
        </w:tc>
        <w:tc>
          <w:tcPr>
            <w:tcW w:w="2740" w:type="dxa"/>
            <w:vAlign w:val="bottom"/>
            <w:tcBorders>
              <w:bottom w:val="single" w:sz="8" w:color="3E3935"/>
            </w:tcBorders>
            <w:gridSpan w:val="5"/>
          </w:tcPr>
          <w:p>
            <w:pPr>
              <w:ind w:left="260"/>
              <w:spacing w:after="0"/>
              <w:rPr>
                <w:sz w:val="20"/>
                <w:szCs w:val="20"/>
                <w:color w:val="auto"/>
              </w:rPr>
            </w:pPr>
            <w:r>
              <w:rPr>
                <w:rFonts w:ascii="Arial" w:cs="Arial" w:eastAsia="Arial" w:hAnsi="Arial"/>
                <w:sz w:val="20"/>
                <w:szCs w:val="20"/>
                <w:color w:val="3E3935"/>
              </w:rPr>
              <w:t>Short-Term Incentive Plan</w:t>
            </w:r>
          </w:p>
        </w:tc>
        <w:tc>
          <w:tcPr>
            <w:tcW w:w="420" w:type="dxa"/>
            <w:vAlign w:val="bottom"/>
            <w:tcBorders>
              <w:bottom w:val="single" w:sz="8" w:color="3E3935"/>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5080" w:space="660"/>
            <w:col w:w="5340"/>
          </w:cols>
          <w:pgMar w:left="320" w:top="456" w:right="499" w:bottom="1440" w:gutter="0" w:footer="0" w:header="0"/>
        </w:sectPr>
      </w:pPr>
    </w:p>
    <w:p>
      <w:pPr>
        <w:spacing w:after="0" w:line="267" w:lineRule="exact"/>
        <w:rPr>
          <w:sz w:val="20"/>
          <w:szCs w:val="20"/>
          <w:color w:val="auto"/>
        </w:rPr>
      </w:pPr>
    </w:p>
    <w:p>
      <w:pPr>
        <w:jc w:val="both"/>
        <w:ind w:left="160"/>
        <w:spacing w:after="0" w:line="244" w:lineRule="auto"/>
        <w:rPr>
          <w:sz w:val="20"/>
          <w:szCs w:val="20"/>
          <w:color w:val="auto"/>
        </w:rPr>
      </w:pPr>
      <w:r>
        <w:rPr>
          <w:rFonts w:ascii="Arial" w:cs="Arial" w:eastAsia="Arial" w:hAnsi="Arial"/>
          <w:sz w:val="19"/>
          <w:szCs w:val="19"/>
          <w:b w:val="1"/>
          <w:bCs w:val="1"/>
          <w:i w:val="1"/>
          <w:iCs w:val="1"/>
          <w:color w:val="0071CE"/>
        </w:rPr>
        <w:t xml:space="preserve">Cautionary Note on Forward-Looking Statements: </w:t>
      </w:r>
      <w:r>
        <w:rPr>
          <w:rFonts w:ascii="Arial" w:cs="Arial" w:eastAsia="Arial" w:hAnsi="Arial"/>
          <w:sz w:val="19"/>
          <w:szCs w:val="19"/>
          <w:color w:val="3E3935"/>
        </w:rPr>
        <w:t>This Proxy Statement contains “forward-looking” statements regarding</w:t>
      </w:r>
      <w:r>
        <w:rPr>
          <w:rFonts w:ascii="Arial" w:cs="Arial" w:eastAsia="Arial" w:hAnsi="Arial"/>
          <w:sz w:val="19"/>
          <w:szCs w:val="19"/>
          <w:b w:val="1"/>
          <w:bCs w:val="1"/>
          <w:i w:val="1"/>
          <w:iCs w:val="1"/>
          <w:color w:val="0071CE"/>
        </w:rPr>
        <w:t xml:space="preserve"> </w:t>
      </w:r>
      <w:r>
        <w:rPr>
          <w:rFonts w:ascii="Arial" w:cs="Arial" w:eastAsia="Arial" w:hAnsi="Arial"/>
          <w:sz w:val="19"/>
          <w:szCs w:val="19"/>
          <w:color w:val="3E3935"/>
        </w:rPr>
        <w:t>GM’s current expectations within the meaning of the applicable securities laws and regulations. These statements are subject to a variety of risks and uncertainties that could cause actual results to differ materially from expectations. These risks and uncertainties include, but are not limited to, the risks detailed in GM’s filings with the Securities and Exchange Commission, including the “Risk Factors” section of GM’s Annual Report on Form 10-K for the fiscal year ended December 31, 2020 (“2020 Form 10-K”). We assume no obligation to update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80010</wp:posOffset>
            </wp:positionV>
            <wp:extent cx="5927725" cy="101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iv</w:t>
      </w:r>
    </w:p>
    <w:p>
      <w:pPr>
        <w:sectPr>
          <w:pgSz w:w="11900" w:h="16838" w:orient="portrait"/>
          <w:cols w:equalWidth="0" w:num="1">
            <w:col w:w="11080"/>
          </w:cols>
          <w:pgMar w:left="320" w:top="456"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60"/>
        <w:spacing w:after="0"/>
        <w:rPr>
          <w:sz w:val="20"/>
          <w:szCs w:val="20"/>
          <w:color w:val="auto"/>
        </w:rPr>
      </w:pPr>
      <w:r>
        <w:rPr>
          <w:rFonts w:ascii="Arial" w:cs="Arial" w:eastAsia="Arial" w:hAnsi="Arial"/>
          <w:sz w:val="37"/>
          <w:szCs w:val="37"/>
          <w:color w:val="0071CE"/>
        </w:rPr>
        <w:t>Table of Contents</w:t>
      </w:r>
    </w:p>
    <w:p>
      <w:pPr>
        <w:spacing w:after="0" w:line="259"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20" w:type="dxa"/>
            <w:vAlign w:val="bottom"/>
            <w:gridSpan w:val="40"/>
          </w:tcPr>
          <w:p>
            <w:pPr>
              <w:spacing w:after="0"/>
              <w:rPr>
                <w:rFonts w:ascii="Arial" w:cs="Arial" w:eastAsia="Arial" w:hAnsi="Arial"/>
                <w:sz w:val="20"/>
                <w:szCs w:val="20"/>
                <w:color w:val="0000EE"/>
              </w:rPr>
            </w:pPr>
            <w:hyperlink w:anchor="page10">
              <w:r>
                <w:rPr>
                  <w:rFonts w:ascii="Arial" w:cs="Arial" w:eastAsia="Arial" w:hAnsi="Arial"/>
                  <w:sz w:val="20"/>
                  <w:szCs w:val="20"/>
                  <w:color w:val="0000EE"/>
                </w:rPr>
                <w:t>SHAREHOLDER VOTING MATTERS</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1</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2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20" w:type="dxa"/>
            <w:vAlign w:val="bottom"/>
            <w:gridSpan w:val="40"/>
          </w:tcPr>
          <w:p>
            <w:pPr>
              <w:spacing w:after="0"/>
              <w:rPr>
                <w:rFonts w:ascii="Arial" w:cs="Arial" w:eastAsia="Arial" w:hAnsi="Arial"/>
                <w:sz w:val="20"/>
                <w:szCs w:val="20"/>
                <w:color w:val="0000EE"/>
              </w:rPr>
            </w:pPr>
            <w:hyperlink w:anchor="page11">
              <w:r>
                <w:rPr>
                  <w:rFonts w:ascii="Arial" w:cs="Arial" w:eastAsia="Arial" w:hAnsi="Arial"/>
                  <w:sz w:val="20"/>
                  <w:szCs w:val="20"/>
                  <w:color w:val="0000EE"/>
                </w:rPr>
                <w:t>BOARD OF DIRECTORS</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2</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60" w:type="dxa"/>
            <w:vAlign w:val="bottom"/>
            <w:tcBorders>
              <w:bottom w:val="single" w:sz="8" w:color="0000EE"/>
            </w:tcBorders>
            <w:gridSpan w:val="17"/>
          </w:tcPr>
          <w:p>
            <w:pPr>
              <w:spacing w:after="0" w:line="154" w:lineRule="exact"/>
              <w:rPr>
                <w:rFonts w:ascii="Arial" w:cs="Arial" w:eastAsia="Arial" w:hAnsi="Arial"/>
                <w:sz w:val="16"/>
                <w:szCs w:val="16"/>
                <w:color w:val="0000EE"/>
                <w:w w:val="98"/>
              </w:rPr>
            </w:pPr>
            <w:hyperlink w:anchor="page11">
              <w:r>
                <w:rPr>
                  <w:rFonts w:ascii="Arial" w:cs="Arial" w:eastAsia="Arial" w:hAnsi="Arial"/>
                  <w:sz w:val="16"/>
                  <w:szCs w:val="16"/>
                  <w:color w:val="0000EE"/>
                  <w:w w:val="98"/>
                </w:rPr>
                <w:t>Snapshot of Your Board Nominees</w:t>
              </w:r>
            </w:hyperlink>
          </w:p>
        </w:tc>
        <w:tc>
          <w:tcPr>
            <w:tcW w:w="2060" w:type="dxa"/>
            <w:vAlign w:val="bottom"/>
            <w:gridSpan w:val="23"/>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6"/>
                <w:szCs w:val="16"/>
                <w:color w:val="3E3935"/>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color w:val="0000EE"/>
              </w:rPr>
            </w:pPr>
            <w:hyperlink w:anchor="page13">
              <w:r>
                <w:rPr>
                  <w:rFonts w:ascii="Arial" w:cs="Arial" w:eastAsia="Arial" w:hAnsi="Arial"/>
                  <w:sz w:val="16"/>
                  <w:szCs w:val="16"/>
                  <w:color w:val="0000EE"/>
                </w:rPr>
                <w:t>Skills, Qualifications, and Experience</w:t>
              </w:r>
            </w:hyperlink>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Borders>
              <w:top w:val="single" w:sz="8" w:color="0000EE"/>
            </w:tcBorders>
            <w:gridSpan w:val="18"/>
          </w:tcPr>
          <w:p>
            <w:pPr>
              <w:spacing w:after="0" w:line="168" w:lineRule="exact"/>
              <w:rPr>
                <w:rFonts w:ascii="Arial" w:cs="Arial" w:eastAsia="Arial" w:hAnsi="Arial"/>
                <w:sz w:val="16"/>
                <w:szCs w:val="16"/>
                <w:color w:val="0000EE"/>
              </w:rPr>
            </w:pPr>
            <w:hyperlink w:anchor="page14">
              <w:r>
                <w:rPr>
                  <w:rFonts w:ascii="Arial" w:cs="Arial" w:eastAsia="Arial" w:hAnsi="Arial"/>
                  <w:sz w:val="16"/>
                  <w:szCs w:val="16"/>
                  <w:color w:val="0000EE"/>
                </w:rPr>
                <w:t>Director Biographies</w:t>
              </w:r>
            </w:hyperlink>
          </w:p>
        </w:tc>
        <w:tc>
          <w:tcPr>
            <w:tcW w:w="1900" w:type="dxa"/>
            <w:vAlign w:val="bottom"/>
            <w:gridSpan w:val="22"/>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11</w:t>
            </w: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4520" w:type="dxa"/>
            <w:vAlign w:val="bottom"/>
            <w:gridSpan w:val="40"/>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NON-EMPLOYEE DIRECTOR COMPENSATION</w:t>
              </w:r>
            </w:hyperlink>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9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70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gridSpan w:val="40"/>
          </w:tcPr>
          <w:p>
            <w:pPr>
              <w:spacing w:after="0"/>
              <w:rPr>
                <w:rFonts w:ascii="Arial" w:cs="Arial" w:eastAsia="Arial" w:hAnsi="Arial"/>
                <w:sz w:val="20"/>
                <w:szCs w:val="20"/>
                <w:color w:val="0000EE"/>
              </w:rPr>
            </w:pPr>
            <w:hyperlink w:anchor="page24">
              <w:r>
                <w:rPr>
                  <w:rFonts w:ascii="Arial" w:cs="Arial" w:eastAsia="Arial" w:hAnsi="Arial"/>
                  <w:sz w:val="20"/>
                  <w:szCs w:val="20"/>
                  <w:color w:val="0000EE"/>
                </w:rPr>
                <w:t>CORPORATE GOVERNANCE</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15</w:t>
            </w:r>
          </w:p>
        </w:tc>
        <w:tc>
          <w:tcPr>
            <w:tcW w:w="0" w:type="dxa"/>
            <w:vAlign w:val="bottom"/>
          </w:tcPr>
          <w:p>
            <w:pPr>
              <w:spacing w:after="0"/>
              <w:rPr>
                <w:sz w:val="1"/>
                <w:szCs w:val="1"/>
                <w:color w:val="auto"/>
              </w:rPr>
            </w:pPr>
          </w:p>
        </w:tc>
      </w:tr>
      <w:tr>
        <w:trPr>
          <w:trHeight w:val="20"/>
        </w:trPr>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9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70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520" w:type="dxa"/>
            <w:vAlign w:val="bottom"/>
            <w:gridSpan w:val="40"/>
          </w:tcPr>
          <w:p>
            <w:pPr>
              <w:spacing w:after="0" w:line="141" w:lineRule="exact"/>
              <w:rPr>
                <w:rFonts w:ascii="Arial" w:cs="Arial" w:eastAsia="Arial" w:hAnsi="Arial"/>
                <w:sz w:val="16"/>
                <w:szCs w:val="16"/>
                <w:color w:val="0000EE"/>
              </w:rPr>
            </w:pPr>
            <w:hyperlink w:anchor="page24">
              <w:r>
                <w:rPr>
                  <w:rFonts w:ascii="Arial" w:cs="Arial" w:eastAsia="Arial" w:hAnsi="Arial"/>
                  <w:sz w:val="16"/>
                  <w:szCs w:val="16"/>
                  <w:color w:val="0000EE"/>
                </w:rPr>
                <w:t>The Board of Directors</w:t>
              </w:r>
            </w:hyperlink>
          </w:p>
        </w:tc>
        <w:tc>
          <w:tcPr>
            <w:tcW w:w="700" w:type="dxa"/>
            <w:vAlign w:val="bottom"/>
          </w:tcPr>
          <w:p>
            <w:pPr>
              <w:jc w:val="right"/>
              <w:spacing w:after="0" w:line="141" w:lineRule="exact"/>
              <w:rPr>
                <w:sz w:val="20"/>
                <w:szCs w:val="20"/>
                <w:color w:val="auto"/>
              </w:rPr>
            </w:pPr>
            <w:r>
              <w:rPr>
                <w:rFonts w:ascii="Arial" w:cs="Arial" w:eastAsia="Arial" w:hAnsi="Arial"/>
                <w:sz w:val="16"/>
                <w:szCs w:val="16"/>
                <w:color w:val="3E3935"/>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color w:val="0000EE"/>
              </w:rPr>
            </w:pPr>
            <w:hyperlink w:anchor="page25">
              <w:r>
                <w:rPr>
                  <w:rFonts w:ascii="Arial" w:cs="Arial" w:eastAsia="Arial" w:hAnsi="Arial"/>
                  <w:sz w:val="16"/>
                  <w:szCs w:val="16"/>
                  <w:color w:val="0000EE"/>
                </w:rPr>
                <w:t>Board Leadership Structure and Composition</w:t>
              </w:r>
            </w:hyperlink>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Borders>
              <w:top w:val="single" w:sz="8" w:color="0000EE"/>
            </w:tcBorders>
            <w:gridSpan w:val="24"/>
          </w:tcPr>
          <w:p>
            <w:pPr>
              <w:spacing w:after="0" w:line="168" w:lineRule="exact"/>
              <w:rPr>
                <w:rFonts w:ascii="Arial" w:cs="Arial" w:eastAsia="Arial" w:hAnsi="Arial"/>
                <w:sz w:val="16"/>
                <w:szCs w:val="16"/>
                <w:color w:val="0000EE"/>
              </w:rPr>
            </w:pPr>
            <w:hyperlink w:anchor="page27">
              <w:r>
                <w:rPr>
                  <w:rFonts w:ascii="Arial" w:cs="Arial" w:eastAsia="Arial" w:hAnsi="Arial"/>
                  <w:sz w:val="16"/>
                  <w:szCs w:val="16"/>
                  <w:color w:val="0000EE"/>
                </w:rPr>
                <w:t>Board Committees</w:t>
              </w:r>
            </w:hyperlink>
          </w:p>
        </w:tc>
        <w:tc>
          <w:tcPr>
            <w:tcW w:w="1320" w:type="dxa"/>
            <w:vAlign w:val="bottom"/>
            <w:gridSpan w:val="16"/>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Borders>
              <w:bottom w:val="single" w:sz="8" w:color="0000EE"/>
            </w:tcBorders>
            <w:gridSpan w:val="22"/>
          </w:tcPr>
          <w:p>
            <w:pPr>
              <w:spacing w:after="0" w:line="168" w:lineRule="exact"/>
              <w:rPr>
                <w:rFonts w:ascii="Arial" w:cs="Arial" w:eastAsia="Arial" w:hAnsi="Arial"/>
                <w:sz w:val="16"/>
                <w:szCs w:val="16"/>
                <w:color w:val="0000EE"/>
                <w:w w:val="99"/>
              </w:rPr>
            </w:pPr>
            <w:hyperlink w:anchor="page31">
              <w:r>
                <w:rPr>
                  <w:rFonts w:ascii="Arial" w:cs="Arial" w:eastAsia="Arial" w:hAnsi="Arial"/>
                  <w:sz w:val="16"/>
                  <w:szCs w:val="16"/>
                  <w:color w:val="0000EE"/>
                  <w:w w:val="99"/>
                </w:rPr>
                <w:t>Board and Committee Oversight of Risk</w:t>
              </w:r>
            </w:hyperlink>
          </w:p>
        </w:tc>
        <w:tc>
          <w:tcPr>
            <w:tcW w:w="1700" w:type="dxa"/>
            <w:vAlign w:val="bottom"/>
            <w:gridSpan w:val="18"/>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color w:val="0000EE"/>
              </w:rPr>
            </w:pPr>
            <w:hyperlink w:anchor="page34">
              <w:r>
                <w:rPr>
                  <w:rFonts w:ascii="Arial" w:cs="Arial" w:eastAsia="Arial" w:hAnsi="Arial"/>
                  <w:sz w:val="16"/>
                  <w:szCs w:val="16"/>
                  <w:color w:val="0000EE"/>
                </w:rPr>
                <w:t>The Board’s Governance Policies and Practices</w:t>
              </w:r>
            </w:hyperlink>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Borders>
              <w:top w:val="single" w:sz="8" w:color="0000EE"/>
            </w:tcBorders>
            <w:gridSpan w:val="27"/>
          </w:tcPr>
          <w:p>
            <w:pPr>
              <w:spacing w:after="0" w:line="168" w:lineRule="exact"/>
              <w:rPr>
                <w:rFonts w:ascii="Arial" w:cs="Arial" w:eastAsia="Arial" w:hAnsi="Arial"/>
                <w:sz w:val="16"/>
                <w:szCs w:val="16"/>
                <w:color w:val="0000EE"/>
              </w:rPr>
            </w:pPr>
            <w:hyperlink w:anchor="page36">
              <w:r>
                <w:rPr>
                  <w:rFonts w:ascii="Arial" w:cs="Arial" w:eastAsia="Arial" w:hAnsi="Arial"/>
                  <w:sz w:val="16"/>
                  <w:szCs w:val="16"/>
                  <w:color w:val="0000EE"/>
                </w:rPr>
                <w:t>Shareholder Engagement</w:t>
              </w:r>
            </w:hyperlink>
          </w:p>
        </w:tc>
        <w:tc>
          <w:tcPr>
            <w:tcW w:w="1140" w:type="dxa"/>
            <w:vAlign w:val="bottom"/>
            <w:gridSpan w:val="13"/>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Borders>
              <w:bottom w:val="single" w:sz="8" w:color="0000EE"/>
            </w:tcBorders>
            <w:gridSpan w:val="38"/>
          </w:tcPr>
          <w:p>
            <w:pPr>
              <w:spacing w:after="0" w:line="168" w:lineRule="exact"/>
              <w:rPr>
                <w:rFonts w:ascii="Arial" w:cs="Arial" w:eastAsia="Arial" w:hAnsi="Arial"/>
                <w:sz w:val="16"/>
                <w:szCs w:val="16"/>
                <w:color w:val="0000EE"/>
              </w:rPr>
            </w:pPr>
            <w:hyperlink w:anchor="page38">
              <w:r>
                <w:rPr>
                  <w:rFonts w:ascii="Arial" w:cs="Arial" w:eastAsia="Arial" w:hAnsi="Arial"/>
                  <w:sz w:val="16"/>
                  <w:szCs w:val="16"/>
                  <w:color w:val="0000EE"/>
                </w:rPr>
                <w:t>Corporate Political Contributions and Lobbying Expenditures</w:t>
              </w:r>
            </w:hyperlink>
          </w:p>
        </w:tc>
        <w:tc>
          <w:tcPr>
            <w:tcW w:w="220" w:type="dxa"/>
            <w:vAlign w:val="bottom"/>
            <w:gridSpan w:val="2"/>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Borders>
              <w:bottom w:val="single" w:sz="8" w:color="0000EE"/>
            </w:tcBorders>
            <w:gridSpan w:val="34"/>
          </w:tcPr>
          <w:p>
            <w:pPr>
              <w:spacing w:after="0" w:line="168" w:lineRule="exact"/>
              <w:rPr>
                <w:rFonts w:ascii="Arial" w:cs="Arial" w:eastAsia="Arial" w:hAnsi="Arial"/>
                <w:sz w:val="16"/>
                <w:szCs w:val="16"/>
                <w:color w:val="0000EE"/>
                <w:w w:val="99"/>
              </w:rPr>
            </w:pPr>
            <w:hyperlink w:anchor="page39">
              <w:r>
                <w:rPr>
                  <w:rFonts w:ascii="Arial" w:cs="Arial" w:eastAsia="Arial" w:hAnsi="Arial"/>
                  <w:sz w:val="16"/>
                  <w:szCs w:val="16"/>
                  <w:color w:val="0000EE"/>
                  <w:w w:val="99"/>
                </w:rPr>
                <w:t>Shareholder Protections and Governance Best Practices</w:t>
              </w:r>
            </w:hyperlink>
          </w:p>
        </w:tc>
        <w:tc>
          <w:tcPr>
            <w:tcW w:w="500" w:type="dxa"/>
            <w:vAlign w:val="bottom"/>
            <w:gridSpan w:val="6"/>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color w:val="0000EE"/>
              </w:rPr>
            </w:pPr>
            <w:hyperlink w:anchor="page40">
              <w:r>
                <w:rPr>
                  <w:rFonts w:ascii="Arial" w:cs="Arial" w:eastAsia="Arial" w:hAnsi="Arial"/>
                  <w:sz w:val="16"/>
                  <w:szCs w:val="16"/>
                  <w:color w:val="0000EE"/>
                </w:rPr>
                <w:t>Certain Relationships and Related Party Transactions</w:t>
              </w:r>
            </w:hyperlink>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31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800" w:type="dxa"/>
            <w:vAlign w:val="bottom"/>
            <w:tcBorders>
              <w:top w:val="single" w:sz="8" w:color="0000EE"/>
            </w:tcBorders>
            <w:gridSpan w:val="32"/>
          </w:tcPr>
          <w:p>
            <w:pPr>
              <w:spacing w:after="0"/>
              <w:rPr>
                <w:rFonts w:ascii="Arial" w:cs="Arial" w:eastAsia="Arial" w:hAnsi="Arial"/>
                <w:sz w:val="20"/>
                <w:szCs w:val="20"/>
                <w:color w:val="0000EE"/>
              </w:rPr>
            </w:pPr>
            <w:hyperlink w:anchor="page41">
              <w:r>
                <w:rPr>
                  <w:rFonts w:ascii="Arial" w:cs="Arial" w:eastAsia="Arial" w:hAnsi="Arial"/>
                  <w:sz w:val="20"/>
                  <w:szCs w:val="20"/>
                  <w:color w:val="0000EE"/>
                </w:rPr>
                <w:t>OUR VALUES AND HOW WE BEHAVE</w:t>
              </w:r>
            </w:hyperlink>
          </w:p>
        </w:tc>
        <w:tc>
          <w:tcPr>
            <w:tcW w:w="720" w:type="dxa"/>
            <w:vAlign w:val="bottom"/>
            <w:gridSpan w:val="8"/>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32</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2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0000EE"/>
            </w:tcBorders>
            <w:gridSpan w:val="37"/>
          </w:tcPr>
          <w:p>
            <w:pPr>
              <w:spacing w:after="0"/>
              <w:rPr>
                <w:rFonts w:ascii="Arial" w:cs="Arial" w:eastAsia="Arial" w:hAnsi="Arial"/>
                <w:sz w:val="20"/>
                <w:szCs w:val="20"/>
                <w:color w:val="0000EE"/>
                <w:w w:val="97"/>
              </w:rPr>
            </w:pPr>
            <w:hyperlink w:anchor="page42">
              <w:r>
                <w:rPr>
                  <w:rFonts w:ascii="Arial" w:cs="Arial" w:eastAsia="Arial" w:hAnsi="Arial"/>
                  <w:sz w:val="20"/>
                  <w:szCs w:val="20"/>
                  <w:color w:val="0000EE"/>
                  <w:w w:val="97"/>
                </w:rPr>
                <w:t>OUR PEOPLE, OUR COMMUNITIES, AND OUR</w:t>
              </w:r>
            </w:hyperlink>
          </w:p>
        </w:tc>
        <w:tc>
          <w:tcPr>
            <w:tcW w:w="240" w:type="dxa"/>
            <w:vAlign w:val="bottom"/>
            <w:gridSpan w:val="3"/>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60" w:type="dxa"/>
            <w:vAlign w:val="bottom"/>
            <w:gridSpan w:val="39"/>
          </w:tcPr>
          <w:p>
            <w:pPr>
              <w:ind w:left="20"/>
              <w:spacing w:after="0" w:line="194" w:lineRule="exact"/>
              <w:rPr>
                <w:rFonts w:ascii="Arial" w:cs="Arial" w:eastAsia="Arial" w:hAnsi="Arial"/>
                <w:sz w:val="20"/>
                <w:szCs w:val="20"/>
                <w:color w:val="0000EE"/>
              </w:rPr>
            </w:pPr>
            <w:hyperlink w:anchor="page42">
              <w:r>
                <w:rPr>
                  <w:rFonts w:ascii="Arial" w:cs="Arial" w:eastAsia="Arial" w:hAnsi="Arial"/>
                  <w:sz w:val="20"/>
                  <w:szCs w:val="20"/>
                  <w:color w:val="0000EE"/>
                </w:rPr>
                <w:t>ENVIRONMENT</w:t>
              </w:r>
            </w:hyperlink>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26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20" w:type="dxa"/>
            <w:vAlign w:val="bottom"/>
            <w:gridSpan w:val="40"/>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SECURITY OWNERSHIP INFORMATION</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36</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2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20" w:type="dxa"/>
            <w:vAlign w:val="bottom"/>
            <w:gridSpan w:val="40"/>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AUDIT COMMITTEE REPORT</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38</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20" w:type="dxa"/>
            <w:vAlign w:val="bottom"/>
            <w:gridSpan w:val="40"/>
          </w:tcPr>
          <w:p>
            <w:pPr>
              <w:spacing w:after="0"/>
              <w:rPr>
                <w:rFonts w:ascii="Arial" w:cs="Arial" w:eastAsia="Arial" w:hAnsi="Arial"/>
                <w:sz w:val="20"/>
                <w:szCs w:val="20"/>
                <w:color w:val="0000EE"/>
              </w:rPr>
            </w:pPr>
            <w:hyperlink w:anchor="page50">
              <w:r>
                <w:rPr>
                  <w:rFonts w:ascii="Arial" w:cs="Arial" w:eastAsia="Arial" w:hAnsi="Arial"/>
                  <w:sz w:val="20"/>
                  <w:szCs w:val="20"/>
                  <w:color w:val="0000EE"/>
                </w:rPr>
                <w:t>EXECUTIVE COMPENSATION</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41</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40" w:type="dxa"/>
            <w:vAlign w:val="bottom"/>
            <w:tcBorders>
              <w:bottom w:val="single" w:sz="8" w:color="0000EE"/>
            </w:tcBorders>
            <w:gridSpan w:val="10"/>
          </w:tcPr>
          <w:p>
            <w:pPr>
              <w:spacing w:after="0" w:line="154" w:lineRule="exact"/>
              <w:rPr>
                <w:rFonts w:ascii="Arial" w:cs="Arial" w:eastAsia="Arial" w:hAnsi="Arial"/>
                <w:sz w:val="16"/>
                <w:szCs w:val="16"/>
                <w:color w:val="0000EE"/>
                <w:w w:val="98"/>
              </w:rPr>
            </w:pPr>
            <w:hyperlink w:anchor="page52">
              <w:r>
                <w:rPr>
                  <w:rFonts w:ascii="Arial" w:cs="Arial" w:eastAsia="Arial" w:hAnsi="Arial"/>
                  <w:sz w:val="16"/>
                  <w:szCs w:val="16"/>
                  <w:color w:val="0000EE"/>
                  <w:w w:val="98"/>
                </w:rPr>
                <w:t>Compensation Overview</w:t>
              </w:r>
            </w:hyperlink>
          </w:p>
        </w:tc>
        <w:tc>
          <w:tcPr>
            <w:tcW w:w="2780" w:type="dxa"/>
            <w:vAlign w:val="bottom"/>
            <w:gridSpan w:val="30"/>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6"/>
                <w:szCs w:val="16"/>
                <w:color w:val="3E3935"/>
              </w:rPr>
              <w:t>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color w:val="0000EE"/>
              </w:rPr>
            </w:pPr>
            <w:hyperlink w:anchor="page59">
              <w:r>
                <w:rPr>
                  <w:rFonts w:ascii="Arial" w:cs="Arial" w:eastAsia="Arial" w:hAnsi="Arial"/>
                  <w:sz w:val="16"/>
                  <w:szCs w:val="16"/>
                  <w:color w:val="0000EE"/>
                </w:rPr>
                <w:t>Compensation Principles</w:t>
              </w:r>
            </w:hyperlink>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10"/>
          </w:tcPr>
          <w:p>
            <w:pPr>
              <w:spacing w:after="0" w:line="168" w:lineRule="exact"/>
              <w:rPr>
                <w:rFonts w:ascii="Arial" w:cs="Arial" w:eastAsia="Arial" w:hAnsi="Arial"/>
                <w:sz w:val="16"/>
                <w:szCs w:val="16"/>
                <w:color w:val="0000EE"/>
                <w:w w:val="98"/>
              </w:rPr>
            </w:pPr>
            <w:hyperlink w:anchor="page59">
              <w:r>
                <w:rPr>
                  <w:rFonts w:ascii="Arial" w:cs="Arial" w:eastAsia="Arial" w:hAnsi="Arial"/>
                  <w:sz w:val="16"/>
                  <w:szCs w:val="16"/>
                  <w:color w:val="0000EE"/>
                  <w:w w:val="98"/>
                </w:rPr>
                <w:t>Compensation Elements</w:t>
              </w:r>
            </w:hyperlink>
          </w:p>
        </w:tc>
        <w:tc>
          <w:tcPr>
            <w:tcW w:w="80" w:type="dxa"/>
            <w:vAlign w:val="bottom"/>
            <w:tcBorders>
              <w:top w:val="single" w:sz="8" w:color="0000EE"/>
            </w:tcBorders>
          </w:tcPr>
          <w:p>
            <w:pPr>
              <w:spacing w:after="0"/>
              <w:rPr>
                <w:sz w:val="14"/>
                <w:szCs w:val="14"/>
                <w:color w:val="auto"/>
              </w:rPr>
            </w:pPr>
          </w:p>
        </w:tc>
        <w:tc>
          <w:tcPr>
            <w:tcW w:w="2700" w:type="dxa"/>
            <w:vAlign w:val="bottom"/>
            <w:gridSpan w:val="29"/>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Borders>
              <w:bottom w:val="single" w:sz="8" w:color="0000EE"/>
            </w:tcBorders>
            <w:gridSpan w:val="9"/>
          </w:tcPr>
          <w:p>
            <w:pPr>
              <w:spacing w:after="0" w:line="168" w:lineRule="exact"/>
              <w:rPr>
                <w:rFonts w:ascii="Arial" w:cs="Arial" w:eastAsia="Arial" w:hAnsi="Arial"/>
                <w:sz w:val="16"/>
                <w:szCs w:val="16"/>
                <w:color w:val="0000EE"/>
                <w:w w:val="98"/>
              </w:rPr>
            </w:pPr>
            <w:hyperlink w:anchor="page61">
              <w:r>
                <w:rPr>
                  <w:rFonts w:ascii="Arial" w:cs="Arial" w:eastAsia="Arial" w:hAnsi="Arial"/>
                  <w:sz w:val="16"/>
                  <w:szCs w:val="16"/>
                  <w:color w:val="0000EE"/>
                  <w:w w:val="98"/>
                </w:rPr>
                <w:t>Performance Measures</w:t>
              </w:r>
            </w:hyperlink>
          </w:p>
        </w:tc>
        <w:tc>
          <w:tcPr>
            <w:tcW w:w="2860" w:type="dxa"/>
            <w:vAlign w:val="bottom"/>
            <w:gridSpan w:val="31"/>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color w:val="0000EE"/>
              </w:rPr>
            </w:pPr>
            <w:hyperlink w:anchor="page64">
              <w:r>
                <w:rPr>
                  <w:rFonts w:ascii="Arial" w:cs="Arial" w:eastAsia="Arial" w:hAnsi="Arial"/>
                  <w:sz w:val="16"/>
                  <w:szCs w:val="16"/>
                  <w:color w:val="0000EE"/>
                </w:rPr>
                <w:t>Performance Results and Compensation Decisions</w:t>
              </w:r>
            </w:hyperlink>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54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29"/>
          </w:tcPr>
          <w:p>
            <w:pPr>
              <w:spacing w:after="0" w:line="168" w:lineRule="exact"/>
              <w:rPr>
                <w:rFonts w:ascii="Arial" w:cs="Arial" w:eastAsia="Arial" w:hAnsi="Arial"/>
                <w:sz w:val="16"/>
                <w:szCs w:val="16"/>
                <w:color w:val="0000EE"/>
                <w:w w:val="99"/>
              </w:rPr>
            </w:pPr>
            <w:hyperlink w:anchor="page75">
              <w:r>
                <w:rPr>
                  <w:rFonts w:ascii="Arial" w:cs="Arial" w:eastAsia="Arial" w:hAnsi="Arial"/>
                  <w:sz w:val="16"/>
                  <w:szCs w:val="16"/>
                  <w:color w:val="0000EE"/>
                  <w:w w:val="99"/>
                </w:rPr>
                <w:t>Compensation Policies and Governance Practices</w:t>
              </w:r>
            </w:hyperlink>
          </w:p>
        </w:tc>
        <w:tc>
          <w:tcPr>
            <w:tcW w:w="60" w:type="dxa"/>
            <w:vAlign w:val="bottom"/>
            <w:tcBorders>
              <w:top w:val="single" w:sz="8" w:color="0000EE"/>
            </w:tcBorders>
          </w:tcPr>
          <w:p>
            <w:pPr>
              <w:spacing w:after="0"/>
              <w:rPr>
                <w:sz w:val="14"/>
                <w:szCs w:val="14"/>
                <w:color w:val="auto"/>
              </w:rPr>
            </w:pPr>
          </w:p>
        </w:tc>
        <w:tc>
          <w:tcPr>
            <w:tcW w:w="900" w:type="dxa"/>
            <w:vAlign w:val="bottom"/>
            <w:gridSpan w:val="10"/>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65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Borders>
              <w:bottom w:val="single" w:sz="8" w:color="0000EE"/>
            </w:tcBorders>
            <w:gridSpan w:val="15"/>
          </w:tcPr>
          <w:p>
            <w:pPr>
              <w:spacing w:after="0" w:line="168" w:lineRule="exact"/>
              <w:rPr>
                <w:rFonts w:ascii="Arial" w:cs="Arial" w:eastAsia="Arial" w:hAnsi="Arial"/>
                <w:sz w:val="16"/>
                <w:szCs w:val="16"/>
                <w:color w:val="0000EE"/>
                <w:w w:val="99"/>
              </w:rPr>
            </w:pPr>
            <w:hyperlink w:anchor="page78">
              <w:r>
                <w:rPr>
                  <w:rFonts w:ascii="Arial" w:cs="Arial" w:eastAsia="Arial" w:hAnsi="Arial"/>
                  <w:sz w:val="16"/>
                  <w:szCs w:val="16"/>
                  <w:color w:val="0000EE"/>
                  <w:w w:val="99"/>
                </w:rPr>
                <w:t>Compensation Committee Report</w:t>
              </w:r>
            </w:hyperlink>
          </w:p>
        </w:tc>
        <w:tc>
          <w:tcPr>
            <w:tcW w:w="2140" w:type="dxa"/>
            <w:vAlign w:val="bottom"/>
            <w:gridSpan w:val="25"/>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Borders>
              <w:bottom w:val="single" w:sz="8" w:color="0000EE"/>
            </w:tcBorders>
            <w:gridSpan w:val="14"/>
          </w:tcPr>
          <w:p>
            <w:pPr>
              <w:spacing w:after="0" w:line="168" w:lineRule="exact"/>
              <w:rPr>
                <w:rFonts w:ascii="Arial" w:cs="Arial" w:eastAsia="Arial" w:hAnsi="Arial"/>
                <w:sz w:val="16"/>
                <w:szCs w:val="16"/>
                <w:color w:val="0000EE"/>
                <w:w w:val="98"/>
              </w:rPr>
            </w:pPr>
            <w:hyperlink w:anchor="page79">
              <w:r>
                <w:rPr>
                  <w:rFonts w:ascii="Arial" w:cs="Arial" w:eastAsia="Arial" w:hAnsi="Arial"/>
                  <w:sz w:val="16"/>
                  <w:szCs w:val="16"/>
                  <w:color w:val="0000EE"/>
                  <w:w w:val="98"/>
                </w:rPr>
                <w:t>Executive Compensation Tables</w:t>
              </w:r>
            </w:hyperlink>
          </w:p>
        </w:tc>
        <w:tc>
          <w:tcPr>
            <w:tcW w:w="2240" w:type="dxa"/>
            <w:vAlign w:val="bottom"/>
            <w:gridSpan w:val="26"/>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line="168" w:lineRule="exact"/>
              <w:rPr>
                <w:rFonts w:ascii="Arial" w:cs="Arial" w:eastAsia="Arial" w:hAnsi="Arial"/>
                <w:sz w:val="16"/>
                <w:szCs w:val="16"/>
                <w:color w:val="0000EE"/>
                <w:w w:val="97"/>
              </w:rPr>
            </w:pPr>
            <w:hyperlink w:anchor="page93">
              <w:r>
                <w:rPr>
                  <w:rFonts w:ascii="Arial" w:cs="Arial" w:eastAsia="Arial" w:hAnsi="Arial"/>
                  <w:sz w:val="16"/>
                  <w:szCs w:val="16"/>
                  <w:color w:val="0000EE"/>
                  <w:w w:val="97"/>
                </w:rPr>
                <w:t>CEO Pay Ratio</w:t>
              </w:r>
            </w:hyperlink>
          </w:p>
        </w:tc>
        <w:tc>
          <w:tcPr>
            <w:tcW w:w="3440" w:type="dxa"/>
            <w:vAlign w:val="bottom"/>
            <w:gridSpan w:val="37"/>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Borders>
              <w:bottom w:val="single" w:sz="8" w:color="0000EE"/>
            </w:tcBorders>
            <w:gridSpan w:val="21"/>
          </w:tcPr>
          <w:p>
            <w:pPr>
              <w:spacing w:after="0" w:line="168" w:lineRule="exact"/>
              <w:rPr>
                <w:rFonts w:ascii="Arial" w:cs="Arial" w:eastAsia="Arial" w:hAnsi="Arial"/>
                <w:sz w:val="16"/>
                <w:szCs w:val="16"/>
                <w:color w:val="0000EE"/>
                <w:w w:val="99"/>
              </w:rPr>
            </w:pPr>
            <w:hyperlink w:anchor="page94">
              <w:r>
                <w:rPr>
                  <w:rFonts w:ascii="Arial" w:cs="Arial" w:eastAsia="Arial" w:hAnsi="Arial"/>
                  <w:sz w:val="16"/>
                  <w:szCs w:val="16"/>
                  <w:color w:val="0000EE"/>
                  <w:w w:val="99"/>
                </w:rPr>
                <w:t>Equity Compensation Plan Information</w:t>
              </w:r>
            </w:hyperlink>
          </w:p>
        </w:tc>
        <w:tc>
          <w:tcPr>
            <w:tcW w:w="1780" w:type="dxa"/>
            <w:vAlign w:val="bottom"/>
            <w:gridSpan w:val="19"/>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84</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520" w:type="dxa"/>
            <w:vAlign w:val="bottom"/>
            <w:gridSpan w:val="40"/>
          </w:tcPr>
          <w:p>
            <w:pPr>
              <w:spacing w:after="0"/>
              <w:rPr>
                <w:rFonts w:ascii="Arial" w:cs="Arial" w:eastAsia="Arial" w:hAnsi="Arial"/>
                <w:sz w:val="20"/>
                <w:szCs w:val="20"/>
                <w:color w:val="0000EE"/>
              </w:rPr>
            </w:pPr>
            <w:hyperlink w:anchor="page95">
              <w:r>
                <w:rPr>
                  <w:rFonts w:ascii="Arial" w:cs="Arial" w:eastAsia="Arial" w:hAnsi="Arial"/>
                  <w:sz w:val="20"/>
                  <w:szCs w:val="20"/>
                  <w:color w:val="0000EE"/>
                </w:rPr>
                <w:t>BOARD PROPOSALS</w:t>
              </w:r>
            </w:hyperlink>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20" w:type="dxa"/>
            <w:vAlign w:val="bottom"/>
            <w:tcBorders>
              <w:bottom w:val="single" w:sz="8" w:color="0000EE"/>
            </w:tcBorders>
            <w:gridSpan w:val="16"/>
          </w:tcPr>
          <w:p>
            <w:pPr>
              <w:spacing w:after="0" w:line="154" w:lineRule="exact"/>
              <w:rPr>
                <w:rFonts w:ascii="Arial" w:cs="Arial" w:eastAsia="Arial" w:hAnsi="Arial"/>
                <w:sz w:val="16"/>
                <w:szCs w:val="16"/>
                <w:b w:val="1"/>
                <w:bCs w:val="1"/>
                <w:color w:val="0000EE"/>
              </w:rPr>
            </w:pPr>
            <w:hyperlink w:anchor="page95">
              <w:r>
                <w:rPr>
                  <w:rFonts w:ascii="Arial" w:cs="Arial" w:eastAsia="Arial" w:hAnsi="Arial"/>
                  <w:sz w:val="16"/>
                  <w:szCs w:val="16"/>
                  <w:b w:val="1"/>
                  <w:bCs w:val="1"/>
                  <w:color w:val="0000EE"/>
                </w:rPr>
                <w:t xml:space="preserve">Item No. 1 </w:t>
              </w:r>
              <w:r>
                <w:rPr>
                  <w:rFonts w:ascii="Arial" w:cs="Arial" w:eastAsia="Arial" w:hAnsi="Arial"/>
                  <w:sz w:val="16"/>
                  <w:szCs w:val="16"/>
                  <w:color w:val="0000EE"/>
                </w:rPr>
                <w:t>– Election of Directors</w:t>
              </w:r>
            </w:hyperlink>
          </w:p>
        </w:tc>
        <w:tc>
          <w:tcPr>
            <w:tcW w:w="2100" w:type="dxa"/>
            <w:vAlign w:val="bottom"/>
            <w:gridSpan w:val="24"/>
          </w:tcPr>
          <w:p>
            <w:pPr>
              <w:spacing w:after="0"/>
              <w:rPr>
                <w:sz w:val="13"/>
                <w:szCs w:val="13"/>
                <w:color w:val="auto"/>
              </w:rPr>
            </w:pPr>
          </w:p>
        </w:tc>
        <w:tc>
          <w:tcPr>
            <w:tcW w:w="700" w:type="dxa"/>
            <w:vAlign w:val="bottom"/>
          </w:tcPr>
          <w:p>
            <w:pPr>
              <w:jc w:val="right"/>
              <w:spacing w:after="0" w:line="154" w:lineRule="exact"/>
              <w:rPr>
                <w:sz w:val="20"/>
                <w:szCs w:val="20"/>
                <w:color w:val="auto"/>
              </w:rPr>
            </w:pPr>
            <w:r>
              <w:rPr>
                <w:rFonts w:ascii="Arial" w:cs="Arial" w:eastAsia="Arial" w:hAnsi="Arial"/>
                <w:sz w:val="16"/>
                <w:szCs w:val="16"/>
                <w:color w:val="3E3935"/>
              </w:rPr>
              <w:t>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 xml:space="preserve">Item No. 2 </w:t>
              </w:r>
              <w:r>
                <w:rPr>
                  <w:rFonts w:ascii="Arial" w:cs="Arial" w:eastAsia="Arial" w:hAnsi="Arial"/>
                  <w:sz w:val="16"/>
                  <w:szCs w:val="16"/>
                  <w:color w:val="0000EE"/>
                </w:rPr>
                <w:t>– Advisory Approval of Named Executive Officer</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100" w:type="dxa"/>
            <w:vAlign w:val="bottom"/>
            <w:tcBorders>
              <w:top w:val="single" w:sz="8" w:color="0000EE"/>
            </w:tcBorders>
            <w:gridSpan w:val="35"/>
          </w:tcPr>
          <w:p>
            <w:pPr>
              <w:spacing w:after="0" w:line="168" w:lineRule="exact"/>
              <w:rPr>
                <w:rFonts w:ascii="Arial" w:cs="Arial" w:eastAsia="Arial" w:hAnsi="Arial"/>
                <w:sz w:val="16"/>
                <w:szCs w:val="16"/>
                <w:color w:val="0000EE"/>
              </w:rPr>
            </w:pPr>
            <w:hyperlink w:anchor="page96">
              <w:r>
                <w:rPr>
                  <w:rFonts w:ascii="Arial" w:cs="Arial" w:eastAsia="Arial" w:hAnsi="Arial"/>
                  <w:sz w:val="16"/>
                  <w:szCs w:val="16"/>
                  <w:color w:val="0000EE"/>
                </w:rPr>
                <w:t>Compensation</w:t>
              </w:r>
            </w:hyperlink>
          </w:p>
        </w:tc>
        <w:tc>
          <w:tcPr>
            <w:tcW w:w="260" w:type="dxa"/>
            <w:vAlign w:val="bottom"/>
            <w:gridSpan w:val="4"/>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gridSpan w:val="1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gridSpan w:val="40"/>
          </w:tcPr>
          <w:p>
            <w:pPr>
              <w:spacing w:after="0" w:line="168" w:lineRule="exact"/>
              <w:rPr>
                <w:rFonts w:ascii="Arial" w:cs="Arial" w:eastAsia="Arial" w:hAnsi="Arial"/>
                <w:sz w:val="16"/>
                <w:szCs w:val="16"/>
                <w:b w:val="1"/>
                <w:bCs w:val="1"/>
                <w:color w:val="0000EE"/>
              </w:rPr>
            </w:pPr>
            <w:hyperlink w:anchor="page97">
              <w:r>
                <w:rPr>
                  <w:rFonts w:ascii="Arial" w:cs="Arial" w:eastAsia="Arial" w:hAnsi="Arial"/>
                  <w:sz w:val="16"/>
                  <w:szCs w:val="16"/>
                  <w:b w:val="1"/>
                  <w:bCs w:val="1"/>
                  <w:color w:val="0000EE"/>
                </w:rPr>
                <w:t xml:space="preserve">Item No. 3 </w:t>
              </w:r>
              <w:r>
                <w:rPr>
                  <w:rFonts w:ascii="Arial" w:cs="Arial" w:eastAsia="Arial" w:hAnsi="Arial"/>
                  <w:sz w:val="16"/>
                  <w:szCs w:val="16"/>
                  <w:color w:val="0000EE"/>
                </w:rPr>
                <w:t>– Ratification of the Selection of the Independent</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140" w:type="dxa"/>
            <w:vAlign w:val="bottom"/>
            <w:tcBorders>
              <w:top w:val="single" w:sz="8" w:color="0000EE"/>
            </w:tcBorders>
            <w:gridSpan w:val="37"/>
          </w:tcPr>
          <w:p>
            <w:pPr>
              <w:spacing w:after="0" w:line="168" w:lineRule="exact"/>
              <w:rPr>
                <w:rFonts w:ascii="Arial" w:cs="Arial" w:eastAsia="Arial" w:hAnsi="Arial"/>
                <w:sz w:val="16"/>
                <w:szCs w:val="16"/>
                <w:color w:val="0000EE"/>
              </w:rPr>
            </w:pPr>
            <w:hyperlink w:anchor="page97">
              <w:r>
                <w:rPr>
                  <w:rFonts w:ascii="Arial" w:cs="Arial" w:eastAsia="Arial" w:hAnsi="Arial"/>
                  <w:sz w:val="16"/>
                  <w:szCs w:val="16"/>
                  <w:color w:val="0000EE"/>
                </w:rPr>
                <w:t>Registered Public Accounting Firm for 2021</w:t>
              </w:r>
            </w:hyperlink>
          </w:p>
        </w:tc>
        <w:tc>
          <w:tcPr>
            <w:tcW w:w="220" w:type="dxa"/>
            <w:vAlign w:val="bottom"/>
            <w:gridSpan w:val="2"/>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60" w:type="dxa"/>
            <w:vAlign w:val="bottom"/>
            <w:gridSpan w:val="1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4520" w:type="dxa"/>
            <w:vAlign w:val="bottom"/>
            <w:gridSpan w:val="40"/>
          </w:tcPr>
          <w:p>
            <w:pPr>
              <w:spacing w:after="0"/>
              <w:rPr>
                <w:rFonts w:ascii="Arial" w:cs="Arial" w:eastAsia="Arial" w:hAnsi="Arial"/>
                <w:sz w:val="20"/>
                <w:szCs w:val="20"/>
                <w:color w:val="0000EE"/>
              </w:rPr>
            </w:pPr>
            <w:hyperlink w:anchor="page98">
              <w:r>
                <w:rPr>
                  <w:rFonts w:ascii="Arial" w:cs="Arial" w:eastAsia="Arial" w:hAnsi="Arial"/>
                  <w:sz w:val="20"/>
                  <w:szCs w:val="20"/>
                  <w:color w:val="0000EE"/>
                </w:rPr>
                <w:t>SHAREHOLDER PROPOSALS</w:t>
              </w:r>
            </w:hyperlink>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gridSpan w:val="40"/>
          </w:tcPr>
          <w:p>
            <w:pPr>
              <w:spacing w:after="0" w:line="154" w:lineRule="exact"/>
              <w:rPr>
                <w:rFonts w:ascii="Arial" w:cs="Arial" w:eastAsia="Arial" w:hAnsi="Arial"/>
                <w:sz w:val="16"/>
                <w:szCs w:val="16"/>
                <w:b w:val="1"/>
                <w:bCs w:val="1"/>
                <w:color w:val="0000EE"/>
              </w:rPr>
            </w:pPr>
            <w:hyperlink w:anchor="page98">
              <w:r>
                <w:rPr>
                  <w:rFonts w:ascii="Arial" w:cs="Arial" w:eastAsia="Arial" w:hAnsi="Arial"/>
                  <w:sz w:val="16"/>
                  <w:szCs w:val="16"/>
                  <w:b w:val="1"/>
                  <w:bCs w:val="1"/>
                  <w:color w:val="0000EE"/>
                </w:rPr>
                <w:t xml:space="preserve">Item No. 4 </w:t>
              </w:r>
              <w:r>
                <w:rPr>
                  <w:rFonts w:ascii="Arial" w:cs="Arial" w:eastAsia="Arial" w:hAnsi="Arial"/>
                  <w:sz w:val="16"/>
                  <w:szCs w:val="16"/>
                  <w:color w:val="0000EE"/>
                </w:rPr>
                <w:t>– Shareholder Written Consent</w:t>
              </w:r>
            </w:hyperlink>
          </w:p>
        </w:tc>
        <w:tc>
          <w:tcPr>
            <w:tcW w:w="700" w:type="dxa"/>
            <w:vAlign w:val="bottom"/>
          </w:tcPr>
          <w:p>
            <w:pPr>
              <w:jc w:val="right"/>
              <w:spacing w:after="0" w:line="154" w:lineRule="exact"/>
              <w:rPr>
                <w:sz w:val="20"/>
                <w:szCs w:val="20"/>
                <w:color w:val="auto"/>
              </w:rPr>
            </w:pPr>
            <w:r>
              <w:rPr>
                <w:rFonts w:ascii="Arial" w:cs="Arial" w:eastAsia="Arial" w:hAnsi="Arial"/>
                <w:sz w:val="16"/>
                <w:szCs w:val="16"/>
                <w:color w:val="3E3935"/>
              </w:rPr>
              <w:t>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Borders>
              <w:top w:val="single" w:sz="8" w:color="0000EE"/>
              <w:bottom w:val="single" w:sz="8" w:color="0000EE"/>
            </w:tcBorders>
            <w:gridSpan w:val="23"/>
          </w:tcPr>
          <w:p>
            <w:pPr>
              <w:spacing w:after="0" w:line="168" w:lineRule="exact"/>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 xml:space="preserve">Item No. 5 </w:t>
              </w:r>
              <w:r>
                <w:rPr>
                  <w:rFonts w:ascii="Arial" w:cs="Arial" w:eastAsia="Arial" w:hAnsi="Arial"/>
                  <w:sz w:val="16"/>
                  <w:szCs w:val="16"/>
                  <w:color w:val="0000EE"/>
                </w:rPr>
                <w:t>– Report on Greenhouse Gas</w:t>
              </w:r>
            </w:hyperlink>
          </w:p>
        </w:tc>
        <w:tc>
          <w:tcPr>
            <w:tcW w:w="1480" w:type="dxa"/>
            <w:vAlign w:val="bottom"/>
            <w:tcBorders>
              <w:bottom w:val="single" w:sz="8" w:color="0000EE"/>
            </w:tcBorders>
            <w:gridSpan w:val="17"/>
          </w:tcPr>
          <w:p>
            <w:pPr>
              <w:spacing w:after="0" w:line="168" w:lineRule="exact"/>
              <w:rPr>
                <w:rFonts w:ascii="Arial" w:cs="Arial" w:eastAsia="Arial" w:hAnsi="Arial"/>
                <w:sz w:val="16"/>
                <w:szCs w:val="16"/>
                <w:color w:val="0000EE"/>
                <w:w w:val="95"/>
              </w:rPr>
            </w:pPr>
            <w:hyperlink w:anchor="page100">
              <w:r>
                <w:rPr>
                  <w:rFonts w:ascii="Arial" w:cs="Arial" w:eastAsia="Arial" w:hAnsi="Arial"/>
                  <w:sz w:val="16"/>
                  <w:szCs w:val="16"/>
                  <w:color w:val="0000EE"/>
                  <w:w w:val="95"/>
                </w:rPr>
                <w:t>Emissions Targets as</w:t>
              </w:r>
            </w:hyperlink>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Borders>
              <w:bottom w:val="single" w:sz="8" w:color="0000EE"/>
            </w:tcBorders>
            <w:gridSpan w:val="32"/>
          </w:tcPr>
          <w:p>
            <w:pPr>
              <w:spacing w:after="0" w:line="168" w:lineRule="exact"/>
              <w:rPr>
                <w:rFonts w:ascii="Arial" w:cs="Arial" w:eastAsia="Arial" w:hAnsi="Arial"/>
                <w:sz w:val="16"/>
                <w:szCs w:val="16"/>
                <w:color w:val="0000EE"/>
                <w:w w:val="99"/>
              </w:rPr>
            </w:pPr>
            <w:hyperlink w:anchor="page100">
              <w:r>
                <w:rPr>
                  <w:rFonts w:ascii="Arial" w:cs="Arial" w:eastAsia="Arial" w:hAnsi="Arial"/>
                  <w:sz w:val="16"/>
                  <w:szCs w:val="16"/>
                  <w:color w:val="0000EE"/>
                  <w:w w:val="99"/>
                </w:rPr>
                <w:t>a Performance Element of Executive Compensation</w:t>
              </w:r>
            </w:hyperlink>
          </w:p>
        </w:tc>
        <w:tc>
          <w:tcPr>
            <w:tcW w:w="680" w:type="dxa"/>
            <w:vAlign w:val="bottom"/>
            <w:gridSpan w:val="7"/>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3E3935"/>
              </w:rPr>
              <w:t>90</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520" w:type="dxa"/>
            <w:vAlign w:val="bottom"/>
            <w:gridSpan w:val="40"/>
          </w:tcPr>
          <w:p>
            <w:pPr>
              <w:spacing w:after="0"/>
              <w:rPr>
                <w:rFonts w:ascii="Arial" w:cs="Arial" w:eastAsia="Arial" w:hAnsi="Arial"/>
                <w:sz w:val="20"/>
                <w:szCs w:val="20"/>
                <w:color w:val="0000EE"/>
              </w:rPr>
            </w:pPr>
            <w:hyperlink w:anchor="page102">
              <w:r>
                <w:rPr>
                  <w:rFonts w:ascii="Arial" w:cs="Arial" w:eastAsia="Arial" w:hAnsi="Arial"/>
                  <w:sz w:val="20"/>
                  <w:szCs w:val="20"/>
                  <w:color w:val="0000EE"/>
                </w:rPr>
                <w:t>GENERAL INFORMATION ABOUT THE ANNUAL</w:t>
              </w:r>
            </w:hyperlink>
          </w:p>
        </w:tc>
        <w:tc>
          <w:tcPr>
            <w:tcW w:w="70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200" w:type="dxa"/>
            <w:vAlign w:val="bottom"/>
            <w:tcBorders>
              <w:top w:val="single" w:sz="8" w:color="0000EE"/>
            </w:tcBorders>
            <w:gridSpan w:val="38"/>
          </w:tcPr>
          <w:p>
            <w:pPr>
              <w:ind w:left="20"/>
              <w:spacing w:after="0" w:line="194" w:lineRule="exact"/>
              <w:rPr>
                <w:rFonts w:ascii="Arial" w:cs="Arial" w:eastAsia="Arial" w:hAnsi="Arial"/>
                <w:sz w:val="20"/>
                <w:szCs w:val="20"/>
                <w:color w:val="0000EE"/>
              </w:rPr>
            </w:pPr>
            <w:hyperlink w:anchor="page102">
              <w:r>
                <w:rPr>
                  <w:rFonts w:ascii="Arial" w:cs="Arial" w:eastAsia="Arial" w:hAnsi="Arial"/>
                  <w:sz w:val="20"/>
                  <w:szCs w:val="20"/>
                  <w:color w:val="0000EE"/>
                </w:rPr>
                <w:t>MEETING</w:t>
              </w:r>
            </w:hyperlink>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26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20" w:type="dxa"/>
            <w:vAlign w:val="bottom"/>
            <w:gridSpan w:val="40"/>
          </w:tcPr>
          <w:p>
            <w:pPr>
              <w:spacing w:after="0"/>
              <w:rPr>
                <w:rFonts w:ascii="Arial" w:cs="Arial" w:eastAsia="Arial" w:hAnsi="Arial"/>
                <w:sz w:val="20"/>
                <w:szCs w:val="20"/>
                <w:color w:val="0000EE"/>
              </w:rPr>
            </w:pPr>
            <w:hyperlink w:anchor="page108">
              <w:r>
                <w:rPr>
                  <w:rFonts w:ascii="Arial" w:cs="Arial" w:eastAsia="Arial" w:hAnsi="Arial"/>
                  <w:sz w:val="20"/>
                  <w:szCs w:val="20"/>
                  <w:color w:val="0000EE"/>
                </w:rPr>
                <w:t>APPENDIX A – Non-GAAP Financial Measures</w:t>
              </w:r>
            </w:hyperlink>
          </w:p>
        </w:tc>
        <w:tc>
          <w:tcPr>
            <w:tcW w:w="700" w:type="dxa"/>
            <w:vAlign w:val="bottom"/>
          </w:tcPr>
          <w:p>
            <w:pPr>
              <w:jc w:val="right"/>
              <w:spacing w:after="0"/>
              <w:rPr>
                <w:sz w:val="20"/>
                <w:szCs w:val="20"/>
                <w:color w:val="auto"/>
              </w:rPr>
            </w:pPr>
            <w:r>
              <w:rPr>
                <w:rFonts w:ascii="Arial" w:cs="Arial" w:eastAsia="Arial" w:hAnsi="Arial"/>
                <w:sz w:val="20"/>
                <w:szCs w:val="20"/>
                <w:b w:val="1"/>
                <w:bCs w:val="1"/>
                <w:color w:val="00C1DE"/>
              </w:rPr>
              <w:t>A-1</w:t>
            </w:r>
          </w:p>
        </w:tc>
        <w:tc>
          <w:tcPr>
            <w:tcW w:w="0" w:type="dxa"/>
            <w:vAlign w:val="bottom"/>
          </w:tcPr>
          <w:p>
            <w:pPr>
              <w:spacing w:after="0"/>
              <w:rPr>
                <w:sz w:val="1"/>
                <w:szCs w:val="1"/>
                <w:color w:val="auto"/>
              </w:rPr>
            </w:pPr>
          </w:p>
        </w:tc>
      </w:tr>
      <w:tr>
        <w:trPr>
          <w:trHeight w:val="74"/>
        </w:trPr>
        <w:tc>
          <w:tcPr>
            <w:tcW w:w="20" w:type="dxa"/>
            <w:vAlign w:val="bottom"/>
            <w:tcBorders>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9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22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2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120" w:type="dxa"/>
            <w:vAlign w:val="bottom"/>
            <w:tcBorders>
              <w:top w:val="single" w:sz="8" w:color="0000EE"/>
              <w:bottom w:val="single" w:sz="8" w:color="3E3935"/>
            </w:tcBorders>
          </w:tcPr>
          <w:p>
            <w:pPr>
              <w:spacing w:after="0"/>
              <w:rPr>
                <w:sz w:val="6"/>
                <w:szCs w:val="6"/>
                <w:color w:val="auto"/>
              </w:rPr>
            </w:pPr>
          </w:p>
        </w:tc>
        <w:tc>
          <w:tcPr>
            <w:tcW w:w="6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40" w:type="dxa"/>
            <w:vAlign w:val="bottom"/>
            <w:tcBorders>
              <w:top w:val="single" w:sz="8" w:color="0000EE"/>
              <w:bottom w:val="single" w:sz="8" w:color="3E3935"/>
            </w:tcBorders>
          </w:tcPr>
          <w:p>
            <w:pPr>
              <w:spacing w:after="0"/>
              <w:rPr>
                <w:sz w:val="6"/>
                <w:szCs w:val="6"/>
                <w:color w:val="auto"/>
              </w:rPr>
            </w:pPr>
          </w:p>
        </w:tc>
        <w:tc>
          <w:tcPr>
            <w:tcW w:w="40" w:type="dxa"/>
            <w:vAlign w:val="bottom"/>
            <w:tcBorders>
              <w:top w:val="single" w:sz="8" w:color="0000EE"/>
              <w:bottom w:val="single" w:sz="8" w:color="3E3935"/>
            </w:tcBorders>
          </w:tcPr>
          <w:p>
            <w:pPr>
              <w:spacing w:after="0"/>
              <w:rPr>
                <w:sz w:val="6"/>
                <w:szCs w:val="6"/>
                <w:color w:val="auto"/>
              </w:rPr>
            </w:pPr>
          </w:p>
        </w:tc>
        <w:tc>
          <w:tcPr>
            <w:tcW w:w="180" w:type="dxa"/>
            <w:vAlign w:val="bottom"/>
            <w:tcBorders>
              <w:top w:val="single" w:sz="8" w:color="0000EE"/>
              <w:bottom w:val="single" w:sz="8" w:color="3E3935"/>
            </w:tcBorders>
          </w:tcPr>
          <w:p>
            <w:pPr>
              <w:spacing w:after="0"/>
              <w:rPr>
                <w:sz w:val="6"/>
                <w:szCs w:val="6"/>
                <w:color w:val="auto"/>
              </w:rPr>
            </w:pPr>
          </w:p>
        </w:tc>
        <w:tc>
          <w:tcPr>
            <w:tcW w:w="80" w:type="dxa"/>
            <w:vAlign w:val="bottom"/>
            <w:tcBorders>
              <w:top w:val="single" w:sz="8" w:color="0000EE"/>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71CE"/>
        </w:rPr>
        <w:t>INDEX OF FREQUENTLY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-206375</wp:posOffset>
            </wp:positionV>
            <wp:extent cx="3265170" cy="4037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170" cy="40379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u w:val="single" w:color="auto"/>
          <w:color w:val="0071CE"/>
        </w:rPr>
        <w:t>ACCESSED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3E3935"/>
              </w:rPr>
              <w:t>Auditor Fees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3935"/>
              </w:rPr>
              <w:t>40</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Beneficial Ownership Table</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36</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Board and Committee Evaluations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26</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Board Succession Planning</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17</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CEO Pay Ratio</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83</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CEO Succession Planning</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26</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Clawback Policies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66</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Code of Business Conduct and Ethics</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25</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Compensation Decisions for our NEOs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54</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Compensation Peer Group</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47</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Corporate Governance Guidelines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26</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Cybersecurity and Privacy Risk Oversight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24</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Director Biographies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5</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Director Compensation</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11</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Director Independence</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15</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Director Skills Matrix</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4</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Diversity, Equity, and Inclusion</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33</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Executive Perquisites</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49</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Financial Performance</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42</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Human Capital Management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33</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Independent Lead Director Duties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16</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Lobbying Disclosure</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29</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Pay-for-Performance</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54</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Related Party Transactions</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31</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Risk Oversight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22</w:t>
            </w:r>
          </w:p>
        </w:tc>
      </w:tr>
      <w:tr>
        <w:trPr>
          <w:trHeight w:val="201"/>
        </w:trPr>
        <w:tc>
          <w:tcPr>
            <w:tcW w:w="3800" w:type="dxa"/>
            <w:vAlign w:val="bottom"/>
          </w:tcPr>
          <w:p>
            <w:pPr>
              <w:spacing w:after="0" w:line="201" w:lineRule="exact"/>
              <w:rPr>
                <w:sz w:val="20"/>
                <w:szCs w:val="20"/>
                <w:color w:val="auto"/>
              </w:rPr>
            </w:pPr>
            <w:r>
              <w:rPr>
                <w:rFonts w:ascii="Arial" w:cs="Arial" w:eastAsia="Arial" w:hAnsi="Arial"/>
                <w:sz w:val="18"/>
                <w:szCs w:val="18"/>
                <w:color w:val="3E3935"/>
              </w:rPr>
              <w:t>Shareholder Engagement</w:t>
            </w: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3E3935"/>
              </w:rPr>
              <w:t>27, 44</w:t>
            </w:r>
          </w:p>
        </w:tc>
      </w:tr>
      <w:tr>
        <w:trPr>
          <w:trHeight w:val="201"/>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E3935"/>
              </w:rPr>
              <w:t>Stock Ownership Requirements</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3E3935"/>
              </w:rPr>
              <w:t>11, 65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2929890</wp:posOffset>
            </wp:positionV>
            <wp:extent cx="5927725" cy="101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40"/>
        <w:spacing w:after="0"/>
        <w:rPr>
          <w:sz w:val="20"/>
          <w:szCs w:val="20"/>
          <w:color w:val="auto"/>
        </w:rPr>
      </w:pPr>
      <w:r>
        <w:rPr>
          <w:rFonts w:ascii="Arial" w:cs="Arial" w:eastAsia="Arial" w:hAnsi="Arial"/>
          <w:sz w:val="14"/>
          <w:szCs w:val="14"/>
          <w:color w:val="0071CE"/>
        </w:rPr>
        <w:t>v</w:t>
      </w:r>
    </w:p>
    <w:p>
      <w:pPr>
        <w:sectPr>
          <w:pgSz w:w="11900" w:h="16838" w:orient="portrait"/>
          <w:cols w:equalWidth="0" w:num="2">
            <w:col w:w="5400" w:space="560"/>
            <w:col w:w="4900"/>
          </w:cols>
          <w:pgMar w:left="320" w:top="456" w:right="7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253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56"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SHAREHOLDER VOTING MATTERS</w:t>
      </w: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Shareholders will be asked to vote on the following matters at the Annual Meeting of Shareholders: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3E3935"/>
                <w:w w:val="99"/>
              </w:rPr>
              <w:t>BOARD VOTE</w:t>
            </w:r>
          </w:p>
        </w:tc>
        <w:tc>
          <w:tcPr>
            <w:tcW w:w="1500" w:type="dxa"/>
            <w:vAlign w:val="bottom"/>
          </w:tcPr>
          <w:p>
            <w:pPr>
              <w:jc w:val="center"/>
              <w:ind w:left="170"/>
              <w:spacing w:after="0"/>
              <w:rPr>
                <w:sz w:val="20"/>
                <w:szCs w:val="20"/>
                <w:color w:val="auto"/>
              </w:rPr>
            </w:pPr>
            <w:r>
              <w:rPr>
                <w:rFonts w:ascii="Arial" w:cs="Arial" w:eastAsia="Arial" w:hAnsi="Arial"/>
                <w:sz w:val="16"/>
                <w:szCs w:val="16"/>
                <w:b w:val="1"/>
                <w:bCs w:val="1"/>
                <w:color w:val="3E3935"/>
                <w:w w:val="96"/>
              </w:rPr>
              <w:t>PAGE</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3E3935"/>
            </w:tcBorders>
          </w:tcPr>
          <w:p>
            <w:pPr>
              <w:ind w:left="2560"/>
              <w:spacing w:after="0"/>
              <w:rPr>
                <w:sz w:val="20"/>
                <w:szCs w:val="20"/>
                <w:color w:val="auto"/>
              </w:rPr>
            </w:pPr>
            <w:r>
              <w:rPr>
                <w:rFonts w:ascii="Arial" w:cs="Arial" w:eastAsia="Arial" w:hAnsi="Arial"/>
                <w:sz w:val="16"/>
                <w:szCs w:val="16"/>
                <w:b w:val="1"/>
                <w:bCs w:val="1"/>
                <w:color w:val="3E3935"/>
              </w:rPr>
              <w:t>VOTING MATTER</w:t>
            </w:r>
          </w:p>
        </w:tc>
        <w:tc>
          <w:tcPr>
            <w:tcW w:w="2700" w:type="dxa"/>
            <w:vAlign w:val="bottom"/>
            <w:tcBorders>
              <w:bottom w:val="single" w:sz="8" w:color="3E3935"/>
            </w:tcBorders>
          </w:tcPr>
          <w:p>
            <w:pPr>
              <w:jc w:val="center"/>
              <w:spacing w:after="0"/>
              <w:rPr>
                <w:sz w:val="20"/>
                <w:szCs w:val="20"/>
                <w:color w:val="auto"/>
              </w:rPr>
            </w:pPr>
            <w:r>
              <w:rPr>
                <w:rFonts w:ascii="Arial" w:cs="Arial" w:eastAsia="Arial" w:hAnsi="Arial"/>
                <w:sz w:val="16"/>
                <w:szCs w:val="16"/>
                <w:b w:val="1"/>
                <w:bCs w:val="1"/>
                <w:color w:val="3E3935"/>
                <w:w w:val="99"/>
              </w:rPr>
              <w:t>RECOMMENDATION</w:t>
            </w:r>
          </w:p>
        </w:tc>
        <w:tc>
          <w:tcPr>
            <w:tcW w:w="1500" w:type="dxa"/>
            <w:vAlign w:val="bottom"/>
            <w:tcBorders>
              <w:bottom w:val="single" w:sz="8" w:color="3E3935"/>
            </w:tcBorders>
          </w:tcPr>
          <w:p>
            <w:pPr>
              <w:jc w:val="center"/>
              <w:ind w:left="190"/>
              <w:spacing w:after="0"/>
              <w:rPr>
                <w:sz w:val="20"/>
                <w:szCs w:val="20"/>
                <w:color w:val="auto"/>
              </w:rPr>
            </w:pPr>
            <w:r>
              <w:rPr>
                <w:rFonts w:ascii="Arial" w:cs="Arial" w:eastAsia="Arial" w:hAnsi="Arial"/>
                <w:sz w:val="16"/>
                <w:szCs w:val="16"/>
                <w:b w:val="1"/>
                <w:bCs w:val="1"/>
                <w:color w:val="3E3935"/>
                <w:w w:val="99"/>
              </w:rPr>
              <w:t>REFERENCE</w:t>
            </w:r>
          </w:p>
        </w:tc>
        <w:tc>
          <w:tcPr>
            <w:tcW w:w="0" w:type="dxa"/>
            <w:vAlign w:val="bottom"/>
          </w:tcPr>
          <w:p>
            <w:pPr>
              <w:spacing w:after="0"/>
              <w:rPr>
                <w:sz w:val="1"/>
                <w:szCs w:val="1"/>
                <w:color w:val="auto"/>
              </w:rPr>
            </w:pPr>
          </w:p>
        </w:tc>
      </w:tr>
      <w:tr>
        <w:trPr>
          <w:trHeight w:val="277"/>
        </w:trPr>
        <w:tc>
          <w:tcPr>
            <w:tcW w:w="6720" w:type="dxa"/>
            <w:vAlign w:val="bottom"/>
          </w:tcPr>
          <w:p>
            <w:pPr>
              <w:ind w:left="60"/>
              <w:spacing w:after="0"/>
              <w:rPr>
                <w:sz w:val="20"/>
                <w:szCs w:val="20"/>
                <w:color w:val="auto"/>
              </w:rPr>
            </w:pPr>
            <w:r>
              <w:rPr>
                <w:rFonts w:ascii="Arial" w:cs="Arial" w:eastAsia="Arial" w:hAnsi="Arial"/>
                <w:sz w:val="20"/>
                <w:szCs w:val="20"/>
                <w:b w:val="1"/>
                <w:bCs w:val="1"/>
                <w:color w:val="3E3935"/>
              </w:rPr>
              <w:t>Item 1</w:t>
            </w:r>
            <w:r>
              <w:rPr>
                <w:rFonts w:ascii="Arial" w:cs="Arial" w:eastAsia="Arial" w:hAnsi="Arial"/>
                <w:sz w:val="20"/>
                <w:szCs w:val="20"/>
                <w:color w:val="3E3935"/>
              </w:rPr>
              <w:t>:   Election of Directors</w:t>
            </w:r>
          </w:p>
        </w:tc>
        <w:tc>
          <w:tcPr>
            <w:tcW w:w="2700" w:type="dxa"/>
            <w:vAlign w:val="bottom"/>
          </w:tcPr>
          <w:p>
            <w:pPr>
              <w:jc w:val="center"/>
              <w:spacing w:after="0"/>
              <w:rPr>
                <w:sz w:val="20"/>
                <w:szCs w:val="20"/>
                <w:color w:val="auto"/>
              </w:rPr>
            </w:pPr>
            <w:r>
              <w:rPr>
                <w:rFonts w:ascii="Arial" w:cs="Arial" w:eastAsia="Arial" w:hAnsi="Arial"/>
                <w:sz w:val="20"/>
                <w:szCs w:val="20"/>
                <w:b w:val="1"/>
                <w:bCs w:val="1"/>
                <w:color w:val="00C1DE"/>
                <w:w w:val="99"/>
              </w:rPr>
              <w:t>FOR</w:t>
            </w:r>
          </w:p>
        </w:tc>
        <w:tc>
          <w:tcPr>
            <w:tcW w:w="1500" w:type="dxa"/>
            <w:vAlign w:val="bottom"/>
          </w:tcPr>
          <w:p>
            <w:pPr>
              <w:jc w:val="center"/>
              <w:ind w:left="190"/>
              <w:spacing w:after="0"/>
              <w:rPr>
                <w:sz w:val="20"/>
                <w:szCs w:val="20"/>
                <w:color w:val="auto"/>
              </w:rPr>
            </w:pPr>
            <w:r>
              <w:rPr>
                <w:rFonts w:ascii="Arial" w:cs="Arial" w:eastAsia="Arial" w:hAnsi="Arial"/>
                <w:sz w:val="20"/>
                <w:szCs w:val="20"/>
                <w:color w:val="3E3935"/>
                <w:w w:val="98"/>
              </w:rPr>
              <w:t>85</w:t>
            </w: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20"/>
                <w:szCs w:val="20"/>
                <w:color w:val="00C1DE"/>
                <w:w w:val="98"/>
              </w:rPr>
              <w:t>each director nominee</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6720" w:type="dxa"/>
            <w:vAlign w:val="bottom"/>
            <w:tcBorders>
              <w:bottom w:val="single" w:sz="8" w:color="E2E1E0"/>
            </w:tcBorders>
          </w:tcPr>
          <w:p>
            <w:pPr>
              <w:spacing w:after="0"/>
              <w:rPr>
                <w:sz w:val="7"/>
                <w:szCs w:val="7"/>
                <w:color w:val="auto"/>
              </w:rPr>
            </w:pPr>
          </w:p>
        </w:tc>
        <w:tc>
          <w:tcPr>
            <w:tcW w:w="2700" w:type="dxa"/>
            <w:vAlign w:val="bottom"/>
            <w:tcBorders>
              <w:bottom w:val="single" w:sz="8" w:color="E2E1E0"/>
            </w:tcBorders>
          </w:tcPr>
          <w:p>
            <w:pPr>
              <w:spacing w:after="0"/>
              <w:rPr>
                <w:sz w:val="7"/>
                <w:szCs w:val="7"/>
                <w:color w:val="auto"/>
              </w:rPr>
            </w:pPr>
          </w:p>
        </w:tc>
        <w:tc>
          <w:tcPr>
            <w:tcW w:w="1500" w:type="dxa"/>
            <w:vAlign w:val="bottom"/>
            <w:tcBorders>
              <w:bottom w:val="single" w:sz="8" w:color="E2E1E0"/>
            </w:tcBorders>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6720" w:type="dxa"/>
            <w:vAlign w:val="bottom"/>
          </w:tcPr>
          <w:p>
            <w:pPr>
              <w:ind w:left="60"/>
              <w:spacing w:after="0"/>
              <w:rPr>
                <w:sz w:val="20"/>
                <w:szCs w:val="20"/>
                <w:color w:val="auto"/>
              </w:rPr>
            </w:pPr>
            <w:r>
              <w:rPr>
                <w:rFonts w:ascii="Arial" w:cs="Arial" w:eastAsia="Arial" w:hAnsi="Arial"/>
                <w:sz w:val="20"/>
                <w:szCs w:val="20"/>
                <w:b w:val="1"/>
                <w:bCs w:val="1"/>
                <w:color w:val="3E3935"/>
              </w:rPr>
              <w:t>Item 2</w:t>
            </w:r>
            <w:r>
              <w:rPr>
                <w:rFonts w:ascii="Arial" w:cs="Arial" w:eastAsia="Arial" w:hAnsi="Arial"/>
                <w:sz w:val="20"/>
                <w:szCs w:val="20"/>
                <w:color w:val="3E3935"/>
              </w:rPr>
              <w:t>:  Advisory Approval of Named Executive Officer Compensation</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9"/>
              </w:rPr>
              <w:t>FOR</w:t>
            </w:r>
          </w:p>
        </w:tc>
        <w:tc>
          <w:tcPr>
            <w:tcW w:w="1500" w:type="dxa"/>
            <w:vAlign w:val="bottom"/>
            <w:vMerge w:val="restart"/>
          </w:tcPr>
          <w:p>
            <w:pPr>
              <w:jc w:val="center"/>
              <w:ind w:left="190"/>
              <w:spacing w:after="0"/>
              <w:rPr>
                <w:sz w:val="20"/>
                <w:szCs w:val="20"/>
                <w:color w:val="auto"/>
              </w:rPr>
            </w:pPr>
            <w:r>
              <w:rPr>
                <w:rFonts w:ascii="Arial" w:cs="Arial" w:eastAsia="Arial" w:hAnsi="Arial"/>
                <w:sz w:val="20"/>
                <w:szCs w:val="20"/>
                <w:color w:val="3E3935"/>
                <w:w w:val="98"/>
              </w:rPr>
              <w:t>86</w:t>
            </w:r>
          </w:p>
        </w:tc>
        <w:tc>
          <w:tcPr>
            <w:tcW w:w="0" w:type="dxa"/>
            <w:vAlign w:val="bottom"/>
          </w:tcPr>
          <w:p>
            <w:pPr>
              <w:spacing w:after="0"/>
              <w:rPr>
                <w:sz w:val="1"/>
                <w:szCs w:val="1"/>
                <w:color w:val="auto"/>
              </w:rPr>
            </w:pPr>
          </w:p>
        </w:tc>
      </w:tr>
      <w:tr>
        <w:trPr>
          <w:trHeight w:val="120"/>
        </w:trPr>
        <w:tc>
          <w:tcPr>
            <w:tcW w:w="6720" w:type="dxa"/>
            <w:vAlign w:val="bottom"/>
          </w:tcPr>
          <w:p>
            <w:pPr>
              <w:spacing w:after="0"/>
              <w:rPr>
                <w:sz w:val="10"/>
                <w:szCs w:val="10"/>
                <w:color w:val="auto"/>
              </w:rPr>
            </w:pPr>
          </w:p>
        </w:tc>
        <w:tc>
          <w:tcPr>
            <w:tcW w:w="27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720" w:type="dxa"/>
            <w:vAlign w:val="bottom"/>
            <w:tcBorders>
              <w:bottom w:val="single" w:sz="8" w:color="E2E1E0"/>
            </w:tcBorders>
          </w:tcPr>
          <w:p>
            <w:pPr>
              <w:spacing w:after="0"/>
              <w:rPr>
                <w:sz w:val="7"/>
                <w:szCs w:val="7"/>
                <w:color w:val="auto"/>
              </w:rPr>
            </w:pPr>
          </w:p>
        </w:tc>
        <w:tc>
          <w:tcPr>
            <w:tcW w:w="2700" w:type="dxa"/>
            <w:vAlign w:val="bottom"/>
            <w:tcBorders>
              <w:bottom w:val="single" w:sz="8" w:color="E2E1E0"/>
            </w:tcBorders>
          </w:tcPr>
          <w:p>
            <w:pPr>
              <w:spacing w:after="0"/>
              <w:rPr>
                <w:sz w:val="7"/>
                <w:szCs w:val="7"/>
                <w:color w:val="auto"/>
              </w:rPr>
            </w:pPr>
          </w:p>
        </w:tc>
        <w:tc>
          <w:tcPr>
            <w:tcW w:w="1500" w:type="dxa"/>
            <w:vAlign w:val="bottom"/>
            <w:tcBorders>
              <w:bottom w:val="single" w:sz="8" w:color="E2E1E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6720" w:type="dxa"/>
            <w:vAlign w:val="bottom"/>
          </w:tcPr>
          <w:p>
            <w:pPr>
              <w:ind w:left="60"/>
              <w:spacing w:after="0"/>
              <w:rPr>
                <w:sz w:val="20"/>
                <w:szCs w:val="20"/>
                <w:color w:val="auto"/>
              </w:rPr>
            </w:pPr>
            <w:r>
              <w:rPr>
                <w:rFonts w:ascii="Arial" w:cs="Arial" w:eastAsia="Arial" w:hAnsi="Arial"/>
                <w:sz w:val="20"/>
                <w:szCs w:val="20"/>
                <w:b w:val="1"/>
                <w:bCs w:val="1"/>
                <w:color w:val="3E3935"/>
              </w:rPr>
              <w:t>Item 3</w:t>
            </w:r>
            <w:r>
              <w:rPr>
                <w:rFonts w:ascii="Arial" w:cs="Arial" w:eastAsia="Arial" w:hAnsi="Arial"/>
                <w:sz w:val="20"/>
                <w:szCs w:val="20"/>
                <w:color w:val="3E3935"/>
              </w:rPr>
              <w:t>:  Ratification of the Selection of the Independent Registered</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9"/>
              </w:rPr>
              <w:t>FOR</w:t>
            </w:r>
          </w:p>
        </w:tc>
        <w:tc>
          <w:tcPr>
            <w:tcW w:w="1500" w:type="dxa"/>
            <w:vAlign w:val="bottom"/>
            <w:vMerge w:val="restart"/>
          </w:tcPr>
          <w:p>
            <w:pPr>
              <w:jc w:val="center"/>
              <w:ind w:left="190"/>
              <w:spacing w:after="0"/>
              <w:rPr>
                <w:sz w:val="20"/>
                <w:szCs w:val="20"/>
                <w:color w:val="auto"/>
              </w:rPr>
            </w:pPr>
            <w:r>
              <w:rPr>
                <w:rFonts w:ascii="Arial" w:cs="Arial" w:eastAsia="Arial" w:hAnsi="Arial"/>
                <w:sz w:val="20"/>
                <w:szCs w:val="20"/>
                <w:color w:val="3E3935"/>
                <w:w w:val="98"/>
              </w:rPr>
              <w:t>87</w:t>
            </w:r>
          </w:p>
        </w:tc>
        <w:tc>
          <w:tcPr>
            <w:tcW w:w="0" w:type="dxa"/>
            <w:vAlign w:val="bottom"/>
          </w:tcPr>
          <w:p>
            <w:pPr>
              <w:spacing w:after="0"/>
              <w:rPr>
                <w:sz w:val="1"/>
                <w:szCs w:val="1"/>
                <w:color w:val="auto"/>
              </w:rPr>
            </w:pPr>
          </w:p>
        </w:tc>
      </w:tr>
      <w:tr>
        <w:trPr>
          <w:trHeight w:val="235"/>
        </w:trPr>
        <w:tc>
          <w:tcPr>
            <w:tcW w:w="6720" w:type="dxa"/>
            <w:vAlign w:val="bottom"/>
          </w:tcPr>
          <w:p>
            <w:pPr>
              <w:ind w:left="900"/>
              <w:spacing w:after="0"/>
              <w:rPr>
                <w:sz w:val="20"/>
                <w:szCs w:val="20"/>
                <w:color w:val="auto"/>
              </w:rPr>
            </w:pPr>
            <w:r>
              <w:rPr>
                <w:rFonts w:ascii="Arial" w:cs="Arial" w:eastAsia="Arial" w:hAnsi="Arial"/>
                <w:sz w:val="20"/>
                <w:szCs w:val="20"/>
                <w:color w:val="3E3935"/>
              </w:rPr>
              <w:t>Public Accounting Firm for 2021</w:t>
            </w:r>
          </w:p>
        </w:tc>
        <w:tc>
          <w:tcPr>
            <w:tcW w:w="270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720" w:type="dxa"/>
            <w:vAlign w:val="bottom"/>
            <w:tcBorders>
              <w:bottom w:val="single" w:sz="8" w:color="E2E1E0"/>
            </w:tcBorders>
          </w:tcPr>
          <w:p>
            <w:pPr>
              <w:spacing w:after="0"/>
              <w:rPr>
                <w:sz w:val="6"/>
                <w:szCs w:val="6"/>
                <w:color w:val="auto"/>
              </w:rPr>
            </w:pPr>
          </w:p>
        </w:tc>
        <w:tc>
          <w:tcPr>
            <w:tcW w:w="2700" w:type="dxa"/>
            <w:vAlign w:val="bottom"/>
            <w:tcBorders>
              <w:bottom w:val="single" w:sz="8" w:color="E2E1E0"/>
            </w:tcBorders>
          </w:tcPr>
          <w:p>
            <w:pPr>
              <w:spacing w:after="0"/>
              <w:rPr>
                <w:sz w:val="6"/>
                <w:szCs w:val="6"/>
                <w:color w:val="auto"/>
              </w:rPr>
            </w:pPr>
          </w:p>
        </w:tc>
        <w:tc>
          <w:tcPr>
            <w:tcW w:w="1500" w:type="dxa"/>
            <w:vAlign w:val="bottom"/>
            <w:tcBorders>
              <w:bottom w:val="single" w:sz="8" w:color="E2E1E0"/>
            </w:tcBorders>
          </w:tcPr>
          <w:p>
            <w:pPr>
              <w:spacing w:after="0"/>
              <w:rPr>
                <w:sz w:val="6"/>
                <w:szCs w:val="6"/>
                <w:color w:val="auto"/>
              </w:rPr>
            </w:pPr>
          </w:p>
        </w:tc>
        <w:tc>
          <w:tcPr>
            <w:tcW w:w="0" w:type="dxa"/>
            <w:vAlign w:val="bottom"/>
          </w:tcPr>
          <w:p>
            <w:pPr>
              <w:spacing w:after="0"/>
              <w:rPr>
                <w:sz w:val="1"/>
                <w:szCs w:val="1"/>
                <w:color w:val="auto"/>
              </w:rPr>
            </w:pPr>
          </w:p>
        </w:tc>
      </w:tr>
      <w:tr>
        <w:trPr>
          <w:trHeight w:val="299"/>
        </w:trPr>
        <w:tc>
          <w:tcPr>
            <w:tcW w:w="6720" w:type="dxa"/>
            <w:vAlign w:val="bottom"/>
          </w:tcPr>
          <w:p>
            <w:pPr>
              <w:ind w:left="60"/>
              <w:spacing w:after="0"/>
              <w:rPr>
                <w:sz w:val="20"/>
                <w:szCs w:val="20"/>
                <w:color w:val="auto"/>
              </w:rPr>
            </w:pPr>
            <w:r>
              <w:rPr>
                <w:rFonts w:ascii="Arial" w:cs="Arial" w:eastAsia="Arial" w:hAnsi="Arial"/>
                <w:sz w:val="20"/>
                <w:szCs w:val="20"/>
                <w:b w:val="1"/>
                <w:bCs w:val="1"/>
                <w:color w:val="3E3935"/>
              </w:rPr>
              <w:t>Item 4</w:t>
            </w:r>
            <w:r>
              <w:rPr>
                <w:rFonts w:ascii="Arial" w:cs="Arial" w:eastAsia="Arial" w:hAnsi="Arial"/>
                <w:sz w:val="20"/>
                <w:szCs w:val="20"/>
                <w:color w:val="3E3935"/>
              </w:rPr>
              <w:t>:  Shareholder Proposal Regarding Shareholder Written Consent</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00" w:type="dxa"/>
            <w:vAlign w:val="bottom"/>
            <w:vMerge w:val="restart"/>
          </w:tcPr>
          <w:p>
            <w:pPr>
              <w:jc w:val="center"/>
              <w:ind w:left="190"/>
              <w:spacing w:after="0"/>
              <w:rPr>
                <w:sz w:val="20"/>
                <w:szCs w:val="20"/>
                <w:color w:val="auto"/>
              </w:rPr>
            </w:pPr>
            <w:r>
              <w:rPr>
                <w:rFonts w:ascii="Arial" w:cs="Arial" w:eastAsia="Arial" w:hAnsi="Arial"/>
                <w:sz w:val="20"/>
                <w:szCs w:val="20"/>
                <w:color w:val="3E3935"/>
                <w:w w:val="98"/>
              </w:rPr>
              <w:t>88</w:t>
            </w:r>
          </w:p>
        </w:tc>
        <w:tc>
          <w:tcPr>
            <w:tcW w:w="0" w:type="dxa"/>
            <w:vAlign w:val="bottom"/>
          </w:tcPr>
          <w:p>
            <w:pPr>
              <w:spacing w:after="0"/>
              <w:rPr>
                <w:sz w:val="1"/>
                <w:szCs w:val="1"/>
                <w:color w:val="auto"/>
              </w:rPr>
            </w:pPr>
          </w:p>
        </w:tc>
      </w:tr>
      <w:tr>
        <w:trPr>
          <w:trHeight w:val="120"/>
        </w:trPr>
        <w:tc>
          <w:tcPr>
            <w:tcW w:w="6720" w:type="dxa"/>
            <w:vAlign w:val="bottom"/>
          </w:tcPr>
          <w:p>
            <w:pPr>
              <w:spacing w:after="0"/>
              <w:rPr>
                <w:sz w:val="10"/>
                <w:szCs w:val="10"/>
                <w:color w:val="auto"/>
              </w:rPr>
            </w:pPr>
          </w:p>
        </w:tc>
        <w:tc>
          <w:tcPr>
            <w:tcW w:w="27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720" w:type="dxa"/>
            <w:vAlign w:val="bottom"/>
            <w:tcBorders>
              <w:bottom w:val="single" w:sz="8" w:color="E2E1E0"/>
            </w:tcBorders>
          </w:tcPr>
          <w:p>
            <w:pPr>
              <w:spacing w:after="0"/>
              <w:rPr>
                <w:sz w:val="7"/>
                <w:szCs w:val="7"/>
                <w:color w:val="auto"/>
              </w:rPr>
            </w:pPr>
          </w:p>
        </w:tc>
        <w:tc>
          <w:tcPr>
            <w:tcW w:w="2700" w:type="dxa"/>
            <w:vAlign w:val="bottom"/>
            <w:tcBorders>
              <w:bottom w:val="single" w:sz="8" w:color="E2E1E0"/>
            </w:tcBorders>
          </w:tcPr>
          <w:p>
            <w:pPr>
              <w:spacing w:after="0"/>
              <w:rPr>
                <w:sz w:val="7"/>
                <w:szCs w:val="7"/>
                <w:color w:val="auto"/>
              </w:rPr>
            </w:pPr>
          </w:p>
        </w:tc>
        <w:tc>
          <w:tcPr>
            <w:tcW w:w="1500" w:type="dxa"/>
            <w:vAlign w:val="bottom"/>
            <w:tcBorders>
              <w:bottom w:val="single" w:sz="8" w:color="E2E1E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6720" w:type="dxa"/>
            <w:vAlign w:val="bottom"/>
          </w:tcPr>
          <w:p>
            <w:pPr>
              <w:ind w:left="60"/>
              <w:spacing w:after="0"/>
              <w:rPr>
                <w:sz w:val="20"/>
                <w:szCs w:val="20"/>
                <w:color w:val="auto"/>
              </w:rPr>
            </w:pPr>
            <w:r>
              <w:rPr>
                <w:rFonts w:ascii="Arial" w:cs="Arial" w:eastAsia="Arial" w:hAnsi="Arial"/>
                <w:sz w:val="20"/>
                <w:szCs w:val="20"/>
                <w:b w:val="1"/>
                <w:bCs w:val="1"/>
                <w:color w:val="3E3935"/>
              </w:rPr>
              <w:t>Item 5</w:t>
            </w:r>
            <w:r>
              <w:rPr>
                <w:rFonts w:ascii="Arial" w:cs="Arial" w:eastAsia="Arial" w:hAnsi="Arial"/>
                <w:sz w:val="20"/>
                <w:szCs w:val="20"/>
                <w:color w:val="3E3935"/>
              </w:rPr>
              <w:t>:  Shareholder Proposal Regarding a Report on Greenhouse Gas</w:t>
            </w: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720" w:type="dxa"/>
            <w:vAlign w:val="bottom"/>
          </w:tcPr>
          <w:p>
            <w:pPr>
              <w:ind w:left="900"/>
              <w:spacing w:after="0"/>
              <w:rPr>
                <w:sz w:val="20"/>
                <w:szCs w:val="20"/>
                <w:color w:val="auto"/>
              </w:rPr>
            </w:pPr>
            <w:r>
              <w:rPr>
                <w:rFonts w:ascii="Arial" w:cs="Arial" w:eastAsia="Arial" w:hAnsi="Arial"/>
                <w:sz w:val="20"/>
                <w:szCs w:val="20"/>
                <w:color w:val="3E3935"/>
              </w:rPr>
              <w:t>Emissions Targets as a Performance Element of Executive</w:t>
            </w:r>
          </w:p>
        </w:tc>
        <w:tc>
          <w:tcPr>
            <w:tcW w:w="2700" w:type="dxa"/>
            <w:vAlign w:val="bottom"/>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00" w:type="dxa"/>
            <w:vAlign w:val="bottom"/>
          </w:tcPr>
          <w:p>
            <w:pPr>
              <w:jc w:val="center"/>
              <w:ind w:left="190"/>
              <w:spacing w:after="0"/>
              <w:rPr>
                <w:sz w:val="20"/>
                <w:szCs w:val="20"/>
                <w:color w:val="auto"/>
              </w:rPr>
            </w:pPr>
            <w:r>
              <w:rPr>
                <w:rFonts w:ascii="Arial" w:cs="Arial" w:eastAsia="Arial" w:hAnsi="Arial"/>
                <w:sz w:val="20"/>
                <w:szCs w:val="20"/>
                <w:color w:val="3E3935"/>
                <w:w w:val="98"/>
              </w:rPr>
              <w:t>90</w:t>
            </w:r>
          </w:p>
        </w:tc>
        <w:tc>
          <w:tcPr>
            <w:tcW w:w="0" w:type="dxa"/>
            <w:vAlign w:val="bottom"/>
          </w:tcPr>
          <w:p>
            <w:pPr>
              <w:spacing w:after="0"/>
              <w:rPr>
                <w:sz w:val="1"/>
                <w:szCs w:val="1"/>
                <w:color w:val="auto"/>
              </w:rPr>
            </w:pPr>
          </w:p>
        </w:tc>
      </w:tr>
      <w:tr>
        <w:trPr>
          <w:trHeight w:val="235"/>
        </w:trPr>
        <w:tc>
          <w:tcPr>
            <w:tcW w:w="6720" w:type="dxa"/>
            <w:vAlign w:val="bottom"/>
          </w:tcPr>
          <w:p>
            <w:pPr>
              <w:ind w:left="900"/>
              <w:spacing w:after="0"/>
              <w:rPr>
                <w:sz w:val="20"/>
                <w:szCs w:val="20"/>
                <w:color w:val="auto"/>
              </w:rPr>
            </w:pPr>
            <w:r>
              <w:rPr>
                <w:rFonts w:ascii="Arial" w:cs="Arial" w:eastAsia="Arial" w:hAnsi="Arial"/>
                <w:sz w:val="20"/>
                <w:szCs w:val="20"/>
                <w:color w:val="3E3935"/>
              </w:rPr>
              <w:t>Compensation</w:t>
            </w:r>
          </w:p>
        </w:tc>
        <w:tc>
          <w:tcPr>
            <w:tcW w:w="2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6720" w:type="dxa"/>
            <w:vAlign w:val="bottom"/>
            <w:tcBorders>
              <w:bottom w:val="single" w:sz="8" w:color="E2E1E0"/>
            </w:tcBorders>
          </w:tcPr>
          <w:p>
            <w:pPr>
              <w:spacing w:after="0"/>
              <w:rPr>
                <w:sz w:val="4"/>
                <w:szCs w:val="4"/>
                <w:color w:val="auto"/>
              </w:rPr>
            </w:pPr>
          </w:p>
        </w:tc>
        <w:tc>
          <w:tcPr>
            <w:tcW w:w="2700" w:type="dxa"/>
            <w:vAlign w:val="bottom"/>
            <w:tcBorders>
              <w:bottom w:val="single" w:sz="8" w:color="E2E1E0"/>
            </w:tcBorders>
          </w:tcPr>
          <w:p>
            <w:pPr>
              <w:spacing w:after="0"/>
              <w:rPr>
                <w:sz w:val="4"/>
                <w:szCs w:val="4"/>
                <w:color w:val="auto"/>
              </w:rPr>
            </w:pPr>
          </w:p>
        </w:tc>
        <w:tc>
          <w:tcPr>
            <w:tcW w:w="1500" w:type="dxa"/>
            <w:vAlign w:val="bottom"/>
            <w:tcBorders>
              <w:bottom w:val="single" w:sz="8" w:color="E2E1E0"/>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6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jc w:val="right"/>
              <w:ind w:right="230"/>
              <w:spacing w:after="0"/>
              <w:rPr>
                <w:sz w:val="20"/>
                <w:szCs w:val="20"/>
                <w:color w:val="auto"/>
              </w:rPr>
            </w:pPr>
            <w:r>
              <w:rPr>
                <w:rFonts w:ascii="Arial" w:cs="Arial" w:eastAsia="Arial" w:hAnsi="Arial"/>
                <w:sz w:val="14"/>
                <w:szCs w:val="14"/>
                <w:color w:val="0071CE"/>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-111125</wp:posOffset>
            </wp:positionV>
            <wp:extent cx="5927725" cy="101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BOARD OF DIRECTORS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Snapshot of Our Board Nominees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380" w:type="dxa"/>
            <w:vAlign w:val="bottom"/>
          </w:tcPr>
          <w:p>
            <w:pPr>
              <w:ind w:left="2640"/>
              <w:spacing w:after="0"/>
              <w:rPr>
                <w:sz w:val="20"/>
                <w:szCs w:val="20"/>
                <w:color w:val="auto"/>
              </w:rPr>
            </w:pPr>
            <w:r>
              <w:rPr>
                <w:rFonts w:ascii="Arial" w:cs="Arial" w:eastAsia="Arial" w:hAnsi="Arial"/>
                <w:sz w:val="14"/>
                <w:szCs w:val="14"/>
                <w:b w:val="1"/>
                <w:bCs w:val="1"/>
                <w:color w:val="0071CE"/>
              </w:rPr>
              <w:t>Director</w:t>
            </w:r>
          </w:p>
        </w:tc>
        <w:tc>
          <w:tcPr>
            <w:tcW w:w="2280" w:type="dxa"/>
            <w:vAlign w:val="bottom"/>
          </w:tcPr>
          <w:p>
            <w:pPr>
              <w:spacing w:after="0"/>
              <w:rPr>
                <w:sz w:val="14"/>
                <w:szCs w:val="14"/>
                <w:color w:val="auto"/>
              </w:rPr>
            </w:pPr>
          </w:p>
        </w:tc>
      </w:tr>
      <w:tr>
        <w:trPr>
          <w:trHeight w:val="202"/>
        </w:trPr>
        <w:tc>
          <w:tcPr>
            <w:tcW w:w="4260" w:type="dxa"/>
            <w:vAlign w:val="bottom"/>
          </w:tcPr>
          <w:p>
            <w:pPr>
              <w:spacing w:after="0"/>
              <w:rPr>
                <w:sz w:val="20"/>
                <w:szCs w:val="20"/>
                <w:color w:val="auto"/>
              </w:rPr>
            </w:pPr>
            <w:r>
              <w:rPr>
                <w:rFonts w:ascii="Arial" w:cs="Arial" w:eastAsia="Arial" w:hAnsi="Arial"/>
                <w:sz w:val="14"/>
                <w:szCs w:val="14"/>
                <w:b w:val="1"/>
                <w:bCs w:val="1"/>
                <w:color w:val="0071CE"/>
              </w:rPr>
              <w:t>Name &amp; Principal Occupation</w:t>
            </w:r>
          </w:p>
        </w:tc>
        <w:tc>
          <w:tcPr>
            <w:tcW w:w="4380" w:type="dxa"/>
            <w:vAlign w:val="bottom"/>
          </w:tcPr>
          <w:p>
            <w:pPr>
              <w:ind w:left="2260"/>
              <w:spacing w:after="0"/>
              <w:rPr>
                <w:sz w:val="20"/>
                <w:szCs w:val="20"/>
                <w:color w:val="auto"/>
              </w:rPr>
            </w:pPr>
            <w:r>
              <w:rPr>
                <w:rFonts w:ascii="Arial" w:cs="Arial" w:eastAsia="Arial" w:hAnsi="Arial"/>
                <w:sz w:val="14"/>
                <w:szCs w:val="14"/>
                <w:b w:val="1"/>
                <w:bCs w:val="1"/>
                <w:color w:val="0071CE"/>
              </w:rPr>
              <w:t>Age   Since   Independent</w:t>
            </w:r>
          </w:p>
        </w:tc>
        <w:tc>
          <w:tcPr>
            <w:tcW w:w="2280" w:type="dxa"/>
            <w:vAlign w:val="bottom"/>
          </w:tcPr>
          <w:p>
            <w:pPr>
              <w:ind w:left="240"/>
              <w:spacing w:after="0"/>
              <w:rPr>
                <w:sz w:val="20"/>
                <w:szCs w:val="20"/>
                <w:color w:val="auto"/>
              </w:rPr>
            </w:pPr>
            <w:r>
              <w:rPr>
                <w:rFonts w:ascii="Arial" w:cs="Arial" w:eastAsia="Arial" w:hAnsi="Arial"/>
                <w:sz w:val="14"/>
                <w:szCs w:val="14"/>
                <w:b w:val="1"/>
                <w:bCs w:val="1"/>
                <w:color w:val="0071CE"/>
              </w:rPr>
              <w:t>Committee Memberships</w:t>
            </w:r>
          </w:p>
        </w:tc>
      </w:tr>
      <w:tr>
        <w:trPr>
          <w:trHeight w:val="38"/>
        </w:trPr>
        <w:tc>
          <w:tcPr>
            <w:tcW w:w="4260" w:type="dxa"/>
            <w:vAlign w:val="bottom"/>
            <w:tcBorders>
              <w:bottom w:val="single" w:sz="8" w:color="0071CE"/>
            </w:tcBorders>
          </w:tcPr>
          <w:p>
            <w:pPr>
              <w:spacing w:after="0"/>
              <w:rPr>
                <w:sz w:val="3"/>
                <w:szCs w:val="3"/>
                <w:color w:val="auto"/>
              </w:rPr>
            </w:pPr>
          </w:p>
        </w:tc>
        <w:tc>
          <w:tcPr>
            <w:tcW w:w="4380" w:type="dxa"/>
            <w:vAlign w:val="bottom"/>
            <w:tcBorders>
              <w:bottom w:val="single" w:sz="8" w:color="0071CE"/>
            </w:tcBorders>
          </w:tcPr>
          <w:p>
            <w:pPr>
              <w:spacing w:after="0"/>
              <w:rPr>
                <w:sz w:val="3"/>
                <w:szCs w:val="3"/>
                <w:color w:val="auto"/>
              </w:rPr>
            </w:pPr>
          </w:p>
        </w:tc>
        <w:tc>
          <w:tcPr>
            <w:tcW w:w="2280" w:type="dxa"/>
            <w:vAlign w:val="bottom"/>
            <w:tcBorders>
              <w:bottom w:val="single" w:sz="8" w:color="0071CE"/>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33655</wp:posOffset>
            </wp:positionV>
            <wp:extent cx="365125" cy="399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149"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0071CE"/>
        </w:rPr>
        <w:t>Mary T. Barra</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000" w:type="dxa"/>
            <w:vAlign w:val="bottom"/>
          </w:tcPr>
          <w:p>
            <w:pPr>
              <w:ind w:left="1160"/>
              <w:spacing w:after="0"/>
              <w:rPr>
                <w:sz w:val="20"/>
                <w:szCs w:val="20"/>
                <w:color w:val="auto"/>
              </w:rPr>
            </w:pPr>
            <w:r>
              <w:rPr>
                <w:rFonts w:ascii="Arial" w:cs="Arial" w:eastAsia="Arial" w:hAnsi="Arial"/>
                <w:sz w:val="14"/>
                <w:szCs w:val="14"/>
                <w:color w:val="3E3935"/>
              </w:rPr>
              <w:t>Chairman &amp; Chief Executive Officer</w:t>
            </w:r>
          </w:p>
        </w:tc>
        <w:tc>
          <w:tcPr>
            <w:tcW w:w="1880" w:type="dxa"/>
            <w:vAlign w:val="bottom"/>
          </w:tcPr>
          <w:p>
            <w:pPr>
              <w:jc w:val="right"/>
              <w:ind w:right="69"/>
              <w:spacing w:after="0"/>
              <w:rPr>
                <w:sz w:val="20"/>
                <w:szCs w:val="20"/>
                <w:color w:val="auto"/>
              </w:rPr>
            </w:pPr>
            <w:r>
              <w:rPr>
                <w:rFonts w:ascii="Arial" w:cs="Arial" w:eastAsia="Arial" w:hAnsi="Arial"/>
                <w:sz w:val="14"/>
                <w:szCs w:val="14"/>
                <w:color w:val="3E3935"/>
              </w:rPr>
              <w:t>59</w:t>
            </w:r>
          </w:p>
        </w:tc>
        <w:tc>
          <w:tcPr>
            <w:tcW w:w="1060" w:type="dxa"/>
            <w:vAlign w:val="bottom"/>
          </w:tcPr>
          <w:p>
            <w:pPr>
              <w:jc w:val="right"/>
              <w:ind w:right="529"/>
              <w:spacing w:after="0"/>
              <w:rPr>
                <w:sz w:val="20"/>
                <w:szCs w:val="20"/>
                <w:color w:val="auto"/>
              </w:rPr>
            </w:pPr>
            <w:r>
              <w:rPr>
                <w:rFonts w:ascii="Arial" w:cs="Arial" w:eastAsia="Arial" w:hAnsi="Arial"/>
                <w:sz w:val="14"/>
                <w:szCs w:val="14"/>
                <w:color w:val="3E3935"/>
              </w:rPr>
              <w:t>2014</w:t>
            </w:r>
          </w:p>
        </w:tc>
        <w:tc>
          <w:tcPr>
            <w:tcW w:w="2980" w:type="dxa"/>
            <w:vAlign w:val="bottom"/>
          </w:tcPr>
          <w:p>
            <w:pPr>
              <w:ind w:left="580"/>
              <w:spacing w:after="0"/>
              <w:rPr>
                <w:sz w:val="20"/>
                <w:szCs w:val="20"/>
                <w:color w:val="auto"/>
              </w:rPr>
            </w:pPr>
            <w:r>
              <w:rPr>
                <w:rFonts w:ascii="Arial" w:cs="Arial" w:eastAsia="Arial" w:hAnsi="Arial"/>
                <w:sz w:val="14"/>
                <w:szCs w:val="14"/>
                <w:color w:val="3E3935"/>
              </w:rPr>
              <w:t xml:space="preserve">Executive – </w:t>
            </w:r>
            <w:r>
              <w:rPr>
                <w:rFonts w:ascii="Arial" w:cs="Arial" w:eastAsia="Arial" w:hAnsi="Arial"/>
                <w:sz w:val="14"/>
                <w:szCs w:val="14"/>
                <w:b w:val="1"/>
                <w:bCs w:val="1"/>
                <w:color w:val="00C1DE"/>
              </w:rPr>
              <w:t>Chair</w:t>
            </w:r>
          </w:p>
        </w:tc>
      </w:tr>
      <w:tr>
        <w:trPr>
          <w:trHeight w:val="171"/>
        </w:trPr>
        <w:tc>
          <w:tcPr>
            <w:tcW w:w="5000" w:type="dxa"/>
            <w:vAlign w:val="bottom"/>
          </w:tcPr>
          <w:p>
            <w:pPr>
              <w:ind w:left="1160"/>
              <w:spacing w:after="0"/>
              <w:rPr>
                <w:sz w:val="20"/>
                <w:szCs w:val="20"/>
                <w:color w:val="auto"/>
              </w:rPr>
            </w:pPr>
            <w:r>
              <w:rPr>
                <w:rFonts w:ascii="Arial" w:cs="Arial" w:eastAsia="Arial" w:hAnsi="Arial"/>
                <w:sz w:val="14"/>
                <w:szCs w:val="14"/>
                <w:color w:val="3E3935"/>
              </w:rPr>
              <w:t>General Motors Company</w:t>
            </w: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72"/>
        </w:trPr>
        <w:tc>
          <w:tcPr>
            <w:tcW w:w="5000" w:type="dxa"/>
            <w:vAlign w:val="bottom"/>
            <w:tcBorders>
              <w:bottom w:val="single" w:sz="8" w:color="3E3935"/>
            </w:tcBorders>
          </w:tcPr>
          <w:p>
            <w:pPr>
              <w:spacing w:after="0"/>
              <w:rPr>
                <w:sz w:val="14"/>
                <w:szCs w:val="14"/>
                <w:color w:val="auto"/>
              </w:rPr>
            </w:pPr>
          </w:p>
        </w:tc>
        <w:tc>
          <w:tcPr>
            <w:tcW w:w="1880" w:type="dxa"/>
            <w:vAlign w:val="bottom"/>
            <w:tcBorders>
              <w:bottom w:val="single" w:sz="8" w:color="3E3935"/>
            </w:tcBorders>
          </w:tcPr>
          <w:p>
            <w:pPr>
              <w:spacing w:after="0"/>
              <w:rPr>
                <w:sz w:val="14"/>
                <w:szCs w:val="14"/>
                <w:color w:val="auto"/>
              </w:rPr>
            </w:pPr>
          </w:p>
        </w:tc>
        <w:tc>
          <w:tcPr>
            <w:tcW w:w="1060" w:type="dxa"/>
            <w:vAlign w:val="bottom"/>
            <w:tcBorders>
              <w:bottom w:val="single" w:sz="8" w:color="3E3935"/>
            </w:tcBorders>
          </w:tcPr>
          <w:p>
            <w:pPr>
              <w:spacing w:after="0"/>
              <w:rPr>
                <w:sz w:val="14"/>
                <w:szCs w:val="14"/>
                <w:color w:val="auto"/>
              </w:rPr>
            </w:pPr>
          </w:p>
        </w:tc>
        <w:tc>
          <w:tcPr>
            <w:tcW w:w="2980" w:type="dxa"/>
            <w:vAlign w:val="bottom"/>
            <w:tcBorders>
              <w:bottom w:val="single" w:sz="8" w:color="3E3935"/>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85090</wp:posOffset>
            </wp:positionV>
            <wp:extent cx="365125" cy="399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Wesley G. Bush</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160"/>
        </w:trPr>
        <w:tc>
          <w:tcPr>
            <w:tcW w:w="5240" w:type="dxa"/>
            <w:vAlign w:val="bottom"/>
          </w:tcPr>
          <w:p>
            <w:pPr>
              <w:ind w:left="1160"/>
              <w:spacing w:after="0"/>
              <w:rPr>
                <w:sz w:val="20"/>
                <w:szCs w:val="20"/>
                <w:color w:val="auto"/>
              </w:rPr>
            </w:pPr>
            <w:r>
              <w:rPr>
                <w:rFonts w:ascii="Arial" w:cs="Arial" w:eastAsia="Arial" w:hAnsi="Arial"/>
                <w:sz w:val="14"/>
                <w:szCs w:val="14"/>
                <w:color w:val="3E3935"/>
              </w:rPr>
              <w:t>Retired Chairman &amp; Chief Executive Officer</w:t>
            </w:r>
          </w:p>
        </w:tc>
        <w:tc>
          <w:tcPr>
            <w:tcW w:w="1640" w:type="dxa"/>
            <w:vAlign w:val="bottom"/>
          </w:tcPr>
          <w:p>
            <w:pPr>
              <w:jc w:val="right"/>
              <w:ind w:right="69"/>
              <w:spacing w:after="0"/>
              <w:rPr>
                <w:sz w:val="20"/>
                <w:szCs w:val="20"/>
                <w:color w:val="auto"/>
              </w:rPr>
            </w:pPr>
            <w:r>
              <w:rPr>
                <w:rFonts w:ascii="Arial" w:cs="Arial" w:eastAsia="Arial" w:hAnsi="Arial"/>
                <w:sz w:val="14"/>
                <w:szCs w:val="14"/>
                <w:color w:val="3E3935"/>
              </w:rPr>
              <w:t>60</w:t>
            </w:r>
          </w:p>
        </w:tc>
        <w:tc>
          <w:tcPr>
            <w:tcW w:w="1060" w:type="dxa"/>
            <w:vAlign w:val="bottom"/>
          </w:tcPr>
          <w:p>
            <w:pPr>
              <w:jc w:val="right"/>
              <w:ind w:right="529"/>
              <w:spacing w:after="0"/>
              <w:rPr>
                <w:sz w:val="20"/>
                <w:szCs w:val="20"/>
                <w:color w:val="auto"/>
              </w:rPr>
            </w:pPr>
            <w:r>
              <w:rPr>
                <w:rFonts w:ascii="Arial" w:cs="Arial" w:eastAsia="Arial" w:hAnsi="Arial"/>
                <w:sz w:val="14"/>
                <w:szCs w:val="14"/>
                <w:color w:val="3E3935"/>
              </w:rPr>
              <w:t>2019</w:t>
            </w:r>
          </w:p>
        </w:tc>
        <w:tc>
          <w:tcPr>
            <w:tcW w:w="2980" w:type="dxa"/>
            <w:vAlign w:val="bottom"/>
          </w:tcPr>
          <w:p>
            <w:pPr>
              <w:ind w:left="580"/>
              <w:spacing w:after="0"/>
              <w:rPr>
                <w:sz w:val="20"/>
                <w:szCs w:val="20"/>
                <w:color w:val="auto"/>
              </w:rPr>
            </w:pPr>
            <w:r>
              <w:rPr>
                <w:rFonts w:ascii="Arial" w:cs="Arial" w:eastAsia="Arial" w:hAnsi="Arial"/>
                <w:sz w:val="14"/>
                <w:szCs w:val="14"/>
                <w:color w:val="3E3935"/>
              </w:rPr>
              <w:t>Executive Compensation</w:t>
            </w:r>
          </w:p>
        </w:tc>
        <w:tc>
          <w:tcPr>
            <w:tcW w:w="0" w:type="dxa"/>
            <w:vAlign w:val="bottom"/>
          </w:tcPr>
          <w:p>
            <w:pPr>
              <w:spacing w:after="0"/>
              <w:rPr>
                <w:sz w:val="1"/>
                <w:szCs w:val="1"/>
                <w:color w:val="auto"/>
              </w:rPr>
            </w:pPr>
          </w:p>
        </w:tc>
      </w:tr>
      <w:tr>
        <w:trPr>
          <w:trHeight w:val="184"/>
        </w:trPr>
        <w:tc>
          <w:tcPr>
            <w:tcW w:w="5240" w:type="dxa"/>
            <w:vAlign w:val="bottom"/>
          </w:tcPr>
          <w:p>
            <w:pPr>
              <w:ind w:left="1160"/>
              <w:spacing w:after="0"/>
              <w:rPr>
                <w:sz w:val="20"/>
                <w:szCs w:val="20"/>
                <w:color w:val="auto"/>
              </w:rPr>
            </w:pPr>
            <w:r>
              <w:rPr>
                <w:rFonts w:ascii="Arial" w:cs="Arial" w:eastAsia="Arial" w:hAnsi="Arial"/>
                <w:sz w:val="14"/>
                <w:szCs w:val="14"/>
                <w:color w:val="3E3935"/>
              </w:rPr>
              <w:t>Northrop Grumman Corporation</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3E3935"/>
            </w:tcBorders>
          </w:tcPr>
          <w:p>
            <w:pPr>
              <w:spacing w:after="0"/>
              <w:rPr>
                <w:sz w:val="17"/>
                <w:szCs w:val="17"/>
                <w:color w:val="auto"/>
              </w:rPr>
            </w:pPr>
          </w:p>
        </w:tc>
        <w:tc>
          <w:tcPr>
            <w:tcW w:w="1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2980" w:type="dxa"/>
            <w:vAlign w:val="bottom"/>
            <w:tcBorders>
              <w:bottom w:val="single" w:sz="8" w:color="3E3935"/>
            </w:tcBorders>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Linda R. Gooden</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6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Retired Executive Vice President,</w:t>
            </w:r>
          </w:p>
        </w:tc>
        <w:tc>
          <w:tcPr>
            <w:tcW w:w="1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vMerge w:val="restart"/>
          </w:tcPr>
          <w:p>
            <w:pPr>
              <w:jc w:val="right"/>
              <w:ind w:right="69"/>
              <w:spacing w:after="0" w:line="143" w:lineRule="exact"/>
              <w:rPr>
                <w:sz w:val="20"/>
                <w:szCs w:val="20"/>
                <w:color w:val="auto"/>
              </w:rPr>
            </w:pPr>
            <w:r>
              <w:rPr>
                <w:rFonts w:ascii="Arial" w:cs="Arial" w:eastAsia="Arial" w:hAnsi="Arial"/>
                <w:sz w:val="14"/>
                <w:szCs w:val="14"/>
                <w:color w:val="3E3935"/>
              </w:rPr>
              <w:t>68</w:t>
            </w:r>
          </w:p>
        </w:tc>
        <w:tc>
          <w:tcPr>
            <w:tcW w:w="1060" w:type="dxa"/>
            <w:vAlign w:val="bottom"/>
            <w:vMerge w:val="restart"/>
          </w:tcPr>
          <w:p>
            <w:pPr>
              <w:jc w:val="right"/>
              <w:ind w:right="529"/>
              <w:spacing w:after="0" w:line="143" w:lineRule="exact"/>
              <w:rPr>
                <w:sz w:val="20"/>
                <w:szCs w:val="20"/>
                <w:color w:val="auto"/>
              </w:rPr>
            </w:pPr>
            <w:r>
              <w:rPr>
                <w:rFonts w:ascii="Arial" w:cs="Arial" w:eastAsia="Arial" w:hAnsi="Arial"/>
                <w:sz w:val="14"/>
                <w:szCs w:val="14"/>
                <w:color w:val="3E3935"/>
              </w:rPr>
              <w:t>2015</w:t>
            </w:r>
          </w:p>
        </w:tc>
        <w:tc>
          <w:tcPr>
            <w:tcW w:w="2980" w:type="dxa"/>
            <w:vAlign w:val="bottom"/>
            <w:vMerge w:val="restart"/>
          </w:tcPr>
          <w:p>
            <w:pPr>
              <w:ind w:left="580"/>
              <w:spacing w:after="0" w:line="143" w:lineRule="exact"/>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49"/>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Information Systems &amp; Global Solutions</w:t>
            </w:r>
          </w:p>
        </w:tc>
        <w:tc>
          <w:tcPr>
            <w:tcW w:w="16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52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Risk and Cybersecurity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7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Lockheed Martin Corporation</w:t>
            </w:r>
          </w:p>
        </w:tc>
        <w:tc>
          <w:tcPr>
            <w:tcW w:w="1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240" w:type="dxa"/>
            <w:vAlign w:val="bottom"/>
            <w:tcBorders>
              <w:bottom w:val="single" w:sz="8" w:color="3E3935"/>
            </w:tcBorders>
          </w:tcPr>
          <w:p>
            <w:pPr>
              <w:spacing w:after="0"/>
              <w:rPr>
                <w:sz w:val="10"/>
                <w:szCs w:val="10"/>
                <w:color w:val="auto"/>
              </w:rPr>
            </w:pPr>
          </w:p>
        </w:tc>
        <w:tc>
          <w:tcPr>
            <w:tcW w:w="1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2980" w:type="dxa"/>
            <w:vAlign w:val="bottom"/>
            <w:tcBorders>
              <w:bottom w:val="single" w:sz="8" w:color="3E3935"/>
            </w:tcBorders>
          </w:tcPr>
          <w:p>
            <w:pPr>
              <w:spacing w:after="0"/>
              <w:rPr>
                <w:sz w:val="10"/>
                <w:szCs w:val="10"/>
                <w:color w:val="auto"/>
              </w:rPr>
            </w:pPr>
          </w:p>
        </w:tc>
        <w:tc>
          <w:tcPr>
            <w:tcW w:w="0" w:type="dxa"/>
            <w:vAlign w:val="bottom"/>
          </w:tcPr>
          <w:p>
            <w:pPr>
              <w:spacing w:after="0"/>
              <w:rPr>
                <w:sz w:val="1"/>
                <w:szCs w:val="1"/>
                <w:color w:val="auto"/>
              </w:rPr>
            </w:pPr>
          </w:p>
        </w:tc>
      </w:tr>
      <w:tr>
        <w:trPr>
          <w:trHeight w:val="359"/>
        </w:trPr>
        <w:tc>
          <w:tcPr>
            <w:tcW w:w="5240" w:type="dxa"/>
            <w:vAlign w:val="bottom"/>
            <w:vMerge w:val="restart"/>
          </w:tcPr>
          <w:p>
            <w:pPr>
              <w:ind w:left="1160"/>
              <w:spacing w:after="0"/>
              <w:rPr>
                <w:sz w:val="20"/>
                <w:szCs w:val="20"/>
                <w:color w:val="auto"/>
              </w:rPr>
            </w:pPr>
            <w:r>
              <w:rPr>
                <w:rFonts w:ascii="Arial" w:cs="Arial" w:eastAsia="Arial" w:hAnsi="Arial"/>
                <w:sz w:val="16"/>
                <w:szCs w:val="16"/>
                <w:b w:val="1"/>
                <w:bCs w:val="1"/>
                <w:color w:val="0071CE"/>
              </w:rPr>
              <w:t>Joseph Jimenez</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61</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2015</w:t>
            </w:r>
          </w:p>
        </w:tc>
        <w:tc>
          <w:tcPr>
            <w:tcW w:w="2980" w:type="dxa"/>
            <w:vAlign w:val="bottom"/>
            <w:vMerge w:val="restart"/>
          </w:tcPr>
          <w:p>
            <w:pPr>
              <w:ind w:left="580"/>
              <w:spacing w:after="0" w:line="143" w:lineRule="exact"/>
              <w:rPr>
                <w:sz w:val="20"/>
                <w:szCs w:val="20"/>
                <w:color w:val="auto"/>
              </w:rPr>
            </w:pPr>
            <w:r>
              <w:rPr>
                <w:rFonts w:ascii="Arial" w:cs="Arial" w:eastAsia="Arial" w:hAnsi="Arial"/>
                <w:sz w:val="14"/>
                <w:szCs w:val="14"/>
                <w:color w:val="3E3935"/>
              </w:rPr>
              <w:t>Executive Compensation</w:t>
            </w:r>
          </w:p>
        </w:tc>
        <w:tc>
          <w:tcPr>
            <w:tcW w:w="0" w:type="dxa"/>
            <w:vAlign w:val="bottom"/>
          </w:tcPr>
          <w:p>
            <w:pPr>
              <w:spacing w:after="0"/>
              <w:rPr>
                <w:sz w:val="1"/>
                <w:szCs w:val="1"/>
                <w:color w:val="auto"/>
              </w:rPr>
            </w:pPr>
          </w:p>
        </w:tc>
      </w:tr>
      <w:tr>
        <w:trPr>
          <w:trHeight w:val="49"/>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Retired Chief Executive Officer</w:t>
            </w:r>
          </w:p>
        </w:tc>
        <w:tc>
          <w:tcPr>
            <w:tcW w:w="16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52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Finance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Novartis AG</w:t>
            </w:r>
          </w:p>
        </w:tc>
        <w:tc>
          <w:tcPr>
            <w:tcW w:w="1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2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67"/>
        </w:trPr>
        <w:tc>
          <w:tcPr>
            <w:tcW w:w="5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240" w:type="dxa"/>
            <w:vAlign w:val="bottom"/>
            <w:tcBorders>
              <w:bottom w:val="single" w:sz="8" w:color="3E3935"/>
            </w:tcBorders>
          </w:tcPr>
          <w:p>
            <w:pPr>
              <w:spacing w:after="0"/>
              <w:rPr>
                <w:sz w:val="13"/>
                <w:szCs w:val="13"/>
                <w:color w:val="auto"/>
              </w:rPr>
            </w:pPr>
          </w:p>
        </w:tc>
        <w:tc>
          <w:tcPr>
            <w:tcW w:w="1640" w:type="dxa"/>
            <w:vAlign w:val="bottom"/>
            <w:tcBorders>
              <w:bottom w:val="single" w:sz="8" w:color="3E3935"/>
            </w:tcBorders>
          </w:tcPr>
          <w:p>
            <w:pPr>
              <w:spacing w:after="0"/>
              <w:rPr>
                <w:sz w:val="13"/>
                <w:szCs w:val="13"/>
                <w:color w:val="auto"/>
              </w:rPr>
            </w:pPr>
          </w:p>
        </w:tc>
        <w:tc>
          <w:tcPr>
            <w:tcW w:w="1060" w:type="dxa"/>
            <w:vAlign w:val="bottom"/>
            <w:tcBorders>
              <w:bottom w:val="single" w:sz="8" w:color="3E3935"/>
            </w:tcBorders>
          </w:tcPr>
          <w:p>
            <w:pPr>
              <w:spacing w:after="0"/>
              <w:rPr>
                <w:sz w:val="13"/>
                <w:szCs w:val="13"/>
                <w:color w:val="auto"/>
              </w:rPr>
            </w:pPr>
          </w:p>
        </w:tc>
        <w:tc>
          <w:tcPr>
            <w:tcW w:w="2980" w:type="dxa"/>
            <w:vAlign w:val="bottom"/>
            <w:tcBorders>
              <w:bottom w:val="single" w:sz="8" w:color="3E3935"/>
            </w:tcBorders>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Jane L. Mendillo</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160"/>
        </w:trPr>
        <w:tc>
          <w:tcPr>
            <w:tcW w:w="5240" w:type="dxa"/>
            <w:vAlign w:val="bottom"/>
          </w:tcPr>
          <w:p>
            <w:pPr>
              <w:ind w:left="1160"/>
              <w:spacing w:after="0"/>
              <w:rPr>
                <w:sz w:val="20"/>
                <w:szCs w:val="20"/>
                <w:color w:val="auto"/>
              </w:rPr>
            </w:pPr>
            <w:r>
              <w:rPr>
                <w:rFonts w:ascii="Arial" w:cs="Arial" w:eastAsia="Arial" w:hAnsi="Arial"/>
                <w:sz w:val="14"/>
                <w:szCs w:val="14"/>
                <w:color w:val="3E3935"/>
              </w:rPr>
              <w:t>Retired President &amp; Chief Executive Officer</w:t>
            </w:r>
          </w:p>
        </w:tc>
        <w:tc>
          <w:tcPr>
            <w:tcW w:w="1640" w:type="dxa"/>
            <w:vAlign w:val="bottom"/>
          </w:tcPr>
          <w:p>
            <w:pPr>
              <w:jc w:val="right"/>
              <w:ind w:right="69"/>
              <w:spacing w:after="0"/>
              <w:rPr>
                <w:sz w:val="20"/>
                <w:szCs w:val="20"/>
                <w:color w:val="auto"/>
              </w:rPr>
            </w:pPr>
            <w:r>
              <w:rPr>
                <w:rFonts w:ascii="Arial" w:cs="Arial" w:eastAsia="Arial" w:hAnsi="Arial"/>
                <w:sz w:val="14"/>
                <w:szCs w:val="14"/>
                <w:color w:val="3E3935"/>
              </w:rPr>
              <w:t>62</w:t>
            </w:r>
          </w:p>
        </w:tc>
        <w:tc>
          <w:tcPr>
            <w:tcW w:w="1060" w:type="dxa"/>
            <w:vAlign w:val="bottom"/>
          </w:tcPr>
          <w:p>
            <w:pPr>
              <w:jc w:val="right"/>
              <w:ind w:right="529"/>
              <w:spacing w:after="0"/>
              <w:rPr>
                <w:sz w:val="20"/>
                <w:szCs w:val="20"/>
                <w:color w:val="auto"/>
              </w:rPr>
            </w:pPr>
            <w:r>
              <w:rPr>
                <w:rFonts w:ascii="Arial" w:cs="Arial" w:eastAsia="Arial" w:hAnsi="Arial"/>
                <w:sz w:val="14"/>
                <w:szCs w:val="14"/>
                <w:color w:val="3E3935"/>
              </w:rPr>
              <w:t>2016</w:t>
            </w:r>
          </w:p>
        </w:tc>
        <w:tc>
          <w:tcPr>
            <w:tcW w:w="2980" w:type="dxa"/>
            <w:vAlign w:val="bottom"/>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184"/>
        </w:trPr>
        <w:tc>
          <w:tcPr>
            <w:tcW w:w="5240" w:type="dxa"/>
            <w:vAlign w:val="bottom"/>
          </w:tcPr>
          <w:p>
            <w:pPr>
              <w:ind w:left="1160"/>
              <w:spacing w:after="0"/>
              <w:rPr>
                <w:sz w:val="20"/>
                <w:szCs w:val="20"/>
                <w:color w:val="auto"/>
              </w:rPr>
            </w:pPr>
            <w:r>
              <w:rPr>
                <w:rFonts w:ascii="Arial" w:cs="Arial" w:eastAsia="Arial" w:hAnsi="Arial"/>
                <w:sz w:val="14"/>
                <w:szCs w:val="14"/>
                <w:color w:val="3E3935"/>
              </w:rPr>
              <w:t>Harvard Management Company</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3E3935"/>
            </w:tcBorders>
          </w:tcPr>
          <w:p>
            <w:pPr>
              <w:spacing w:after="0"/>
              <w:rPr>
                <w:sz w:val="17"/>
                <w:szCs w:val="17"/>
                <w:color w:val="auto"/>
              </w:rPr>
            </w:pPr>
          </w:p>
        </w:tc>
        <w:tc>
          <w:tcPr>
            <w:tcW w:w="1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2980" w:type="dxa"/>
            <w:vAlign w:val="bottom"/>
            <w:tcBorders>
              <w:bottom w:val="single" w:sz="8" w:color="3E3935"/>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Judith A. Miscik</w:t>
            </w: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62</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2018</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6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Chief Executive Officer &amp; Vice Chairman</w:t>
            </w:r>
          </w:p>
        </w:tc>
        <w:tc>
          <w:tcPr>
            <w:tcW w:w="1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7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Kissinger Associates, Inc.</w:t>
            </w:r>
          </w:p>
        </w:tc>
        <w:tc>
          <w:tcPr>
            <w:tcW w:w="1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5240" w:type="dxa"/>
            <w:vAlign w:val="bottom"/>
            <w:tcBorders>
              <w:bottom w:val="single" w:sz="8" w:color="3E3935"/>
            </w:tcBorders>
          </w:tcPr>
          <w:p>
            <w:pPr>
              <w:spacing w:after="0"/>
              <w:rPr>
                <w:sz w:val="17"/>
                <w:szCs w:val="17"/>
                <w:color w:val="auto"/>
              </w:rPr>
            </w:pPr>
          </w:p>
        </w:tc>
        <w:tc>
          <w:tcPr>
            <w:tcW w:w="1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2980" w:type="dxa"/>
            <w:vAlign w:val="bottom"/>
            <w:tcBorders>
              <w:bottom w:val="single" w:sz="8" w:color="3E3935"/>
            </w:tcBorders>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5240" w:type="dxa"/>
            <w:vAlign w:val="bottom"/>
            <w:vMerge w:val="restart"/>
          </w:tcPr>
          <w:p>
            <w:pPr>
              <w:ind w:left="1160"/>
              <w:spacing w:after="0"/>
              <w:rPr>
                <w:sz w:val="20"/>
                <w:szCs w:val="20"/>
                <w:color w:val="auto"/>
              </w:rPr>
            </w:pPr>
            <w:r>
              <w:rPr>
                <w:rFonts w:ascii="Arial" w:cs="Arial" w:eastAsia="Arial" w:hAnsi="Arial"/>
                <w:sz w:val="16"/>
                <w:szCs w:val="16"/>
                <w:b w:val="1"/>
                <w:bCs w:val="1"/>
                <w:color w:val="0071CE"/>
              </w:rPr>
              <w:t>Patricia F. Russo</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68</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2009</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Executive Compensation</w:t>
            </w:r>
          </w:p>
        </w:tc>
        <w:tc>
          <w:tcPr>
            <w:tcW w:w="0" w:type="dxa"/>
            <w:vAlign w:val="bottom"/>
          </w:tcPr>
          <w:p>
            <w:pPr>
              <w:spacing w:after="0"/>
              <w:rPr>
                <w:sz w:val="1"/>
                <w:szCs w:val="1"/>
                <w:color w:val="auto"/>
              </w:rPr>
            </w:pPr>
          </w:p>
        </w:tc>
      </w:tr>
      <w:tr>
        <w:trPr>
          <w:trHeight w:val="6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Chairman</w:t>
            </w:r>
          </w:p>
        </w:tc>
        <w:tc>
          <w:tcPr>
            <w:tcW w:w="1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980" w:type="dxa"/>
            <w:vAlign w:val="bottom"/>
            <w:vMerge w:val="restart"/>
          </w:tcPr>
          <w:p>
            <w:pPr>
              <w:ind w:left="580"/>
              <w:spacing w:after="0" w:line="143" w:lineRule="exact"/>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49"/>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Hewlett Packard Enterprise Company</w:t>
            </w:r>
          </w:p>
        </w:tc>
        <w:tc>
          <w:tcPr>
            <w:tcW w:w="1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2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Governance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7"/>
        </w:trPr>
        <w:tc>
          <w:tcPr>
            <w:tcW w:w="52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5240" w:type="dxa"/>
            <w:vAlign w:val="bottom"/>
            <w:tcBorders>
              <w:bottom w:val="single" w:sz="8" w:color="3E3935"/>
            </w:tcBorders>
          </w:tcPr>
          <w:p>
            <w:pPr>
              <w:spacing w:after="0"/>
              <w:rPr>
                <w:sz w:val="11"/>
                <w:szCs w:val="11"/>
                <w:color w:val="auto"/>
              </w:rPr>
            </w:pPr>
          </w:p>
        </w:tc>
        <w:tc>
          <w:tcPr>
            <w:tcW w:w="1640" w:type="dxa"/>
            <w:vAlign w:val="bottom"/>
            <w:tcBorders>
              <w:bottom w:val="single" w:sz="8" w:color="3E3935"/>
            </w:tcBorders>
          </w:tcPr>
          <w:p>
            <w:pPr>
              <w:spacing w:after="0"/>
              <w:rPr>
                <w:sz w:val="11"/>
                <w:szCs w:val="11"/>
                <w:color w:val="auto"/>
              </w:rPr>
            </w:pPr>
          </w:p>
        </w:tc>
        <w:tc>
          <w:tcPr>
            <w:tcW w:w="1060" w:type="dxa"/>
            <w:vAlign w:val="bottom"/>
            <w:tcBorders>
              <w:bottom w:val="single" w:sz="8" w:color="3E3935"/>
            </w:tcBorders>
          </w:tcPr>
          <w:p>
            <w:pPr>
              <w:spacing w:after="0"/>
              <w:rPr>
                <w:sz w:val="11"/>
                <w:szCs w:val="11"/>
                <w:color w:val="auto"/>
              </w:rPr>
            </w:pPr>
          </w:p>
        </w:tc>
        <w:tc>
          <w:tcPr>
            <w:tcW w:w="2980" w:type="dxa"/>
            <w:vAlign w:val="bottom"/>
            <w:tcBorders>
              <w:bottom w:val="single" w:sz="8" w:color="3E3935"/>
            </w:tcBorders>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Thomas M. Schoewe</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 xml:space="preserve">Audit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160"/>
        </w:trPr>
        <w:tc>
          <w:tcPr>
            <w:tcW w:w="5240" w:type="dxa"/>
            <w:vAlign w:val="bottom"/>
          </w:tcPr>
          <w:p>
            <w:pPr>
              <w:ind w:left="1160"/>
              <w:spacing w:after="0"/>
              <w:rPr>
                <w:sz w:val="20"/>
                <w:szCs w:val="20"/>
                <w:color w:val="auto"/>
              </w:rPr>
            </w:pPr>
            <w:r>
              <w:rPr>
                <w:rFonts w:ascii="Arial" w:cs="Arial" w:eastAsia="Arial" w:hAnsi="Arial"/>
                <w:sz w:val="14"/>
                <w:szCs w:val="14"/>
                <w:color w:val="3E3935"/>
              </w:rPr>
              <w:t>Retired Executive Vice President &amp;</w:t>
            </w: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68</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2011</w:t>
            </w:r>
          </w:p>
        </w:tc>
        <w:tc>
          <w:tcPr>
            <w:tcW w:w="2980" w:type="dxa"/>
            <w:vAlign w:val="bottom"/>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91"/>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Chief Financial Officer</w:t>
            </w:r>
          </w:p>
        </w:tc>
        <w:tc>
          <w:tcPr>
            <w:tcW w:w="16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70"/>
        </w:trPr>
        <w:tc>
          <w:tcPr>
            <w:tcW w:w="524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240" w:type="dxa"/>
            <w:vAlign w:val="bottom"/>
          </w:tcPr>
          <w:p>
            <w:pPr>
              <w:ind w:left="1160"/>
              <w:spacing w:after="0"/>
              <w:rPr>
                <w:sz w:val="20"/>
                <w:szCs w:val="20"/>
                <w:color w:val="auto"/>
              </w:rPr>
            </w:pPr>
            <w:r>
              <w:rPr>
                <w:rFonts w:ascii="Arial" w:cs="Arial" w:eastAsia="Arial" w:hAnsi="Arial"/>
                <w:sz w:val="14"/>
                <w:szCs w:val="14"/>
                <w:color w:val="3E3935"/>
              </w:rPr>
              <w:t>Wal-Mart Stores, Inc.</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118"/>
        </w:trPr>
        <w:tc>
          <w:tcPr>
            <w:tcW w:w="5240" w:type="dxa"/>
            <w:vAlign w:val="bottom"/>
            <w:tcBorders>
              <w:bottom w:val="single" w:sz="8" w:color="3E3935"/>
            </w:tcBorders>
          </w:tcPr>
          <w:p>
            <w:pPr>
              <w:spacing w:after="0"/>
              <w:rPr>
                <w:sz w:val="10"/>
                <w:szCs w:val="10"/>
                <w:color w:val="auto"/>
              </w:rPr>
            </w:pPr>
          </w:p>
        </w:tc>
        <w:tc>
          <w:tcPr>
            <w:tcW w:w="1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2980" w:type="dxa"/>
            <w:vAlign w:val="bottom"/>
            <w:tcBorders>
              <w:bottom w:val="single" w:sz="8" w:color="3E3935"/>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Carol M. Stephenson</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49"/>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Retired Dean</w:t>
            </w:r>
          </w:p>
        </w:tc>
        <w:tc>
          <w:tcPr>
            <w:tcW w:w="1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5240" w:type="dxa"/>
            <w:vAlign w:val="bottom"/>
            <w:vMerge w:val="continue"/>
          </w:tcPr>
          <w:p>
            <w:pPr>
              <w:spacing w:after="0"/>
              <w:rPr>
                <w:sz w:val="9"/>
                <w:szCs w:val="9"/>
                <w:color w:val="auto"/>
              </w:rPr>
            </w:pP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70</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2009</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 xml:space="preserve">Executive Compensation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Ivey Business School,</w:t>
            </w:r>
          </w:p>
        </w:tc>
        <w:tc>
          <w:tcPr>
            <w:tcW w:w="1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7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The University of Western Ontario</w:t>
            </w:r>
          </w:p>
        </w:tc>
        <w:tc>
          <w:tcPr>
            <w:tcW w:w="1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24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240" w:type="dxa"/>
            <w:vAlign w:val="bottom"/>
            <w:tcBorders>
              <w:bottom w:val="single" w:sz="8" w:color="3E3935"/>
            </w:tcBorders>
          </w:tcPr>
          <w:p>
            <w:pPr>
              <w:spacing w:after="0"/>
              <w:rPr>
                <w:sz w:val="10"/>
                <w:szCs w:val="10"/>
                <w:color w:val="auto"/>
              </w:rPr>
            </w:pPr>
          </w:p>
        </w:tc>
        <w:tc>
          <w:tcPr>
            <w:tcW w:w="1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2980" w:type="dxa"/>
            <w:vAlign w:val="bottom"/>
            <w:tcBorders>
              <w:bottom w:val="single" w:sz="8" w:color="3E3935"/>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Mark A. Tatum</w:t>
            </w: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40" w:type="dxa"/>
            <w:vAlign w:val="bottom"/>
          </w:tcPr>
          <w:p>
            <w:pPr>
              <w:ind w:left="1160"/>
              <w:spacing w:after="0"/>
              <w:rPr>
                <w:sz w:val="20"/>
                <w:szCs w:val="20"/>
                <w:color w:val="auto"/>
              </w:rPr>
            </w:pPr>
            <w:r>
              <w:rPr>
                <w:rFonts w:ascii="Arial" w:cs="Arial" w:eastAsia="Arial" w:hAnsi="Arial"/>
                <w:sz w:val="14"/>
                <w:szCs w:val="14"/>
                <w:color w:val="3E3935"/>
              </w:rPr>
              <w:t>Deputy Chief Commissioner &amp;</w:t>
            </w: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51</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2021</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None</w:t>
            </w:r>
          </w:p>
        </w:tc>
        <w:tc>
          <w:tcPr>
            <w:tcW w:w="0" w:type="dxa"/>
            <w:vAlign w:val="bottom"/>
          </w:tcPr>
          <w:p>
            <w:pPr>
              <w:spacing w:after="0"/>
              <w:rPr>
                <w:sz w:val="1"/>
                <w:szCs w:val="1"/>
                <w:color w:val="auto"/>
              </w:rPr>
            </w:pPr>
          </w:p>
        </w:tc>
      </w:tr>
      <w:tr>
        <w:trPr>
          <w:trHeight w:val="77"/>
        </w:trPr>
        <w:tc>
          <w:tcPr>
            <w:tcW w:w="5240" w:type="dxa"/>
            <w:vAlign w:val="bottom"/>
            <w:vMerge w:val="restart"/>
          </w:tcPr>
          <w:p>
            <w:pPr>
              <w:ind w:left="1160"/>
              <w:spacing w:after="0"/>
              <w:rPr>
                <w:sz w:val="20"/>
                <w:szCs w:val="20"/>
                <w:color w:val="auto"/>
              </w:rPr>
            </w:pPr>
            <w:r>
              <w:rPr>
                <w:rFonts w:ascii="Arial" w:cs="Arial" w:eastAsia="Arial" w:hAnsi="Arial"/>
                <w:sz w:val="14"/>
                <w:szCs w:val="14"/>
                <w:color w:val="3E3935"/>
              </w:rPr>
              <w:t>Chief Operating Officer</w:t>
            </w:r>
          </w:p>
        </w:tc>
        <w:tc>
          <w:tcPr>
            <w:tcW w:w="16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524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160"/>
              <w:spacing w:after="0"/>
              <w:rPr>
                <w:sz w:val="20"/>
                <w:szCs w:val="20"/>
                <w:color w:val="auto"/>
              </w:rPr>
            </w:pPr>
            <w:r>
              <w:rPr>
                <w:rFonts w:ascii="Arial" w:cs="Arial" w:eastAsia="Arial" w:hAnsi="Arial"/>
                <w:sz w:val="14"/>
                <w:szCs w:val="14"/>
                <w:color w:val="3E3935"/>
              </w:rPr>
              <w:t>National Basketball Association</w:t>
            </w: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40" w:type="dxa"/>
            <w:vAlign w:val="bottom"/>
            <w:tcBorders>
              <w:bottom w:val="single" w:sz="8" w:color="3E3935"/>
            </w:tcBorders>
          </w:tcPr>
          <w:p>
            <w:pPr>
              <w:spacing w:after="0"/>
              <w:rPr>
                <w:sz w:val="10"/>
                <w:szCs w:val="10"/>
                <w:color w:val="auto"/>
              </w:rPr>
            </w:pPr>
          </w:p>
        </w:tc>
        <w:tc>
          <w:tcPr>
            <w:tcW w:w="1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2980" w:type="dxa"/>
            <w:vAlign w:val="bottom"/>
            <w:tcBorders>
              <w:bottom w:val="single" w:sz="8" w:color="3E3935"/>
            </w:tcBorders>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Devin N. Wenig</w:t>
            </w: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54</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2018</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160"/>
        </w:trPr>
        <w:tc>
          <w:tcPr>
            <w:tcW w:w="5240" w:type="dxa"/>
            <w:vAlign w:val="bottom"/>
          </w:tcPr>
          <w:p>
            <w:pPr>
              <w:ind w:left="1160"/>
              <w:spacing w:after="0"/>
              <w:rPr>
                <w:sz w:val="20"/>
                <w:szCs w:val="20"/>
                <w:color w:val="auto"/>
              </w:rPr>
            </w:pPr>
            <w:r>
              <w:rPr>
                <w:rFonts w:ascii="Arial" w:cs="Arial" w:eastAsia="Arial" w:hAnsi="Arial"/>
                <w:sz w:val="14"/>
                <w:szCs w:val="14"/>
                <w:color w:val="3E3935"/>
              </w:rPr>
              <w:t>Retired President &amp; Chief Executive Officer</w:t>
            </w:r>
          </w:p>
        </w:tc>
        <w:tc>
          <w:tcPr>
            <w:tcW w:w="16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160"/>
              <w:spacing w:after="0"/>
              <w:rPr>
                <w:sz w:val="20"/>
                <w:szCs w:val="20"/>
                <w:color w:val="auto"/>
              </w:rPr>
            </w:pPr>
            <w:r>
              <w:rPr>
                <w:rFonts w:ascii="Arial" w:cs="Arial" w:eastAsia="Arial" w:hAnsi="Arial"/>
                <w:sz w:val="14"/>
                <w:szCs w:val="14"/>
                <w:color w:val="3E3935"/>
              </w:rPr>
              <w:t>eBay Inc.</w:t>
            </w: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240" w:type="dxa"/>
            <w:vAlign w:val="bottom"/>
            <w:tcBorders>
              <w:bottom w:val="single" w:sz="8" w:color="3E3935"/>
            </w:tcBorders>
          </w:tcPr>
          <w:p>
            <w:pPr>
              <w:spacing w:after="0"/>
              <w:rPr>
                <w:sz w:val="17"/>
                <w:szCs w:val="17"/>
                <w:color w:val="auto"/>
              </w:rPr>
            </w:pPr>
          </w:p>
        </w:tc>
        <w:tc>
          <w:tcPr>
            <w:tcW w:w="1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2980" w:type="dxa"/>
            <w:vAlign w:val="bottom"/>
            <w:tcBorders>
              <w:bottom w:val="single" w:sz="8" w:color="3E3935"/>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240" w:type="dxa"/>
            <w:vAlign w:val="bottom"/>
          </w:tcPr>
          <w:p>
            <w:pPr>
              <w:ind w:left="1160"/>
              <w:spacing w:after="0"/>
              <w:rPr>
                <w:sz w:val="20"/>
                <w:szCs w:val="20"/>
                <w:color w:val="auto"/>
              </w:rPr>
            </w:pPr>
            <w:r>
              <w:rPr>
                <w:rFonts w:ascii="Arial" w:cs="Arial" w:eastAsia="Arial" w:hAnsi="Arial"/>
                <w:sz w:val="16"/>
                <w:szCs w:val="16"/>
                <w:b w:val="1"/>
                <w:bCs w:val="1"/>
                <w:color w:val="0071CE"/>
              </w:rPr>
              <w:t>Margaret C. Whitman</w:t>
            </w:r>
          </w:p>
        </w:tc>
        <w:tc>
          <w:tcPr>
            <w:tcW w:w="1640" w:type="dxa"/>
            <w:vAlign w:val="bottom"/>
            <w:vMerge w:val="restart"/>
          </w:tcPr>
          <w:p>
            <w:pPr>
              <w:jc w:val="right"/>
              <w:ind w:right="69"/>
              <w:spacing w:after="0"/>
              <w:rPr>
                <w:sz w:val="20"/>
                <w:szCs w:val="20"/>
                <w:color w:val="auto"/>
              </w:rPr>
            </w:pPr>
            <w:r>
              <w:rPr>
                <w:rFonts w:ascii="Arial" w:cs="Arial" w:eastAsia="Arial" w:hAnsi="Arial"/>
                <w:sz w:val="14"/>
                <w:szCs w:val="14"/>
                <w:color w:val="3E3935"/>
              </w:rPr>
              <w:t>64</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3E3935"/>
              </w:rPr>
              <w:t>2021</w:t>
            </w:r>
          </w:p>
        </w:tc>
        <w:tc>
          <w:tcPr>
            <w:tcW w:w="2980" w:type="dxa"/>
            <w:vAlign w:val="bottom"/>
            <w:vMerge w:val="restart"/>
          </w:tcPr>
          <w:p>
            <w:pPr>
              <w:ind w:left="580"/>
              <w:spacing w:after="0"/>
              <w:rPr>
                <w:sz w:val="20"/>
                <w:szCs w:val="20"/>
                <w:color w:val="auto"/>
              </w:rPr>
            </w:pPr>
            <w:r>
              <w:rPr>
                <w:rFonts w:ascii="Arial" w:cs="Arial" w:eastAsia="Arial" w:hAnsi="Arial"/>
                <w:sz w:val="14"/>
                <w:szCs w:val="14"/>
                <w:color w:val="3E3935"/>
              </w:rPr>
              <w:t>None</w:t>
            </w:r>
          </w:p>
        </w:tc>
        <w:tc>
          <w:tcPr>
            <w:tcW w:w="0" w:type="dxa"/>
            <w:vAlign w:val="bottom"/>
          </w:tcPr>
          <w:p>
            <w:pPr>
              <w:spacing w:after="0"/>
              <w:rPr>
                <w:sz w:val="1"/>
                <w:szCs w:val="1"/>
                <w:color w:val="auto"/>
              </w:rPr>
            </w:pPr>
          </w:p>
        </w:tc>
      </w:tr>
      <w:tr>
        <w:trPr>
          <w:trHeight w:val="160"/>
        </w:trPr>
        <w:tc>
          <w:tcPr>
            <w:tcW w:w="5240" w:type="dxa"/>
            <w:vAlign w:val="bottom"/>
          </w:tcPr>
          <w:p>
            <w:pPr>
              <w:ind w:left="1160"/>
              <w:spacing w:after="0"/>
              <w:rPr>
                <w:sz w:val="20"/>
                <w:szCs w:val="20"/>
                <w:color w:val="auto"/>
              </w:rPr>
            </w:pPr>
            <w:r>
              <w:rPr>
                <w:rFonts w:ascii="Arial" w:cs="Arial" w:eastAsia="Arial" w:hAnsi="Arial"/>
                <w:sz w:val="14"/>
                <w:szCs w:val="14"/>
                <w:color w:val="3E3935"/>
              </w:rPr>
              <w:t>Retired President &amp; Chief Executive Officer</w:t>
            </w:r>
          </w:p>
        </w:tc>
        <w:tc>
          <w:tcPr>
            <w:tcW w:w="16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160"/>
              <w:spacing w:after="0"/>
              <w:rPr>
                <w:sz w:val="20"/>
                <w:szCs w:val="20"/>
                <w:color w:val="auto"/>
              </w:rPr>
            </w:pPr>
            <w:r>
              <w:rPr>
                <w:rFonts w:ascii="Arial" w:cs="Arial" w:eastAsia="Arial" w:hAnsi="Arial"/>
                <w:sz w:val="14"/>
                <w:szCs w:val="14"/>
                <w:color w:val="3E3935"/>
              </w:rPr>
              <w:t>Hewlett Packard Enterprise</w:t>
            </w: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6929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-6463030</wp:posOffset>
            </wp:positionV>
            <wp:extent cx="118745" cy="118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-6013450</wp:posOffset>
            </wp:positionV>
            <wp:extent cx="365125" cy="399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-5843270</wp:posOffset>
            </wp:positionV>
            <wp:extent cx="118745" cy="118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-5359400</wp:posOffset>
            </wp:positionV>
            <wp:extent cx="365125" cy="399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-5206365</wp:posOffset>
            </wp:positionV>
            <wp:extent cx="118745" cy="118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-4739005</wp:posOffset>
            </wp:positionV>
            <wp:extent cx="365125" cy="399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-4569460</wp:posOffset>
            </wp:positionV>
            <wp:extent cx="118745" cy="118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-3949700</wp:posOffset>
            </wp:positionV>
            <wp:extent cx="118745" cy="118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-3499485</wp:posOffset>
            </wp:positionV>
            <wp:extent cx="365125" cy="399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-3329305</wp:posOffset>
            </wp:positionV>
            <wp:extent cx="118745" cy="118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-2879725</wp:posOffset>
            </wp:positionV>
            <wp:extent cx="365125" cy="399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-2709545</wp:posOffset>
            </wp:positionV>
            <wp:extent cx="118745" cy="118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-2259330</wp:posOffset>
            </wp:positionV>
            <wp:extent cx="365125" cy="399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-2089785</wp:posOffset>
            </wp:positionV>
            <wp:extent cx="118745" cy="118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-1639570</wp:posOffset>
            </wp:positionV>
            <wp:extent cx="365125" cy="399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-1470025</wp:posOffset>
            </wp:positionV>
            <wp:extent cx="118745" cy="118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-1019810</wp:posOffset>
            </wp:positionV>
            <wp:extent cx="365125" cy="399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-849630</wp:posOffset>
            </wp:positionV>
            <wp:extent cx="118745" cy="118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-399415</wp:posOffset>
            </wp:positionV>
            <wp:extent cx="365125" cy="399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-229870</wp:posOffset>
            </wp:positionV>
            <wp:extent cx="118745" cy="118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227965</wp:posOffset>
            </wp:positionV>
            <wp:extent cx="5927725" cy="101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344"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2</w:t>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202565</wp:posOffset>
            </wp:positionV>
            <wp:extent cx="5868035" cy="13500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8035"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540"/>
        <w:spacing w:after="0"/>
        <w:rPr>
          <w:sz w:val="20"/>
          <w:szCs w:val="20"/>
          <w:color w:val="auto"/>
        </w:rPr>
      </w:pPr>
      <w:r>
        <w:rPr>
          <w:rFonts w:ascii="Arial" w:cs="Arial" w:eastAsia="Arial" w:hAnsi="Arial"/>
          <w:sz w:val="29"/>
          <w:szCs w:val="29"/>
          <w:b w:val="1"/>
          <w:bCs w:val="1"/>
          <w:color w:val="3E3935"/>
        </w:rPr>
        <w:t>2021 Board Nominee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255270</wp:posOffset>
            </wp:positionV>
            <wp:extent cx="6055360" cy="5052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5360" cy="505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0071CE"/>
        </w:rPr>
        <w:t>3</w:t>
      </w:r>
    </w:p>
    <w:p>
      <w:pPr>
        <w:sectPr>
          <w:pgSz w:w="11900" w:h="16838" w:orient="portrait"/>
          <w:cols w:equalWidth="0" w:num="1">
            <w:col w:w="10760"/>
          </w:cols>
          <w:pgMar w:left="320" w:top="456" w:right="8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Skills, Qualifications, and Experience</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Your Board nominees offer a diverse range of skills and experience in relevant areas.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7"/>
        </w:trPr>
        <w:tc>
          <w:tcPr>
            <w:tcW w:w="1860" w:type="dxa"/>
            <w:vAlign w:val="bottom"/>
            <w:shd w:val="clear" w:color="auto" w:fill="0071CE"/>
          </w:tcPr>
          <w:p>
            <w:pPr>
              <w:spacing w:after="0"/>
              <w:rPr>
                <w:sz w:val="14"/>
                <w:szCs w:val="14"/>
                <w:color w:val="auto"/>
              </w:rPr>
            </w:pPr>
          </w:p>
        </w:tc>
        <w:tc>
          <w:tcPr>
            <w:tcW w:w="90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Senior</w:t>
            </w:r>
          </w:p>
        </w:tc>
        <w:tc>
          <w:tcPr>
            <w:tcW w:w="6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920" w:type="dxa"/>
            <w:vAlign w:val="bottom"/>
            <w:shd w:val="clear" w:color="auto" w:fill="0071CE"/>
          </w:tcPr>
          <w:p>
            <w:pPr>
              <w:spacing w:after="0"/>
              <w:rPr>
                <w:sz w:val="14"/>
                <w:szCs w:val="14"/>
                <w:color w:val="auto"/>
              </w:rPr>
            </w:pPr>
          </w:p>
        </w:tc>
        <w:tc>
          <w:tcPr>
            <w:tcW w:w="98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Risk</w:t>
            </w:r>
          </w:p>
        </w:tc>
        <w:tc>
          <w:tcPr>
            <w:tcW w:w="660" w:type="dxa"/>
            <w:vAlign w:val="bottom"/>
            <w:shd w:val="clear" w:color="auto" w:fill="0071CE"/>
          </w:tcPr>
          <w:p>
            <w:pPr>
              <w:spacing w:after="0"/>
              <w:rPr>
                <w:sz w:val="14"/>
                <w:szCs w:val="14"/>
                <w:color w:val="auto"/>
              </w:rPr>
            </w:pPr>
          </w:p>
        </w:tc>
        <w:tc>
          <w:tcPr>
            <w:tcW w:w="740" w:type="dxa"/>
            <w:vAlign w:val="bottom"/>
            <w:shd w:val="clear" w:color="auto" w:fill="0071CE"/>
          </w:tcPr>
          <w:p>
            <w:pPr>
              <w:spacing w:after="0"/>
              <w:rPr>
                <w:sz w:val="14"/>
                <w:szCs w:val="14"/>
                <w:color w:val="auto"/>
              </w:rPr>
            </w:pPr>
          </w:p>
        </w:tc>
        <w:tc>
          <w:tcPr>
            <w:tcW w:w="2540" w:type="dxa"/>
            <w:vAlign w:val="bottom"/>
            <w:shd w:val="clear" w:color="auto" w:fill="0071CE"/>
          </w:tcPr>
          <w:p>
            <w:pPr>
              <w:spacing w:after="0"/>
              <w:rPr>
                <w:sz w:val="14"/>
                <w:szCs w:val="14"/>
                <w:color w:val="auto"/>
              </w:rPr>
            </w:pPr>
          </w:p>
        </w:tc>
        <w:tc>
          <w:tcPr>
            <w:tcW w:w="580" w:type="dxa"/>
            <w:vAlign w:val="bottom"/>
            <w:shd w:val="clear" w:color="auto" w:fill="0071CE"/>
          </w:tcPr>
          <w:p>
            <w:pPr>
              <w:spacing w:after="0"/>
              <w:rPr>
                <w:sz w:val="14"/>
                <w:szCs w:val="14"/>
                <w:color w:val="auto"/>
              </w:rPr>
            </w:pPr>
          </w:p>
        </w:tc>
      </w:tr>
      <w:tr>
        <w:trPr>
          <w:trHeight w:val="194"/>
        </w:trPr>
        <w:tc>
          <w:tcPr>
            <w:tcW w:w="1860" w:type="dxa"/>
            <w:vAlign w:val="bottom"/>
            <w:shd w:val="clear" w:color="auto" w:fill="0071CE"/>
          </w:tcPr>
          <w:p>
            <w:pPr>
              <w:ind w:left="100"/>
              <w:spacing w:after="0"/>
              <w:rPr>
                <w:sz w:val="20"/>
                <w:szCs w:val="20"/>
                <w:color w:val="auto"/>
              </w:rPr>
            </w:pPr>
            <w:r>
              <w:rPr>
                <w:rFonts w:ascii="Arial" w:cs="Arial" w:eastAsia="Arial" w:hAnsi="Arial"/>
                <w:sz w:val="12"/>
                <w:szCs w:val="12"/>
                <w:b w:val="1"/>
                <w:bCs w:val="1"/>
                <w:color w:val="FFFFFF"/>
              </w:rPr>
              <w:t>Director</w:t>
            </w:r>
          </w:p>
        </w:tc>
        <w:tc>
          <w:tcPr>
            <w:tcW w:w="90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Leadership</w:t>
            </w:r>
          </w:p>
        </w:tc>
        <w:tc>
          <w:tcPr>
            <w:tcW w:w="68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Industry</w:t>
            </w:r>
          </w:p>
        </w:tc>
        <w:tc>
          <w:tcPr>
            <w:tcW w:w="106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Manufacturing</w:t>
            </w:r>
          </w:p>
        </w:tc>
        <w:tc>
          <w:tcPr>
            <w:tcW w:w="92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Technology</w:t>
            </w:r>
          </w:p>
        </w:tc>
        <w:tc>
          <w:tcPr>
            <w:tcW w:w="98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Management</w:t>
            </w:r>
          </w:p>
        </w:tc>
        <w:tc>
          <w:tcPr>
            <w:tcW w:w="66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Global</w:t>
            </w:r>
          </w:p>
        </w:tc>
        <w:tc>
          <w:tcPr>
            <w:tcW w:w="740" w:type="dxa"/>
            <w:vAlign w:val="bottom"/>
            <w:shd w:val="clear" w:color="auto" w:fill="0071CE"/>
          </w:tcPr>
          <w:p>
            <w:pPr>
              <w:jc w:val="center"/>
              <w:spacing w:after="0"/>
              <w:rPr>
                <w:sz w:val="20"/>
                <w:szCs w:val="20"/>
                <w:color w:val="auto"/>
              </w:rPr>
            </w:pPr>
            <w:r>
              <w:rPr>
                <w:rFonts w:ascii="Arial" w:cs="Arial" w:eastAsia="Arial" w:hAnsi="Arial"/>
                <w:sz w:val="12"/>
                <w:szCs w:val="12"/>
                <w:b w:val="1"/>
                <w:bCs w:val="1"/>
                <w:color w:val="FFFFFF"/>
              </w:rPr>
              <w:t>Finance</w:t>
            </w:r>
          </w:p>
        </w:tc>
        <w:tc>
          <w:tcPr>
            <w:tcW w:w="2540" w:type="dxa"/>
            <w:vAlign w:val="bottom"/>
            <w:shd w:val="clear" w:color="auto" w:fill="0071CE"/>
          </w:tcPr>
          <w:p>
            <w:pPr>
              <w:ind w:left="140"/>
              <w:spacing w:after="0"/>
              <w:rPr>
                <w:sz w:val="20"/>
                <w:szCs w:val="20"/>
                <w:color w:val="auto"/>
              </w:rPr>
            </w:pPr>
            <w:r>
              <w:rPr>
                <w:rFonts w:ascii="Arial" w:cs="Arial" w:eastAsia="Arial" w:hAnsi="Arial"/>
                <w:sz w:val="12"/>
                <w:szCs w:val="12"/>
                <w:b w:val="1"/>
                <w:bCs w:val="1"/>
                <w:color w:val="FFFFFF"/>
              </w:rPr>
              <w:t>Government   Marketing   Diversity</w:t>
            </w:r>
          </w:p>
        </w:tc>
        <w:tc>
          <w:tcPr>
            <w:tcW w:w="580" w:type="dxa"/>
            <w:vAlign w:val="bottom"/>
            <w:shd w:val="clear" w:color="auto" w:fill="0071CE"/>
          </w:tcPr>
          <w:p>
            <w:pPr>
              <w:ind w:left="140"/>
              <w:spacing w:after="0"/>
              <w:rPr>
                <w:sz w:val="20"/>
                <w:szCs w:val="20"/>
                <w:color w:val="auto"/>
              </w:rPr>
            </w:pPr>
            <w:r>
              <w:rPr>
                <w:rFonts w:ascii="Arial" w:cs="Arial" w:eastAsia="Arial" w:hAnsi="Arial"/>
                <w:sz w:val="12"/>
                <w:szCs w:val="12"/>
                <w:b w:val="1"/>
                <w:bCs w:val="1"/>
                <w:color w:val="FFFFFF"/>
              </w:rPr>
              <w:t>Cyber</w:t>
            </w:r>
          </w:p>
        </w:tc>
      </w:tr>
      <w:tr>
        <w:trPr>
          <w:trHeight w:val="334"/>
        </w:trPr>
        <w:tc>
          <w:tcPr>
            <w:tcW w:w="1860" w:type="dxa"/>
            <w:vAlign w:val="bottom"/>
            <w:shd w:val="clear" w:color="auto" w:fill="EFEFEE"/>
          </w:tcPr>
          <w:p>
            <w:pPr>
              <w:ind w:left="100"/>
              <w:spacing w:after="0"/>
              <w:rPr>
                <w:sz w:val="20"/>
                <w:szCs w:val="20"/>
                <w:color w:val="auto"/>
              </w:rPr>
            </w:pPr>
            <w:r>
              <w:rPr>
                <w:rFonts w:ascii="Arial" w:cs="Arial" w:eastAsia="Arial" w:hAnsi="Arial"/>
                <w:sz w:val="16"/>
                <w:szCs w:val="16"/>
                <w:color w:val="3E3935"/>
              </w:rPr>
              <w:t>M. Barra</w:t>
            </w:r>
          </w:p>
        </w:tc>
        <w:tc>
          <w:tcPr>
            <w:tcW w:w="900" w:type="dxa"/>
            <w:vAlign w:val="bottom"/>
            <w:shd w:val="clear" w:color="auto" w:fill="EFEFEE"/>
          </w:tcPr>
          <w:p>
            <w:pPr>
              <w:spacing w:after="0"/>
              <w:rPr>
                <w:sz w:val="24"/>
                <w:szCs w:val="24"/>
                <w:color w:val="auto"/>
              </w:rPr>
            </w:pPr>
          </w:p>
        </w:tc>
        <w:tc>
          <w:tcPr>
            <w:tcW w:w="680" w:type="dxa"/>
            <w:vAlign w:val="bottom"/>
            <w:shd w:val="clear" w:color="auto" w:fill="EFEFEE"/>
          </w:tcPr>
          <w:p>
            <w:pPr>
              <w:spacing w:after="0"/>
              <w:rPr>
                <w:sz w:val="24"/>
                <w:szCs w:val="24"/>
                <w:color w:val="auto"/>
              </w:rPr>
            </w:pPr>
          </w:p>
        </w:tc>
        <w:tc>
          <w:tcPr>
            <w:tcW w:w="1060" w:type="dxa"/>
            <w:vAlign w:val="bottom"/>
            <w:shd w:val="clear" w:color="auto" w:fill="EFEFEE"/>
          </w:tcPr>
          <w:p>
            <w:pPr>
              <w:spacing w:after="0"/>
              <w:rPr>
                <w:sz w:val="24"/>
                <w:szCs w:val="24"/>
                <w:color w:val="auto"/>
              </w:rPr>
            </w:pPr>
          </w:p>
        </w:tc>
        <w:tc>
          <w:tcPr>
            <w:tcW w:w="920" w:type="dxa"/>
            <w:vAlign w:val="bottom"/>
            <w:shd w:val="clear" w:color="auto" w:fill="EFEFEE"/>
          </w:tcPr>
          <w:p>
            <w:pPr>
              <w:spacing w:after="0"/>
              <w:rPr>
                <w:sz w:val="24"/>
                <w:szCs w:val="24"/>
                <w:color w:val="auto"/>
              </w:rPr>
            </w:pPr>
          </w:p>
        </w:tc>
        <w:tc>
          <w:tcPr>
            <w:tcW w:w="980" w:type="dxa"/>
            <w:vAlign w:val="bottom"/>
            <w:shd w:val="clear" w:color="auto" w:fill="EFEFEE"/>
          </w:tcPr>
          <w:p>
            <w:pPr>
              <w:spacing w:after="0"/>
              <w:rPr>
                <w:sz w:val="24"/>
                <w:szCs w:val="24"/>
                <w:color w:val="auto"/>
              </w:rPr>
            </w:pPr>
          </w:p>
        </w:tc>
        <w:tc>
          <w:tcPr>
            <w:tcW w:w="660" w:type="dxa"/>
            <w:vAlign w:val="bottom"/>
            <w:shd w:val="clear" w:color="auto" w:fill="EFEFEE"/>
          </w:tcPr>
          <w:p>
            <w:pPr>
              <w:spacing w:after="0"/>
              <w:rPr>
                <w:sz w:val="24"/>
                <w:szCs w:val="24"/>
                <w:color w:val="auto"/>
              </w:rPr>
            </w:pPr>
          </w:p>
        </w:tc>
        <w:tc>
          <w:tcPr>
            <w:tcW w:w="740" w:type="dxa"/>
            <w:vAlign w:val="bottom"/>
            <w:shd w:val="clear" w:color="auto" w:fill="EFEFEE"/>
          </w:tcPr>
          <w:p>
            <w:pPr>
              <w:spacing w:after="0"/>
              <w:rPr>
                <w:sz w:val="24"/>
                <w:szCs w:val="24"/>
                <w:color w:val="auto"/>
              </w:rPr>
            </w:pPr>
          </w:p>
        </w:tc>
        <w:tc>
          <w:tcPr>
            <w:tcW w:w="2540" w:type="dxa"/>
            <w:vAlign w:val="bottom"/>
            <w:shd w:val="clear" w:color="auto" w:fill="EFEFEE"/>
          </w:tcPr>
          <w:p>
            <w:pPr>
              <w:spacing w:after="0"/>
              <w:rPr>
                <w:sz w:val="24"/>
                <w:szCs w:val="24"/>
                <w:color w:val="auto"/>
              </w:rPr>
            </w:pPr>
          </w:p>
        </w:tc>
        <w:tc>
          <w:tcPr>
            <w:tcW w:w="580" w:type="dxa"/>
            <w:vAlign w:val="bottom"/>
            <w:shd w:val="clear" w:color="auto" w:fill="EFEFEE"/>
          </w:tcPr>
          <w:p>
            <w:pPr>
              <w:spacing w:after="0"/>
              <w:rPr>
                <w:sz w:val="24"/>
                <w:szCs w:val="24"/>
                <w:color w:val="auto"/>
              </w:rPr>
            </w:pPr>
          </w:p>
        </w:tc>
      </w:tr>
      <w:tr>
        <w:trPr>
          <w:trHeight w:val="40"/>
        </w:trPr>
        <w:tc>
          <w:tcPr>
            <w:tcW w:w="1860" w:type="dxa"/>
            <w:vAlign w:val="bottom"/>
            <w:shd w:val="clear" w:color="auto" w:fill="EFEFEE"/>
          </w:tcPr>
          <w:p>
            <w:pPr>
              <w:spacing w:after="0"/>
              <w:rPr>
                <w:sz w:val="3"/>
                <w:szCs w:val="3"/>
                <w:color w:val="auto"/>
              </w:rPr>
            </w:pPr>
          </w:p>
        </w:tc>
        <w:tc>
          <w:tcPr>
            <w:tcW w:w="900" w:type="dxa"/>
            <w:vAlign w:val="bottom"/>
            <w:shd w:val="clear" w:color="auto" w:fill="EFEFEE"/>
          </w:tcPr>
          <w:p>
            <w:pPr>
              <w:spacing w:after="0"/>
              <w:rPr>
                <w:sz w:val="3"/>
                <w:szCs w:val="3"/>
                <w:color w:val="auto"/>
              </w:rPr>
            </w:pPr>
          </w:p>
        </w:tc>
        <w:tc>
          <w:tcPr>
            <w:tcW w:w="680" w:type="dxa"/>
            <w:vAlign w:val="bottom"/>
            <w:shd w:val="clear" w:color="auto" w:fill="EFEFEE"/>
          </w:tcPr>
          <w:p>
            <w:pPr>
              <w:spacing w:after="0"/>
              <w:rPr>
                <w:sz w:val="3"/>
                <w:szCs w:val="3"/>
                <w:color w:val="auto"/>
              </w:rPr>
            </w:pPr>
          </w:p>
        </w:tc>
        <w:tc>
          <w:tcPr>
            <w:tcW w:w="1060" w:type="dxa"/>
            <w:vAlign w:val="bottom"/>
            <w:shd w:val="clear" w:color="auto" w:fill="EFEFEE"/>
          </w:tcPr>
          <w:p>
            <w:pPr>
              <w:spacing w:after="0"/>
              <w:rPr>
                <w:sz w:val="3"/>
                <w:szCs w:val="3"/>
                <w:color w:val="auto"/>
              </w:rPr>
            </w:pPr>
          </w:p>
        </w:tc>
        <w:tc>
          <w:tcPr>
            <w:tcW w:w="920" w:type="dxa"/>
            <w:vAlign w:val="bottom"/>
            <w:shd w:val="clear" w:color="auto" w:fill="EFEFEE"/>
          </w:tcPr>
          <w:p>
            <w:pPr>
              <w:spacing w:after="0"/>
              <w:rPr>
                <w:sz w:val="3"/>
                <w:szCs w:val="3"/>
                <w:color w:val="auto"/>
              </w:rPr>
            </w:pPr>
          </w:p>
        </w:tc>
        <w:tc>
          <w:tcPr>
            <w:tcW w:w="980" w:type="dxa"/>
            <w:vAlign w:val="bottom"/>
            <w:shd w:val="clear" w:color="auto" w:fill="EFEFEE"/>
          </w:tcPr>
          <w:p>
            <w:pPr>
              <w:spacing w:after="0"/>
              <w:rPr>
                <w:sz w:val="3"/>
                <w:szCs w:val="3"/>
                <w:color w:val="auto"/>
              </w:rPr>
            </w:pPr>
          </w:p>
        </w:tc>
        <w:tc>
          <w:tcPr>
            <w:tcW w:w="660" w:type="dxa"/>
            <w:vAlign w:val="bottom"/>
            <w:shd w:val="clear" w:color="auto" w:fill="EFEFEE"/>
          </w:tcPr>
          <w:p>
            <w:pPr>
              <w:spacing w:after="0"/>
              <w:rPr>
                <w:sz w:val="3"/>
                <w:szCs w:val="3"/>
                <w:color w:val="auto"/>
              </w:rPr>
            </w:pPr>
          </w:p>
        </w:tc>
        <w:tc>
          <w:tcPr>
            <w:tcW w:w="740" w:type="dxa"/>
            <w:vAlign w:val="bottom"/>
            <w:shd w:val="clear" w:color="auto" w:fill="EFEFEE"/>
          </w:tcPr>
          <w:p>
            <w:pPr>
              <w:spacing w:after="0"/>
              <w:rPr>
                <w:sz w:val="3"/>
                <w:szCs w:val="3"/>
                <w:color w:val="auto"/>
              </w:rPr>
            </w:pPr>
          </w:p>
        </w:tc>
        <w:tc>
          <w:tcPr>
            <w:tcW w:w="2540" w:type="dxa"/>
            <w:vAlign w:val="bottom"/>
            <w:shd w:val="clear" w:color="auto" w:fill="EFEFEE"/>
          </w:tcPr>
          <w:p>
            <w:pPr>
              <w:spacing w:after="0"/>
              <w:rPr>
                <w:sz w:val="3"/>
                <w:szCs w:val="3"/>
                <w:color w:val="auto"/>
              </w:rPr>
            </w:pPr>
          </w:p>
        </w:tc>
        <w:tc>
          <w:tcPr>
            <w:tcW w:w="580" w:type="dxa"/>
            <w:vAlign w:val="bottom"/>
            <w:shd w:val="clear" w:color="auto" w:fill="EFEFEE"/>
          </w:tcPr>
          <w:p>
            <w:pPr>
              <w:spacing w:after="0"/>
              <w:rPr>
                <w:sz w:val="3"/>
                <w:szCs w:val="3"/>
                <w:color w:val="auto"/>
              </w:rPr>
            </w:pPr>
          </w:p>
        </w:tc>
      </w:tr>
    </w:tbl>
    <w:p>
      <w:pPr>
        <w:spacing w:after="0" w:line="109" w:lineRule="exact"/>
        <w:rPr>
          <w:sz w:val="20"/>
          <w:szCs w:val="20"/>
          <w:color w:val="auto"/>
        </w:rPr>
      </w:pPr>
    </w:p>
    <w:p>
      <w:pPr>
        <w:sectPr>
          <w:pgSz w:w="11900" w:h="16838" w:orient="portrait"/>
          <w:cols w:equalWidth="0" w:num="1">
            <w:col w:w="11080"/>
          </w:cols>
          <w:pgMar w:left="320" w:top="456" w:right="499" w:bottom="1440" w:gutter="0" w:footer="0" w:header="0"/>
        </w:sectPr>
      </w:pPr>
    </w:p>
    <w:p>
      <w:pPr>
        <w:ind w:left="260" w:right="240" w:hanging="3"/>
        <w:spacing w:after="0" w:line="488" w:lineRule="auto"/>
        <w:tabs>
          <w:tab w:leader="none" w:pos="492" w:val="left"/>
        </w:tabs>
        <w:numPr>
          <w:ilvl w:val="0"/>
          <w:numId w:val="4"/>
        </w:numPr>
        <w:rPr>
          <w:rFonts w:ascii="Arial" w:cs="Arial" w:eastAsia="Arial" w:hAnsi="Arial"/>
          <w:sz w:val="16"/>
          <w:szCs w:val="16"/>
          <w:color w:val="3E3935"/>
        </w:rPr>
      </w:pPr>
      <w:r>
        <w:rPr>
          <w:rFonts w:ascii="Arial" w:cs="Arial" w:eastAsia="Arial" w:hAnsi="Arial"/>
          <w:sz w:val="16"/>
          <w:szCs w:val="16"/>
          <w:color w:val="3E3935"/>
        </w:rPr>
        <w:t>Bush L. Gooden J. Jimenez J. Mendillo J. Miscik P. Russo T. Schoewe</w:t>
      </w:r>
    </w:p>
    <w:p>
      <w:pPr>
        <w:spacing w:after="0" w:line="2" w:lineRule="exact"/>
        <w:rPr>
          <w:rFonts w:ascii="Arial" w:cs="Arial" w:eastAsia="Arial" w:hAnsi="Arial"/>
          <w:sz w:val="16"/>
          <w:szCs w:val="16"/>
          <w:color w:val="3E3935"/>
        </w:rPr>
      </w:pPr>
    </w:p>
    <w:p>
      <w:pPr>
        <w:ind w:left="260"/>
        <w:spacing w:after="0" w:line="488" w:lineRule="auto"/>
        <w:rPr>
          <w:rFonts w:ascii="Arial" w:cs="Arial" w:eastAsia="Arial" w:hAnsi="Arial"/>
          <w:sz w:val="16"/>
          <w:szCs w:val="16"/>
          <w:color w:val="3E3935"/>
        </w:rPr>
      </w:pPr>
      <w:r>
        <w:rPr>
          <w:rFonts w:ascii="Arial" w:cs="Arial" w:eastAsia="Arial" w:hAnsi="Arial"/>
          <w:sz w:val="16"/>
          <w:szCs w:val="16"/>
          <w:color w:val="3E3935"/>
        </w:rPr>
        <w:t>C. Stephenson M. Tatum</w:t>
      </w:r>
    </w:p>
    <w:p>
      <w:pPr>
        <w:ind w:left="260" w:right="200"/>
        <w:spacing w:after="0" w:line="500" w:lineRule="auto"/>
        <w:rPr>
          <w:rFonts w:ascii="Arial" w:cs="Arial" w:eastAsia="Arial" w:hAnsi="Arial"/>
          <w:sz w:val="16"/>
          <w:szCs w:val="16"/>
          <w:color w:val="3E3935"/>
        </w:rPr>
      </w:pPr>
      <w:r>
        <w:rPr>
          <w:rFonts w:ascii="Arial" w:cs="Arial" w:eastAsia="Arial" w:hAnsi="Arial"/>
          <w:sz w:val="16"/>
          <w:szCs w:val="16"/>
          <w:color w:val="3E3935"/>
        </w:rPr>
        <w:t>D. Wenig M. Whitman</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7"/>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47"/>
        </w:trPr>
        <w:tc>
          <w:tcPr>
            <w:tcW w:w="1300" w:type="dxa"/>
            <w:vAlign w:val="bottom"/>
            <w:tcBorders>
              <w:bottom w:val="single" w:sz="8" w:color="EFEFEE"/>
            </w:tcBorders>
            <w:shd w:val="clear" w:color="auto" w:fill="EFEFEE"/>
          </w:tcPr>
          <w:p>
            <w:pPr>
              <w:spacing w:after="0"/>
              <w:rPr>
                <w:sz w:val="21"/>
                <w:szCs w:val="21"/>
                <w:color w:val="auto"/>
              </w:rPr>
            </w:pPr>
          </w:p>
        </w:tc>
        <w:tc>
          <w:tcPr>
            <w:tcW w:w="1320" w:type="dxa"/>
            <w:vAlign w:val="bottom"/>
            <w:tcBorders>
              <w:bottom w:val="single" w:sz="8" w:color="EFEFEE"/>
            </w:tcBorders>
            <w:shd w:val="clear" w:color="auto" w:fill="EFEFEE"/>
          </w:tcPr>
          <w:p>
            <w:pPr>
              <w:spacing w:after="0"/>
              <w:rPr>
                <w:sz w:val="21"/>
                <w:szCs w:val="21"/>
                <w:color w:val="auto"/>
              </w:rPr>
            </w:pPr>
          </w:p>
        </w:tc>
        <w:tc>
          <w:tcPr>
            <w:tcW w:w="960" w:type="dxa"/>
            <w:vAlign w:val="bottom"/>
            <w:tcBorders>
              <w:bottom w:val="single" w:sz="8" w:color="EFEFEE"/>
            </w:tcBorders>
            <w:shd w:val="clear" w:color="auto" w:fill="EFEFEE"/>
          </w:tcPr>
          <w:p>
            <w:pPr>
              <w:spacing w:after="0"/>
              <w:rPr>
                <w:sz w:val="21"/>
                <w:szCs w:val="21"/>
                <w:color w:val="auto"/>
              </w:rPr>
            </w:pPr>
          </w:p>
        </w:tc>
        <w:tc>
          <w:tcPr>
            <w:tcW w:w="880" w:type="dxa"/>
            <w:vAlign w:val="bottom"/>
            <w:tcBorders>
              <w:bottom w:val="single" w:sz="8" w:color="EFEFEE"/>
            </w:tcBorders>
            <w:shd w:val="clear" w:color="auto" w:fill="EFEFEE"/>
          </w:tcPr>
          <w:p>
            <w:pPr>
              <w:spacing w:after="0"/>
              <w:rPr>
                <w:sz w:val="21"/>
                <w:szCs w:val="21"/>
                <w:color w:val="auto"/>
              </w:rPr>
            </w:pPr>
          </w:p>
        </w:tc>
        <w:tc>
          <w:tcPr>
            <w:tcW w:w="760" w:type="dxa"/>
            <w:vAlign w:val="bottom"/>
            <w:tcBorders>
              <w:bottom w:val="single" w:sz="8" w:color="EFEFEE"/>
            </w:tcBorders>
            <w:shd w:val="clear" w:color="auto" w:fill="EFEFEE"/>
          </w:tcPr>
          <w:p>
            <w:pPr>
              <w:spacing w:after="0"/>
              <w:rPr>
                <w:sz w:val="21"/>
                <w:szCs w:val="21"/>
                <w:color w:val="auto"/>
              </w:rPr>
            </w:pPr>
          </w:p>
        </w:tc>
        <w:tc>
          <w:tcPr>
            <w:tcW w:w="800" w:type="dxa"/>
            <w:vAlign w:val="bottom"/>
            <w:tcBorders>
              <w:bottom w:val="single" w:sz="8" w:color="EFEFEE"/>
            </w:tcBorders>
            <w:shd w:val="clear" w:color="auto" w:fill="EFEFEE"/>
          </w:tcPr>
          <w:p>
            <w:pPr>
              <w:spacing w:after="0"/>
              <w:rPr>
                <w:sz w:val="21"/>
                <w:szCs w:val="21"/>
                <w:color w:val="auto"/>
              </w:rPr>
            </w:pPr>
          </w:p>
        </w:tc>
        <w:tc>
          <w:tcPr>
            <w:tcW w:w="860" w:type="dxa"/>
            <w:vAlign w:val="bottom"/>
            <w:tcBorders>
              <w:bottom w:val="single" w:sz="8" w:color="EFEFEE"/>
            </w:tcBorders>
            <w:shd w:val="clear" w:color="auto" w:fill="EFEFEE"/>
          </w:tcPr>
          <w:p>
            <w:pPr>
              <w:spacing w:after="0"/>
              <w:rPr>
                <w:sz w:val="21"/>
                <w:szCs w:val="21"/>
                <w:color w:val="auto"/>
              </w:rPr>
            </w:pPr>
          </w:p>
        </w:tc>
        <w:tc>
          <w:tcPr>
            <w:tcW w:w="820" w:type="dxa"/>
            <w:vAlign w:val="bottom"/>
            <w:tcBorders>
              <w:bottom w:val="single" w:sz="8" w:color="EFEFEE"/>
            </w:tcBorders>
            <w:shd w:val="clear" w:color="auto" w:fill="EFEFEE"/>
          </w:tcPr>
          <w:p>
            <w:pPr>
              <w:spacing w:after="0"/>
              <w:rPr>
                <w:sz w:val="21"/>
                <w:szCs w:val="21"/>
                <w:color w:val="auto"/>
              </w:rPr>
            </w:pPr>
          </w:p>
        </w:tc>
        <w:tc>
          <w:tcPr>
            <w:tcW w:w="740" w:type="dxa"/>
            <w:vAlign w:val="bottom"/>
            <w:tcBorders>
              <w:bottom w:val="single" w:sz="8" w:color="EFEFEE"/>
            </w:tcBorders>
            <w:shd w:val="clear" w:color="auto" w:fill="EFEFEE"/>
          </w:tcPr>
          <w:p>
            <w:pPr>
              <w:spacing w:after="0"/>
              <w:rPr>
                <w:sz w:val="21"/>
                <w:szCs w:val="21"/>
                <w:color w:val="auto"/>
              </w:rPr>
            </w:pPr>
          </w:p>
        </w:tc>
        <w:tc>
          <w:tcPr>
            <w:tcW w:w="620" w:type="dxa"/>
            <w:vAlign w:val="bottom"/>
            <w:tcBorders>
              <w:bottom w:val="single" w:sz="8" w:color="EFEFEE"/>
            </w:tcBorders>
            <w:shd w:val="clear" w:color="auto" w:fill="EFEFEE"/>
          </w:tcPr>
          <w:p>
            <w:pPr>
              <w:spacing w:after="0"/>
              <w:rPr>
                <w:sz w:val="21"/>
                <w:szCs w:val="21"/>
                <w:color w:val="auto"/>
              </w:rPr>
            </w:pPr>
          </w:p>
        </w:tc>
      </w:tr>
      <w:tr>
        <w:trPr>
          <w:trHeight w:val="334"/>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7"/>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47"/>
        </w:trPr>
        <w:tc>
          <w:tcPr>
            <w:tcW w:w="1300" w:type="dxa"/>
            <w:vAlign w:val="bottom"/>
            <w:tcBorders>
              <w:bottom w:val="single" w:sz="8" w:color="EFEFEE"/>
            </w:tcBorders>
            <w:shd w:val="clear" w:color="auto" w:fill="EFEFEE"/>
          </w:tcPr>
          <w:p>
            <w:pPr>
              <w:spacing w:after="0"/>
              <w:rPr>
                <w:sz w:val="21"/>
                <w:szCs w:val="21"/>
                <w:color w:val="auto"/>
              </w:rPr>
            </w:pPr>
          </w:p>
        </w:tc>
        <w:tc>
          <w:tcPr>
            <w:tcW w:w="1320" w:type="dxa"/>
            <w:vAlign w:val="bottom"/>
            <w:tcBorders>
              <w:bottom w:val="single" w:sz="8" w:color="EFEFEE"/>
            </w:tcBorders>
            <w:shd w:val="clear" w:color="auto" w:fill="EFEFEE"/>
          </w:tcPr>
          <w:p>
            <w:pPr>
              <w:spacing w:after="0"/>
              <w:rPr>
                <w:sz w:val="21"/>
                <w:szCs w:val="21"/>
                <w:color w:val="auto"/>
              </w:rPr>
            </w:pPr>
          </w:p>
        </w:tc>
        <w:tc>
          <w:tcPr>
            <w:tcW w:w="960" w:type="dxa"/>
            <w:vAlign w:val="bottom"/>
            <w:tcBorders>
              <w:bottom w:val="single" w:sz="8" w:color="EFEFEE"/>
            </w:tcBorders>
            <w:shd w:val="clear" w:color="auto" w:fill="EFEFEE"/>
          </w:tcPr>
          <w:p>
            <w:pPr>
              <w:spacing w:after="0"/>
              <w:rPr>
                <w:sz w:val="21"/>
                <w:szCs w:val="21"/>
                <w:color w:val="auto"/>
              </w:rPr>
            </w:pPr>
          </w:p>
        </w:tc>
        <w:tc>
          <w:tcPr>
            <w:tcW w:w="880" w:type="dxa"/>
            <w:vAlign w:val="bottom"/>
            <w:tcBorders>
              <w:bottom w:val="single" w:sz="8" w:color="EFEFEE"/>
            </w:tcBorders>
            <w:shd w:val="clear" w:color="auto" w:fill="EFEFEE"/>
          </w:tcPr>
          <w:p>
            <w:pPr>
              <w:spacing w:after="0"/>
              <w:rPr>
                <w:sz w:val="21"/>
                <w:szCs w:val="21"/>
                <w:color w:val="auto"/>
              </w:rPr>
            </w:pPr>
          </w:p>
        </w:tc>
        <w:tc>
          <w:tcPr>
            <w:tcW w:w="760" w:type="dxa"/>
            <w:vAlign w:val="bottom"/>
            <w:tcBorders>
              <w:bottom w:val="single" w:sz="8" w:color="EFEFEE"/>
            </w:tcBorders>
            <w:shd w:val="clear" w:color="auto" w:fill="EFEFEE"/>
          </w:tcPr>
          <w:p>
            <w:pPr>
              <w:spacing w:after="0"/>
              <w:rPr>
                <w:sz w:val="21"/>
                <w:szCs w:val="21"/>
                <w:color w:val="auto"/>
              </w:rPr>
            </w:pPr>
          </w:p>
        </w:tc>
        <w:tc>
          <w:tcPr>
            <w:tcW w:w="800" w:type="dxa"/>
            <w:vAlign w:val="bottom"/>
            <w:tcBorders>
              <w:bottom w:val="single" w:sz="8" w:color="EFEFEE"/>
            </w:tcBorders>
            <w:shd w:val="clear" w:color="auto" w:fill="EFEFEE"/>
          </w:tcPr>
          <w:p>
            <w:pPr>
              <w:spacing w:after="0"/>
              <w:rPr>
                <w:sz w:val="21"/>
                <w:szCs w:val="21"/>
                <w:color w:val="auto"/>
              </w:rPr>
            </w:pPr>
          </w:p>
        </w:tc>
        <w:tc>
          <w:tcPr>
            <w:tcW w:w="860" w:type="dxa"/>
            <w:vAlign w:val="bottom"/>
            <w:tcBorders>
              <w:bottom w:val="single" w:sz="8" w:color="EFEFEE"/>
            </w:tcBorders>
            <w:shd w:val="clear" w:color="auto" w:fill="EFEFEE"/>
          </w:tcPr>
          <w:p>
            <w:pPr>
              <w:spacing w:after="0"/>
              <w:rPr>
                <w:sz w:val="21"/>
                <w:szCs w:val="21"/>
                <w:color w:val="auto"/>
              </w:rPr>
            </w:pPr>
          </w:p>
        </w:tc>
        <w:tc>
          <w:tcPr>
            <w:tcW w:w="820" w:type="dxa"/>
            <w:vAlign w:val="bottom"/>
            <w:tcBorders>
              <w:bottom w:val="single" w:sz="8" w:color="EFEFEE"/>
            </w:tcBorders>
            <w:shd w:val="clear" w:color="auto" w:fill="EFEFEE"/>
          </w:tcPr>
          <w:p>
            <w:pPr>
              <w:spacing w:after="0"/>
              <w:rPr>
                <w:sz w:val="21"/>
                <w:szCs w:val="21"/>
                <w:color w:val="auto"/>
              </w:rPr>
            </w:pPr>
          </w:p>
        </w:tc>
        <w:tc>
          <w:tcPr>
            <w:tcW w:w="740" w:type="dxa"/>
            <w:vAlign w:val="bottom"/>
            <w:tcBorders>
              <w:bottom w:val="single" w:sz="8" w:color="EFEFEE"/>
            </w:tcBorders>
            <w:shd w:val="clear" w:color="auto" w:fill="EFEFEE"/>
          </w:tcPr>
          <w:p>
            <w:pPr>
              <w:spacing w:after="0"/>
              <w:rPr>
                <w:sz w:val="21"/>
                <w:szCs w:val="21"/>
                <w:color w:val="auto"/>
              </w:rPr>
            </w:pPr>
          </w:p>
        </w:tc>
        <w:tc>
          <w:tcPr>
            <w:tcW w:w="620" w:type="dxa"/>
            <w:vAlign w:val="bottom"/>
            <w:tcBorders>
              <w:bottom w:val="single" w:sz="8" w:color="EFEFEE"/>
            </w:tcBorders>
            <w:shd w:val="clear" w:color="auto" w:fill="EFEFEE"/>
          </w:tcPr>
          <w:p>
            <w:pPr>
              <w:spacing w:after="0"/>
              <w:rPr>
                <w:sz w:val="21"/>
                <w:szCs w:val="21"/>
                <w:color w:val="auto"/>
              </w:rPr>
            </w:pPr>
          </w:p>
        </w:tc>
      </w:tr>
      <w:tr>
        <w:trPr>
          <w:trHeight w:val="334"/>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7"/>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47"/>
        </w:trPr>
        <w:tc>
          <w:tcPr>
            <w:tcW w:w="1300" w:type="dxa"/>
            <w:vAlign w:val="bottom"/>
            <w:tcBorders>
              <w:bottom w:val="single" w:sz="8" w:color="EFEFEE"/>
            </w:tcBorders>
            <w:shd w:val="clear" w:color="auto" w:fill="EFEFEE"/>
          </w:tcPr>
          <w:p>
            <w:pPr>
              <w:spacing w:after="0"/>
              <w:rPr>
                <w:sz w:val="21"/>
                <w:szCs w:val="21"/>
                <w:color w:val="auto"/>
              </w:rPr>
            </w:pPr>
          </w:p>
        </w:tc>
        <w:tc>
          <w:tcPr>
            <w:tcW w:w="1320" w:type="dxa"/>
            <w:vAlign w:val="bottom"/>
            <w:tcBorders>
              <w:bottom w:val="single" w:sz="8" w:color="EFEFEE"/>
            </w:tcBorders>
            <w:shd w:val="clear" w:color="auto" w:fill="EFEFEE"/>
          </w:tcPr>
          <w:p>
            <w:pPr>
              <w:spacing w:after="0"/>
              <w:rPr>
                <w:sz w:val="21"/>
                <w:szCs w:val="21"/>
                <w:color w:val="auto"/>
              </w:rPr>
            </w:pPr>
          </w:p>
        </w:tc>
        <w:tc>
          <w:tcPr>
            <w:tcW w:w="960" w:type="dxa"/>
            <w:vAlign w:val="bottom"/>
            <w:tcBorders>
              <w:bottom w:val="single" w:sz="8" w:color="EFEFEE"/>
            </w:tcBorders>
            <w:shd w:val="clear" w:color="auto" w:fill="EFEFEE"/>
          </w:tcPr>
          <w:p>
            <w:pPr>
              <w:spacing w:after="0"/>
              <w:rPr>
                <w:sz w:val="21"/>
                <w:szCs w:val="21"/>
                <w:color w:val="auto"/>
              </w:rPr>
            </w:pPr>
          </w:p>
        </w:tc>
        <w:tc>
          <w:tcPr>
            <w:tcW w:w="880" w:type="dxa"/>
            <w:vAlign w:val="bottom"/>
            <w:tcBorders>
              <w:bottom w:val="single" w:sz="8" w:color="EFEFEE"/>
            </w:tcBorders>
            <w:shd w:val="clear" w:color="auto" w:fill="EFEFEE"/>
          </w:tcPr>
          <w:p>
            <w:pPr>
              <w:spacing w:after="0"/>
              <w:rPr>
                <w:sz w:val="21"/>
                <w:szCs w:val="21"/>
                <w:color w:val="auto"/>
              </w:rPr>
            </w:pPr>
          </w:p>
        </w:tc>
        <w:tc>
          <w:tcPr>
            <w:tcW w:w="760" w:type="dxa"/>
            <w:vAlign w:val="bottom"/>
            <w:tcBorders>
              <w:bottom w:val="single" w:sz="8" w:color="EFEFEE"/>
            </w:tcBorders>
            <w:shd w:val="clear" w:color="auto" w:fill="EFEFEE"/>
          </w:tcPr>
          <w:p>
            <w:pPr>
              <w:spacing w:after="0"/>
              <w:rPr>
                <w:sz w:val="21"/>
                <w:szCs w:val="21"/>
                <w:color w:val="auto"/>
              </w:rPr>
            </w:pPr>
          </w:p>
        </w:tc>
        <w:tc>
          <w:tcPr>
            <w:tcW w:w="800" w:type="dxa"/>
            <w:vAlign w:val="bottom"/>
            <w:tcBorders>
              <w:bottom w:val="single" w:sz="8" w:color="EFEFEE"/>
            </w:tcBorders>
            <w:shd w:val="clear" w:color="auto" w:fill="EFEFEE"/>
          </w:tcPr>
          <w:p>
            <w:pPr>
              <w:spacing w:after="0"/>
              <w:rPr>
                <w:sz w:val="21"/>
                <w:szCs w:val="21"/>
                <w:color w:val="auto"/>
              </w:rPr>
            </w:pPr>
          </w:p>
        </w:tc>
        <w:tc>
          <w:tcPr>
            <w:tcW w:w="860" w:type="dxa"/>
            <w:vAlign w:val="bottom"/>
            <w:tcBorders>
              <w:bottom w:val="single" w:sz="8" w:color="EFEFEE"/>
            </w:tcBorders>
            <w:shd w:val="clear" w:color="auto" w:fill="EFEFEE"/>
          </w:tcPr>
          <w:p>
            <w:pPr>
              <w:spacing w:after="0"/>
              <w:rPr>
                <w:sz w:val="21"/>
                <w:szCs w:val="21"/>
                <w:color w:val="auto"/>
              </w:rPr>
            </w:pPr>
          </w:p>
        </w:tc>
        <w:tc>
          <w:tcPr>
            <w:tcW w:w="820" w:type="dxa"/>
            <w:vAlign w:val="bottom"/>
            <w:tcBorders>
              <w:bottom w:val="single" w:sz="8" w:color="EFEFEE"/>
            </w:tcBorders>
            <w:shd w:val="clear" w:color="auto" w:fill="EFEFEE"/>
          </w:tcPr>
          <w:p>
            <w:pPr>
              <w:spacing w:after="0"/>
              <w:rPr>
                <w:sz w:val="21"/>
                <w:szCs w:val="21"/>
                <w:color w:val="auto"/>
              </w:rPr>
            </w:pPr>
          </w:p>
        </w:tc>
        <w:tc>
          <w:tcPr>
            <w:tcW w:w="740" w:type="dxa"/>
            <w:vAlign w:val="bottom"/>
            <w:tcBorders>
              <w:bottom w:val="single" w:sz="8" w:color="EFEFEE"/>
            </w:tcBorders>
            <w:shd w:val="clear" w:color="auto" w:fill="EFEFEE"/>
          </w:tcPr>
          <w:p>
            <w:pPr>
              <w:spacing w:after="0"/>
              <w:rPr>
                <w:sz w:val="21"/>
                <w:szCs w:val="21"/>
                <w:color w:val="auto"/>
              </w:rPr>
            </w:pPr>
          </w:p>
        </w:tc>
        <w:tc>
          <w:tcPr>
            <w:tcW w:w="620" w:type="dxa"/>
            <w:vAlign w:val="bottom"/>
            <w:tcBorders>
              <w:bottom w:val="single" w:sz="8" w:color="EFEFEE"/>
            </w:tcBorders>
            <w:shd w:val="clear" w:color="auto" w:fill="EFEFEE"/>
          </w:tcPr>
          <w:p>
            <w:pPr>
              <w:spacing w:after="0"/>
              <w:rPr>
                <w:sz w:val="21"/>
                <w:szCs w:val="21"/>
                <w:color w:val="auto"/>
              </w:rPr>
            </w:pPr>
          </w:p>
        </w:tc>
      </w:tr>
      <w:tr>
        <w:trPr>
          <w:trHeight w:val="334"/>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7"/>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47"/>
        </w:trPr>
        <w:tc>
          <w:tcPr>
            <w:tcW w:w="1300" w:type="dxa"/>
            <w:vAlign w:val="bottom"/>
            <w:tcBorders>
              <w:bottom w:val="single" w:sz="8" w:color="EFEFEE"/>
            </w:tcBorders>
            <w:shd w:val="clear" w:color="auto" w:fill="EFEFEE"/>
          </w:tcPr>
          <w:p>
            <w:pPr>
              <w:spacing w:after="0"/>
              <w:rPr>
                <w:sz w:val="21"/>
                <w:szCs w:val="21"/>
                <w:color w:val="auto"/>
              </w:rPr>
            </w:pPr>
          </w:p>
        </w:tc>
        <w:tc>
          <w:tcPr>
            <w:tcW w:w="1320" w:type="dxa"/>
            <w:vAlign w:val="bottom"/>
            <w:tcBorders>
              <w:bottom w:val="single" w:sz="8" w:color="EFEFEE"/>
            </w:tcBorders>
            <w:shd w:val="clear" w:color="auto" w:fill="EFEFEE"/>
          </w:tcPr>
          <w:p>
            <w:pPr>
              <w:spacing w:after="0"/>
              <w:rPr>
                <w:sz w:val="21"/>
                <w:szCs w:val="21"/>
                <w:color w:val="auto"/>
              </w:rPr>
            </w:pPr>
          </w:p>
        </w:tc>
        <w:tc>
          <w:tcPr>
            <w:tcW w:w="960" w:type="dxa"/>
            <w:vAlign w:val="bottom"/>
            <w:tcBorders>
              <w:bottom w:val="single" w:sz="8" w:color="EFEFEE"/>
            </w:tcBorders>
            <w:shd w:val="clear" w:color="auto" w:fill="EFEFEE"/>
          </w:tcPr>
          <w:p>
            <w:pPr>
              <w:spacing w:after="0"/>
              <w:rPr>
                <w:sz w:val="21"/>
                <w:szCs w:val="21"/>
                <w:color w:val="auto"/>
              </w:rPr>
            </w:pPr>
          </w:p>
        </w:tc>
        <w:tc>
          <w:tcPr>
            <w:tcW w:w="880" w:type="dxa"/>
            <w:vAlign w:val="bottom"/>
            <w:tcBorders>
              <w:bottom w:val="single" w:sz="8" w:color="EFEFEE"/>
            </w:tcBorders>
            <w:shd w:val="clear" w:color="auto" w:fill="EFEFEE"/>
          </w:tcPr>
          <w:p>
            <w:pPr>
              <w:spacing w:after="0"/>
              <w:rPr>
                <w:sz w:val="21"/>
                <w:szCs w:val="21"/>
                <w:color w:val="auto"/>
              </w:rPr>
            </w:pPr>
          </w:p>
        </w:tc>
        <w:tc>
          <w:tcPr>
            <w:tcW w:w="760" w:type="dxa"/>
            <w:vAlign w:val="bottom"/>
            <w:tcBorders>
              <w:bottom w:val="single" w:sz="8" w:color="EFEFEE"/>
            </w:tcBorders>
            <w:shd w:val="clear" w:color="auto" w:fill="EFEFEE"/>
          </w:tcPr>
          <w:p>
            <w:pPr>
              <w:spacing w:after="0"/>
              <w:rPr>
                <w:sz w:val="21"/>
                <w:szCs w:val="21"/>
                <w:color w:val="auto"/>
              </w:rPr>
            </w:pPr>
          </w:p>
        </w:tc>
        <w:tc>
          <w:tcPr>
            <w:tcW w:w="800" w:type="dxa"/>
            <w:vAlign w:val="bottom"/>
            <w:tcBorders>
              <w:bottom w:val="single" w:sz="8" w:color="EFEFEE"/>
            </w:tcBorders>
            <w:shd w:val="clear" w:color="auto" w:fill="EFEFEE"/>
          </w:tcPr>
          <w:p>
            <w:pPr>
              <w:spacing w:after="0"/>
              <w:rPr>
                <w:sz w:val="21"/>
                <w:szCs w:val="21"/>
                <w:color w:val="auto"/>
              </w:rPr>
            </w:pPr>
          </w:p>
        </w:tc>
        <w:tc>
          <w:tcPr>
            <w:tcW w:w="860" w:type="dxa"/>
            <w:vAlign w:val="bottom"/>
            <w:tcBorders>
              <w:bottom w:val="single" w:sz="8" w:color="EFEFEE"/>
            </w:tcBorders>
            <w:shd w:val="clear" w:color="auto" w:fill="EFEFEE"/>
          </w:tcPr>
          <w:p>
            <w:pPr>
              <w:spacing w:after="0"/>
              <w:rPr>
                <w:sz w:val="21"/>
                <w:szCs w:val="21"/>
                <w:color w:val="auto"/>
              </w:rPr>
            </w:pPr>
          </w:p>
        </w:tc>
        <w:tc>
          <w:tcPr>
            <w:tcW w:w="820" w:type="dxa"/>
            <w:vAlign w:val="bottom"/>
            <w:tcBorders>
              <w:bottom w:val="single" w:sz="8" w:color="EFEFEE"/>
            </w:tcBorders>
            <w:shd w:val="clear" w:color="auto" w:fill="EFEFEE"/>
          </w:tcPr>
          <w:p>
            <w:pPr>
              <w:spacing w:after="0"/>
              <w:rPr>
                <w:sz w:val="21"/>
                <w:szCs w:val="21"/>
                <w:color w:val="auto"/>
              </w:rPr>
            </w:pPr>
          </w:p>
        </w:tc>
        <w:tc>
          <w:tcPr>
            <w:tcW w:w="740" w:type="dxa"/>
            <w:vAlign w:val="bottom"/>
            <w:tcBorders>
              <w:bottom w:val="single" w:sz="8" w:color="EFEFEE"/>
            </w:tcBorders>
            <w:shd w:val="clear" w:color="auto" w:fill="EFEFEE"/>
          </w:tcPr>
          <w:p>
            <w:pPr>
              <w:spacing w:after="0"/>
              <w:rPr>
                <w:sz w:val="21"/>
                <w:szCs w:val="21"/>
                <w:color w:val="auto"/>
              </w:rPr>
            </w:pPr>
          </w:p>
        </w:tc>
        <w:tc>
          <w:tcPr>
            <w:tcW w:w="620" w:type="dxa"/>
            <w:vAlign w:val="bottom"/>
            <w:tcBorders>
              <w:bottom w:val="single" w:sz="8" w:color="EFEFEE"/>
            </w:tcBorders>
            <w:shd w:val="clear" w:color="auto" w:fill="EFEFEE"/>
          </w:tcPr>
          <w:p>
            <w:pPr>
              <w:spacing w:after="0"/>
              <w:rPr>
                <w:sz w:val="21"/>
                <w:szCs w:val="21"/>
                <w:color w:val="auto"/>
              </w:rPr>
            </w:pPr>
          </w:p>
        </w:tc>
      </w:tr>
      <w:tr>
        <w:trPr>
          <w:trHeight w:val="334"/>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7"/>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47"/>
        </w:trPr>
        <w:tc>
          <w:tcPr>
            <w:tcW w:w="1300" w:type="dxa"/>
            <w:vAlign w:val="bottom"/>
            <w:tcBorders>
              <w:bottom w:val="single" w:sz="8" w:color="EFEFEE"/>
            </w:tcBorders>
            <w:shd w:val="clear" w:color="auto" w:fill="EFEFEE"/>
          </w:tcPr>
          <w:p>
            <w:pPr>
              <w:spacing w:after="0"/>
              <w:rPr>
                <w:sz w:val="21"/>
                <w:szCs w:val="21"/>
                <w:color w:val="auto"/>
              </w:rPr>
            </w:pPr>
          </w:p>
        </w:tc>
        <w:tc>
          <w:tcPr>
            <w:tcW w:w="1320" w:type="dxa"/>
            <w:vAlign w:val="bottom"/>
            <w:tcBorders>
              <w:bottom w:val="single" w:sz="8" w:color="EFEFEE"/>
            </w:tcBorders>
            <w:shd w:val="clear" w:color="auto" w:fill="EFEFEE"/>
          </w:tcPr>
          <w:p>
            <w:pPr>
              <w:spacing w:after="0"/>
              <w:rPr>
                <w:sz w:val="21"/>
                <w:szCs w:val="21"/>
                <w:color w:val="auto"/>
              </w:rPr>
            </w:pPr>
          </w:p>
        </w:tc>
        <w:tc>
          <w:tcPr>
            <w:tcW w:w="960" w:type="dxa"/>
            <w:vAlign w:val="bottom"/>
            <w:tcBorders>
              <w:bottom w:val="single" w:sz="8" w:color="EFEFEE"/>
            </w:tcBorders>
            <w:shd w:val="clear" w:color="auto" w:fill="EFEFEE"/>
          </w:tcPr>
          <w:p>
            <w:pPr>
              <w:spacing w:after="0"/>
              <w:rPr>
                <w:sz w:val="21"/>
                <w:szCs w:val="21"/>
                <w:color w:val="auto"/>
              </w:rPr>
            </w:pPr>
          </w:p>
        </w:tc>
        <w:tc>
          <w:tcPr>
            <w:tcW w:w="880" w:type="dxa"/>
            <w:vAlign w:val="bottom"/>
            <w:tcBorders>
              <w:bottom w:val="single" w:sz="8" w:color="EFEFEE"/>
            </w:tcBorders>
            <w:shd w:val="clear" w:color="auto" w:fill="EFEFEE"/>
          </w:tcPr>
          <w:p>
            <w:pPr>
              <w:spacing w:after="0"/>
              <w:rPr>
                <w:sz w:val="21"/>
                <w:szCs w:val="21"/>
                <w:color w:val="auto"/>
              </w:rPr>
            </w:pPr>
          </w:p>
        </w:tc>
        <w:tc>
          <w:tcPr>
            <w:tcW w:w="760" w:type="dxa"/>
            <w:vAlign w:val="bottom"/>
            <w:tcBorders>
              <w:bottom w:val="single" w:sz="8" w:color="EFEFEE"/>
            </w:tcBorders>
            <w:shd w:val="clear" w:color="auto" w:fill="EFEFEE"/>
          </w:tcPr>
          <w:p>
            <w:pPr>
              <w:spacing w:after="0"/>
              <w:rPr>
                <w:sz w:val="21"/>
                <w:szCs w:val="21"/>
                <w:color w:val="auto"/>
              </w:rPr>
            </w:pPr>
          </w:p>
        </w:tc>
        <w:tc>
          <w:tcPr>
            <w:tcW w:w="800" w:type="dxa"/>
            <w:vAlign w:val="bottom"/>
            <w:tcBorders>
              <w:bottom w:val="single" w:sz="8" w:color="EFEFEE"/>
            </w:tcBorders>
            <w:shd w:val="clear" w:color="auto" w:fill="EFEFEE"/>
          </w:tcPr>
          <w:p>
            <w:pPr>
              <w:spacing w:after="0"/>
              <w:rPr>
                <w:sz w:val="21"/>
                <w:szCs w:val="21"/>
                <w:color w:val="auto"/>
              </w:rPr>
            </w:pPr>
          </w:p>
        </w:tc>
        <w:tc>
          <w:tcPr>
            <w:tcW w:w="860" w:type="dxa"/>
            <w:vAlign w:val="bottom"/>
            <w:tcBorders>
              <w:bottom w:val="single" w:sz="8" w:color="EFEFEE"/>
            </w:tcBorders>
            <w:shd w:val="clear" w:color="auto" w:fill="EFEFEE"/>
          </w:tcPr>
          <w:p>
            <w:pPr>
              <w:spacing w:after="0"/>
              <w:rPr>
                <w:sz w:val="21"/>
                <w:szCs w:val="21"/>
                <w:color w:val="auto"/>
              </w:rPr>
            </w:pPr>
          </w:p>
        </w:tc>
        <w:tc>
          <w:tcPr>
            <w:tcW w:w="820" w:type="dxa"/>
            <w:vAlign w:val="bottom"/>
            <w:tcBorders>
              <w:bottom w:val="single" w:sz="8" w:color="EFEFEE"/>
            </w:tcBorders>
            <w:shd w:val="clear" w:color="auto" w:fill="EFEFEE"/>
          </w:tcPr>
          <w:p>
            <w:pPr>
              <w:spacing w:after="0"/>
              <w:rPr>
                <w:sz w:val="21"/>
                <w:szCs w:val="21"/>
                <w:color w:val="auto"/>
              </w:rPr>
            </w:pPr>
          </w:p>
        </w:tc>
        <w:tc>
          <w:tcPr>
            <w:tcW w:w="740" w:type="dxa"/>
            <w:vAlign w:val="bottom"/>
            <w:tcBorders>
              <w:bottom w:val="single" w:sz="8" w:color="EFEFEE"/>
            </w:tcBorders>
            <w:shd w:val="clear" w:color="auto" w:fill="EFEFEE"/>
          </w:tcPr>
          <w:p>
            <w:pPr>
              <w:spacing w:after="0"/>
              <w:rPr>
                <w:sz w:val="21"/>
                <w:szCs w:val="21"/>
                <w:color w:val="auto"/>
              </w:rPr>
            </w:pPr>
          </w:p>
        </w:tc>
        <w:tc>
          <w:tcPr>
            <w:tcW w:w="620" w:type="dxa"/>
            <w:vAlign w:val="bottom"/>
            <w:tcBorders>
              <w:bottom w:val="single" w:sz="8" w:color="EFEFEE"/>
            </w:tcBorders>
            <w:shd w:val="clear" w:color="auto" w:fill="EFEFEE"/>
          </w:tcPr>
          <w:p>
            <w:pPr>
              <w:spacing w:after="0"/>
              <w:rPr>
                <w:sz w:val="21"/>
                <w:szCs w:val="21"/>
                <w:color w:val="auto"/>
              </w:rPr>
            </w:pPr>
          </w:p>
        </w:tc>
      </w:tr>
      <w:tr>
        <w:trPr>
          <w:trHeight w:val="334"/>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-2352040</wp:posOffset>
            </wp:positionV>
            <wp:extent cx="6929755" cy="237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23749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-1876425</wp:posOffset>
            </wp:positionV>
            <wp:extent cx="6929755" cy="237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23749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-1400810</wp:posOffset>
            </wp:positionV>
            <wp:extent cx="6929755" cy="237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23749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-925195</wp:posOffset>
            </wp:positionV>
            <wp:extent cx="6929755" cy="2374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23749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-449580</wp:posOffset>
            </wp:positionV>
            <wp:extent cx="6929755" cy="237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25400</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320" w:space="700"/>
            <w:col w:w="9060"/>
          </w:cols>
          <w:pgMar w:left="320" w:top="456" w:right="499" w:bottom="1440" w:gutter="0" w:footer="0" w:header="0"/>
          <w:type w:val="continuous"/>
        </w:sectPr>
      </w:pPr>
    </w:p>
    <w:p>
      <w:pPr>
        <w:ind w:left="160"/>
        <w:spacing w:after="0" w:line="234" w:lineRule="auto"/>
        <w:rPr>
          <w:sz w:val="20"/>
          <w:szCs w:val="20"/>
          <w:color w:val="auto"/>
        </w:rPr>
      </w:pPr>
      <w:r>
        <w:rPr>
          <w:rFonts w:ascii="Arial" w:cs="Arial" w:eastAsia="Arial" w:hAnsi="Arial"/>
          <w:sz w:val="20"/>
          <w:szCs w:val="20"/>
          <w:color w:val="3E3935"/>
        </w:rPr>
        <w:t>Further information on each nominee’s qualifications and relevant experience is provided on the following pages. We believe each of your Board’s nominees is highly qualified with unique experiences that are particularly beneficial to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82550</wp:posOffset>
            </wp:positionV>
            <wp:extent cx="5927725" cy="101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5"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4</w:t>
      </w:r>
    </w:p>
    <w:p>
      <w:pPr>
        <w:sectPr>
          <w:pgSz w:w="11900" w:h="16838" w:orient="portrait"/>
          <w:cols w:equalWidth="0" w:num="1">
            <w:col w:w="1108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Director Biographies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9"/>
          <w:szCs w:val="19"/>
          <w:color w:val="3E3935"/>
        </w:rPr>
        <w:t>Set forth below is a short biography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152400</wp:posOffset>
            </wp:positionV>
            <wp:extent cx="1256665" cy="1256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0071CE"/>
        </w:rPr>
        <w:t>Mary T. Barra, 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20"/>
          <w:szCs w:val="20"/>
          <w:i w:val="1"/>
          <w:iCs w:val="1"/>
          <w:color w:val="3E3935"/>
        </w:rPr>
        <w:t>Chairman &amp; Chief Executive Officer,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0"/>
          <w:szCs w:val="20"/>
          <w:i w:val="1"/>
          <w:iCs w:val="1"/>
          <w:color w:val="3E3935"/>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261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Executive (Chair)</w:t>
      </w:r>
    </w:p>
    <w:p>
      <w:pPr>
        <w:spacing w:after="0" w:line="128" w:lineRule="exact"/>
        <w:rPr>
          <w:sz w:val="20"/>
          <w:szCs w:val="20"/>
          <w:color w:val="auto"/>
        </w:rPr>
      </w:pPr>
    </w:p>
    <w:p>
      <w:pPr>
        <w:ind w:left="160"/>
        <w:spacing w:after="0"/>
        <w:tabs>
          <w:tab w:leader="none" w:pos="1040" w:val="left"/>
          <w:tab w:leader="none" w:pos="1800" w:val="left"/>
          <w:tab w:leader="none" w:pos="2880" w:val="left"/>
          <w:tab w:leader="none" w:pos="4360" w:val="left"/>
          <w:tab w:leader="none" w:pos="4900" w:val="left"/>
        </w:tabs>
        <w:rPr>
          <w:sz w:val="20"/>
          <w:szCs w:val="20"/>
          <w:color w:val="auto"/>
        </w:rPr>
      </w:pPr>
      <w:r>
        <w:rPr>
          <w:rFonts w:ascii="Arial" w:cs="Arial" w:eastAsia="Arial" w:hAnsi="Arial"/>
          <w:sz w:val="20"/>
          <w:szCs w:val="20"/>
          <w:b w:val="1"/>
          <w:bCs w:val="1"/>
          <w:i w:val="1"/>
          <w:iCs w:val="1"/>
          <w:color w:val="00C1DE"/>
        </w:rPr>
        <w:t>Current</w:t>
        <w:tab/>
        <w:t>Public</w:t>
        <w:tab/>
        <w:t>Company</w:t>
        <w:tab/>
        <w:t>Directorships</w:t>
      </w:r>
      <w:r>
        <w:rPr>
          <w:rFonts w:ascii="Arial" w:cs="Arial" w:eastAsia="Arial" w:hAnsi="Arial"/>
          <w:sz w:val="20"/>
          <w:szCs w:val="20"/>
          <w:i w:val="1"/>
          <w:iCs w:val="1"/>
          <w:color w:val="00C1DE"/>
        </w:rPr>
        <w:t>:</w:t>
      </w:r>
      <w:r>
        <w:rPr>
          <w:sz w:val="20"/>
          <w:szCs w:val="20"/>
          <w:color w:val="auto"/>
        </w:rPr>
        <w:tab/>
      </w:r>
      <w:r>
        <w:rPr>
          <w:rFonts w:ascii="Arial" w:cs="Arial" w:eastAsia="Arial" w:hAnsi="Arial"/>
          <w:sz w:val="20"/>
          <w:szCs w:val="20"/>
          <w:color w:val="3E3935"/>
        </w:rPr>
        <w:t>The</w:t>
      </w:r>
      <w:r>
        <w:rPr>
          <w:sz w:val="20"/>
          <w:szCs w:val="20"/>
          <w:color w:val="auto"/>
        </w:rPr>
        <w:tab/>
      </w:r>
      <w:r>
        <w:rPr>
          <w:rFonts w:ascii="Arial" w:cs="Arial" w:eastAsia="Arial" w:hAnsi="Arial"/>
          <w:sz w:val="19"/>
          <w:szCs w:val="19"/>
          <w:color w:val="3E3935"/>
        </w:rPr>
        <w:t>Walt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Disney Company</w:t>
      </w:r>
    </w:p>
    <w:p>
      <w:pPr>
        <w:spacing w:after="0" w:line="120" w:lineRule="exact"/>
        <w:rPr>
          <w:sz w:val="20"/>
          <w:szCs w:val="20"/>
          <w:color w:val="auto"/>
        </w:rPr>
      </w:pPr>
    </w:p>
    <w:p>
      <w:pPr>
        <w:jc w:val="both"/>
        <w:ind w:left="160" w:right="200"/>
        <w:spacing w:after="0" w:line="254" w:lineRule="auto"/>
        <w:rPr>
          <w:sz w:val="20"/>
          <w:szCs w:val="20"/>
          <w:color w:val="auto"/>
        </w:rPr>
      </w:pPr>
      <w:r>
        <w:rPr>
          <w:rFonts w:ascii="Arial" w:cs="Arial" w:eastAsia="Arial" w:hAnsi="Arial"/>
          <w:sz w:val="20"/>
          <w:szCs w:val="20"/>
          <w:b w:val="1"/>
          <w:bCs w:val="1"/>
          <w:i w:val="1"/>
          <w:iCs w:val="1"/>
          <w:color w:val="00C1DE"/>
        </w:rPr>
        <w:t>Prior Public Company Directorships</w:t>
      </w:r>
      <w:r>
        <w:rPr>
          <w:rFonts w:ascii="Arial" w:cs="Arial" w:eastAsia="Arial" w:hAnsi="Arial"/>
          <w:sz w:val="20"/>
          <w:szCs w:val="20"/>
          <w:i w:val="1"/>
          <w:iCs w:val="1"/>
          <w:color w:val="00C1DE"/>
        </w:rPr>
        <w: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General Dynamics</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Corporation (2011 to 2017)</w:t>
      </w:r>
    </w:p>
    <w:p>
      <w:pPr>
        <w:spacing w:after="0" w:line="102" w:lineRule="exact"/>
        <w:rPr>
          <w:sz w:val="20"/>
          <w:szCs w:val="20"/>
          <w:color w:val="auto"/>
        </w:rPr>
      </w:pPr>
    </w:p>
    <w:p>
      <w:pPr>
        <w:jc w:val="both"/>
        <w:ind w:left="160" w:right="200"/>
        <w:spacing w:after="0" w:line="228" w:lineRule="auto"/>
        <w:rPr>
          <w:sz w:val="20"/>
          <w:szCs w:val="20"/>
          <w:color w:val="auto"/>
        </w:rPr>
      </w:pPr>
      <w:r>
        <w:rPr>
          <w:rFonts w:ascii="Arial" w:cs="Arial" w:eastAsia="Arial" w:hAnsi="Arial"/>
          <w:sz w:val="20"/>
          <w:szCs w:val="20"/>
          <w:b w:val="1"/>
          <w:bCs w:val="1"/>
          <w:i w:val="1"/>
          <w:iCs w:val="1"/>
          <w:color w:val="00C1DE"/>
        </w:rPr>
        <w:t>Prior Experience</w:t>
      </w:r>
      <w:r>
        <w:rPr>
          <w:rFonts w:ascii="Arial" w:cs="Arial" w:eastAsia="Arial" w:hAnsi="Arial"/>
          <w:sz w:val="20"/>
          <w:szCs w:val="20"/>
          <w:i w:val="1"/>
          <w:iCs w:val="1"/>
          <w:color w:val="00C1DE"/>
        </w:rPr>
        <w: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Ms. Barra has served as Chairman of</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GM’s Board of Directors since January 2016 and CEO of GM since January 2014. Prior to that time, she served as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at GM in 1980.</w:t>
      </w:r>
    </w:p>
    <w:p>
      <w:pPr>
        <w:spacing w:after="0" w:line="116" w:lineRule="exact"/>
        <w:rPr>
          <w:sz w:val="20"/>
          <w:szCs w:val="20"/>
          <w:color w:val="auto"/>
        </w:rPr>
      </w:pPr>
    </w:p>
    <w:p>
      <w:pPr>
        <w:jc w:val="both"/>
        <w:ind w:left="160" w:right="200"/>
        <w:spacing w:after="0" w:line="231" w:lineRule="auto"/>
        <w:rPr>
          <w:sz w:val="20"/>
          <w:szCs w:val="20"/>
          <w:color w:val="auto"/>
        </w:rPr>
      </w:pPr>
      <w:r>
        <w:rPr>
          <w:rFonts w:ascii="Arial" w:cs="Arial" w:eastAsia="Arial" w:hAnsi="Arial"/>
          <w:sz w:val="20"/>
          <w:szCs w:val="20"/>
          <w:b w:val="1"/>
          <w:bCs w:val="1"/>
          <w:i w:val="1"/>
          <w:iCs w:val="1"/>
          <w:color w:val="00C1DE"/>
        </w:rPr>
        <w:t>Reasons for Nomination</w:t>
      </w:r>
      <w:r>
        <w:rPr>
          <w:rFonts w:ascii="Arial" w:cs="Arial" w:eastAsia="Arial" w:hAnsi="Arial"/>
          <w:sz w:val="20"/>
          <w:szCs w:val="20"/>
          <w:i w:val="1"/>
          <w:iCs w:val="1"/>
          <w:color w:val="00C1DE"/>
        </w:rPr>
        <w: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Ms. Barra has in-depth</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knowledge of the Company and the global automotive industry; extensive senior leadership, strategic planning, operational, and business experience; and a strong engineering background with experience in global product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Wesley G. Bush, 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-1456690</wp:posOffset>
            </wp:positionV>
            <wp:extent cx="1256665" cy="1256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Chairman &amp;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3883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Executive Compensation, Finance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Dow Inc. and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3E3935"/>
        </w:rPr>
        <w:t>Cisco Systems Inc.</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Norfolk Southern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Corporation and Northrop Grumman Corporation (“Northrop Grumman”)</w:t>
      </w:r>
    </w:p>
    <w:p>
      <w:pPr>
        <w:spacing w:after="0" w:line="11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Bush served as Chairman of the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Board of Directors of Northrop Grumman from 2011 to 2019. He also served as the CEO of Northrop Grumman from 2010 to 2018. Prior to that, Mr. Bush served in numerous leadership roles at Northrop Grumman, including President and Chief Operating Officer, Chief Financial Officer, and President of the company’s Space Technology sector. He also served in a variety of leadership positions at TRW, Inc., before it was acquired by Northrop Grumman in 2002.</w:t>
      </w:r>
    </w:p>
    <w:p>
      <w:pPr>
        <w:spacing w:after="0" w:line="11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Bush has valuable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experience in a manufacturing enterprise known for its advanced engineering and technology; strong financial acumen; and knowledge of key governance issues, including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92710</wp:posOffset>
            </wp:positionV>
            <wp:extent cx="5927725" cy="101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1" w:lineRule="exact"/>
        <w:rPr>
          <w:sz w:val="20"/>
          <w:szCs w:val="20"/>
          <w:color w:val="auto"/>
        </w:rPr>
      </w:pPr>
    </w:p>
    <w:p>
      <w:pPr>
        <w:ind w:left="4820"/>
        <w:spacing w:after="0"/>
        <w:rPr>
          <w:sz w:val="20"/>
          <w:szCs w:val="20"/>
          <w:color w:val="auto"/>
        </w:rPr>
      </w:pPr>
      <w:r>
        <w:rPr>
          <w:rFonts w:ascii="Arial" w:cs="Arial" w:eastAsia="Arial" w:hAnsi="Arial"/>
          <w:sz w:val="14"/>
          <w:szCs w:val="14"/>
          <w:color w:val="0071CE"/>
        </w:rPr>
        <w:t>5</w:t>
      </w:r>
    </w:p>
    <w:p>
      <w:pPr>
        <w:sectPr>
          <w:pgSz w:w="11900" w:h="16838" w:orient="portrait"/>
          <w:cols w:equalWidth="0" w:num="2">
            <w:col w:w="5500" w:space="360"/>
            <w:col w:w="5220"/>
          </w:cols>
          <w:pgMar w:left="320" w:top="456" w:right="4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231775</wp:posOffset>
            </wp:positionV>
            <wp:extent cx="1256665" cy="12566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231775</wp:posOffset>
            </wp:positionV>
            <wp:extent cx="1256665" cy="1256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Linda R. Gooden, 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42" w:lineRule="exact"/>
        <w:rPr>
          <w:sz w:val="20"/>
          <w:szCs w:val="20"/>
          <w:color w:val="auto"/>
        </w:rPr>
      </w:pPr>
    </w:p>
    <w:p>
      <w:pPr>
        <w:jc w:val="center"/>
        <w:ind w:left="160"/>
        <w:spacing w:after="0" w:line="255" w:lineRule="auto"/>
        <w:rPr>
          <w:sz w:val="20"/>
          <w:szCs w:val="20"/>
          <w:color w:val="auto"/>
        </w:rPr>
      </w:pPr>
      <w:r>
        <w:rPr>
          <w:rFonts w:ascii="Arial" w:cs="Arial" w:eastAsia="Arial" w:hAnsi="Arial"/>
          <w:sz w:val="19"/>
          <w:szCs w:val="19"/>
          <w:i w:val="1"/>
          <w:iCs w:val="1"/>
          <w:color w:val="3E3935"/>
        </w:rPr>
        <w:t>Retired Executive Vice President, Information Systems &amp; Global Solutions,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32613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62"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Executive, Risk and Cybersecurity</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(Chair)</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The  Home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Depot, Inc.</w:t>
      </w:r>
    </w:p>
    <w:p>
      <w:pPr>
        <w:spacing w:after="0" w:line="120"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WGL Holdings,</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Inc., and Washington Gas &amp; Light Company, a subsidiary of WGL Holdings, Inc.</w:t>
      </w:r>
    </w:p>
    <w:p>
      <w:pPr>
        <w:spacing w:after="0" w:line="115"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Gooden served as Executive Vice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President, Information Systems and Global Solutions of Lockheed Martin Corporation (“Lockheed Martin”) from 2007 to 2013. She also served as Lockheed Martin’s Deputy Executive Vice President, Information and Technology Services from October to December 2006, and as its President, Information Technology from 1997 to December 2006.</w:t>
      </w:r>
    </w:p>
    <w:p>
      <w:pPr>
        <w:spacing w:after="0" w:line="117"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Gooden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expertise in cybersecurity and information technology, operational and strategic planning, and 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90805</wp:posOffset>
            </wp:positionV>
            <wp:extent cx="5927725" cy="101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28" w:lineRule="exact"/>
        <w:rPr>
          <w:sz w:val="20"/>
          <w:szCs w:val="20"/>
          <w:color w:val="auto"/>
        </w:rPr>
      </w:pPr>
    </w:p>
    <w:p>
      <w:pPr>
        <w:jc w:val="center"/>
        <w:ind w:right="4900"/>
        <w:spacing w:after="0"/>
        <w:rPr>
          <w:sz w:val="20"/>
          <w:szCs w:val="20"/>
          <w:color w:val="auto"/>
        </w:rPr>
      </w:pPr>
      <w:r>
        <w:rPr>
          <w:rFonts w:ascii="Arial" w:cs="Arial" w:eastAsia="Arial" w:hAnsi="Arial"/>
          <w:sz w:val="14"/>
          <w:szCs w:val="14"/>
          <w:color w:val="0071CE"/>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60"/>
        <w:spacing w:after="0"/>
        <w:rPr>
          <w:sz w:val="20"/>
          <w:szCs w:val="20"/>
          <w:color w:val="auto"/>
        </w:rPr>
      </w:pPr>
      <w:r>
        <w:rPr>
          <w:rFonts w:ascii="Arial" w:cs="Arial" w:eastAsia="Arial" w:hAnsi="Arial"/>
          <w:sz w:val="21"/>
          <w:szCs w:val="21"/>
          <w:b w:val="1"/>
          <w:bCs w:val="1"/>
          <w:color w:val="0071CE"/>
        </w:rPr>
        <w:t>Joseph Jimenez, 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170180</wp:posOffset>
            </wp:positionV>
            <wp:extent cx="33883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Executive, Executive Compensation, Finance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(Chair), Risk and Cybersecurity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Current Public Company Directorships</w:t>
      </w:r>
      <w:r>
        <w:rPr>
          <w:rFonts w:ascii="Arial" w:cs="Arial" w:eastAsia="Arial" w:hAnsi="Arial"/>
          <w:sz w:val="20"/>
          <w:szCs w:val="20"/>
          <w:i w:val="1"/>
          <w:iCs w:val="1"/>
          <w:color w:val="00C1DE"/>
        </w:rPr>
        <w: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The Procter &amp;</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3E3935"/>
        </w:rPr>
        <w:t>Gamble Co.</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C1DE"/>
        </w:rPr>
        <w:t>Prior Public Company Directorships</w:t>
      </w:r>
      <w:r>
        <w:rPr>
          <w:rFonts w:ascii="Arial" w:cs="Arial" w:eastAsia="Arial" w:hAnsi="Arial"/>
          <w:sz w:val="20"/>
          <w:szCs w:val="20"/>
          <w:i w:val="1"/>
          <w:iCs w:val="1"/>
          <w:color w:val="00C1DE"/>
        </w:rPr>
        <w: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Colgate-Palmolive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Company (2010 to 2015)</w:t>
      </w:r>
    </w:p>
    <w:p>
      <w:pPr>
        <w:spacing w:after="0" w:line="1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Jimenez served as CEO of Novartis</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AG (“Novartis”) from 2010 until his retirement in 2018. He led Novartis’ Pharmaceuticals Division from October 2007 to 2010 and its Consumer Health Division in 2007. From 2006 to 2007, Mr. Jimenez served as Advisor to the Blackstone Group L.P. He was Executive Vice President, President, and CEO of Heinz Europe from 2002 to 2006; and President and CEO of H.J. Heinz Company North America from 1999 to 2002.</w:t>
      </w:r>
    </w:p>
    <w:p>
      <w:pPr>
        <w:spacing w:after="0" w:line="12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Jimenez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senior leadership experience in the consumer products industry, international operations, strategic planning, and finance.</w:t>
      </w:r>
    </w:p>
    <w:p>
      <w:pPr>
        <w:sectPr>
          <w:pgSz w:w="11900" w:h="16838" w:orient="portrait"/>
          <w:cols w:equalWidth="0" w:num="2">
            <w:col w:w="5300" w:space="560"/>
            <w:col w:w="5220"/>
          </w:cols>
          <w:pgMar w:left="320" w:top="456" w:right="49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231775</wp:posOffset>
            </wp:positionV>
            <wp:extent cx="1256665" cy="12566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231775</wp:posOffset>
            </wp:positionV>
            <wp:extent cx="1256665" cy="12566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Jane L. Mendillo, 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35"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Retired President &amp; Chief Executive Officer,</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Harvard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32613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Finance, Governance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Current Public Company Directorships</w:t>
      </w:r>
      <w:r>
        <w:rPr>
          <w:rFonts w:ascii="Arial" w:cs="Arial" w:eastAsia="Arial" w:hAnsi="Arial"/>
          <w:sz w:val="20"/>
          <w:szCs w:val="20"/>
          <w:i w:val="1"/>
          <w:iCs w:val="1"/>
          <w:color w:val="00C1DE"/>
        </w:rPr>
        <w: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Lazard Ltd.</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None</w:t>
      </w:r>
    </w:p>
    <w:p>
      <w:pPr>
        <w:spacing w:after="0" w:line="144"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Mendillo was President and CEO</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of the Harvard Management Company (“HMC”) from 2008 to 2014. From 2002 to 2008, she was Chief Investment Officer of Wellesley College. Before that, she spent 15 years at HMC in a wide range of investment management positions, including investments in public and private markets, both domestic and international. She previously chaired the Partners Healthcare System’s investment committee, served as a member of Yale University’s and the Rockefeller Foundation’s investment committees and as a director and investment committee member of the Mellon Foundation and the Boston Foundation. She is currently an advisor and trustee of the Old Mountain Private Trust Company.</w:t>
      </w:r>
    </w:p>
    <w:p>
      <w:pPr>
        <w:spacing w:after="0" w:line="124"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Mendillo has experience in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risk and crisis management, as well as valuable insight into GM’s capital allocation framework, financial policies, and business strategies.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Judith A. Miscik, 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Chief Executive Officer &amp; Vice Chairman,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Kissinger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68580</wp:posOffset>
            </wp:positionV>
            <wp:extent cx="33883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Finance, Risk and Cybersecurity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Morgan Stanley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3E3935"/>
        </w:rPr>
        <w:t>and HP, Inc.</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EMC Corporation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(2012 to 2016) and Pivotal Software, Inc. (2014 to 2016)</w:t>
      </w:r>
    </w:p>
    <w:p>
      <w:pPr>
        <w:spacing w:after="0" w:line="10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In 2017, Ms. Miscik was appointed as</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and Vice Chairman of Kissinger Associates, Inc. (“Kissinger Associates”). Prior to that time, she served as Co-Chief Executive Officer and Vice Chairman of Kissinger Associates from 2015 to 2017 and as President and Vice Chairman of Kissinger Associates from 2009 to 2015. Prior to joining Kissinger Associates, Ms. Miscik was the Global Head of Sovereign Risk at Lehman Brothers from 2005 to 2008; and from 2002 to 2005, she served as Deputy Director for Intelligence at the U.S. Central Intelligence Agency, where she worked from 1983 to 2005.</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Miscik has a unique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extensive background in intelligence, security, and risk analysis, bringing valuable experience in assessing and mitigating geopolitical and macroeconomic risks in both the public and the private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92710</wp:posOffset>
            </wp:positionV>
            <wp:extent cx="5927725" cy="101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1" w:lineRule="exact"/>
        <w:rPr>
          <w:sz w:val="20"/>
          <w:szCs w:val="20"/>
          <w:color w:val="auto"/>
        </w:rPr>
      </w:pPr>
    </w:p>
    <w:p>
      <w:pPr>
        <w:ind w:left="4820"/>
        <w:spacing w:after="0"/>
        <w:rPr>
          <w:sz w:val="20"/>
          <w:szCs w:val="20"/>
          <w:color w:val="auto"/>
        </w:rPr>
      </w:pPr>
      <w:r>
        <w:rPr>
          <w:rFonts w:ascii="Arial" w:cs="Arial" w:eastAsia="Arial" w:hAnsi="Arial"/>
          <w:sz w:val="14"/>
          <w:szCs w:val="14"/>
          <w:color w:val="0071CE"/>
        </w:rPr>
        <w:t>7</w:t>
      </w:r>
    </w:p>
    <w:p>
      <w:pPr>
        <w:sectPr>
          <w:pgSz w:w="11900" w:h="16838" w:orient="portrait"/>
          <w:cols w:equalWidth="0" w:num="2">
            <w:col w:w="5300" w:space="560"/>
            <w:col w:w="5220"/>
          </w:cols>
          <w:pgMar w:left="320" w:top="456" w:right="49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231775</wp:posOffset>
            </wp:positionV>
            <wp:extent cx="1256665" cy="12566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231775</wp:posOffset>
            </wp:positionV>
            <wp:extent cx="1256665" cy="12566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Patricia F. Russo, 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8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Chairman,</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Hewlett Packard Enterprise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32613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4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Executive, Executive Compensation,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Finance, Governance (Chair)</w:t>
      </w:r>
    </w:p>
    <w:p>
      <w:pPr>
        <w:spacing w:after="0" w:line="10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Hewlett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Packard Enterprise Company (Chairman), KKR Management LLC, and Merck &amp; Co. Inc.</w:t>
      </w:r>
    </w:p>
    <w:p>
      <w:pPr>
        <w:spacing w:after="0" w:line="115"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Hewlett-Packard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Company (2011 to 2015) (Lead Director 2014 to 2015) and Alcoa, Inc. (2016)</w:t>
      </w:r>
    </w:p>
    <w:p>
      <w:pPr>
        <w:spacing w:after="0" w:line="115" w:lineRule="exact"/>
        <w:rPr>
          <w:sz w:val="20"/>
          <w:szCs w:val="20"/>
          <w:color w:val="auto"/>
        </w:rPr>
      </w:pPr>
    </w:p>
    <w:p>
      <w:pPr>
        <w:jc w:val="both"/>
        <w:ind w:left="160"/>
        <w:spacing w:after="0"/>
        <w:rPr>
          <w:sz w:val="20"/>
          <w:szCs w:val="20"/>
          <w:color w:val="auto"/>
        </w:rPr>
      </w:pPr>
      <w:r>
        <w:rPr>
          <w:rFonts w:ascii="Arial" w:cs="Arial" w:eastAsia="Arial" w:hAnsi="Arial"/>
          <w:sz w:val="19"/>
          <w:szCs w:val="19"/>
          <w:b w:val="1"/>
          <w:bCs w:val="1"/>
          <w:i w:val="1"/>
          <w:iCs w:val="1"/>
          <w:color w:val="00C1DE"/>
        </w:rPr>
        <w:t xml:space="preserve">Prior Experience: </w:t>
      </w:r>
      <w:r>
        <w:rPr>
          <w:rFonts w:ascii="Arial" w:cs="Arial" w:eastAsia="Arial" w:hAnsi="Arial"/>
          <w:sz w:val="19"/>
          <w:szCs w:val="19"/>
          <w:color w:val="3E3935"/>
        </w:rPr>
        <w:t>Ms. Russo served as Lead Director of</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the Hewlett-Packard Company Board of Directors from 2014 to 2015. She was Independent Lead Director of the GM Board of Directors from March 2010 to January 2014 and will be the Independent Lead Director again, following Mr. Solso’s retirement. She also served as CEO of Alcatel-Lucent S.A. from 2006 to 2008; Chairman and CEO of Lucent Technologies, Inc., (“Lucent”) from 2003 to 2006; and President and CEO of Lucent from 2002 to 2006.</w:t>
      </w:r>
    </w:p>
    <w:p>
      <w:pPr>
        <w:spacing w:after="0" w:line="120"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Russo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senior leadership experience in corporate strategy, finance, sales and marketing, technology, and leadership development, as well as experience managing business-critical technology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636270</wp:posOffset>
            </wp:positionV>
            <wp:extent cx="5927725" cy="101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900"/>
        <w:spacing w:after="0"/>
        <w:rPr>
          <w:sz w:val="20"/>
          <w:szCs w:val="20"/>
          <w:color w:val="auto"/>
        </w:rPr>
      </w:pPr>
      <w:r>
        <w:rPr>
          <w:rFonts w:ascii="Arial" w:cs="Arial" w:eastAsia="Arial" w:hAnsi="Arial"/>
          <w:sz w:val="14"/>
          <w:szCs w:val="14"/>
          <w:color w:val="0071CE"/>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0071CE"/>
        </w:rPr>
        <w:t>Thomas M. Schoewe, 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62" w:lineRule="exact"/>
        <w:rPr>
          <w:sz w:val="20"/>
          <w:szCs w:val="20"/>
          <w:color w:val="auto"/>
        </w:rPr>
      </w:pPr>
    </w:p>
    <w:p>
      <w:pPr>
        <w:jc w:val="center"/>
        <w:ind w:left="1080" w:right="20"/>
        <w:spacing w:after="0" w:line="237" w:lineRule="auto"/>
        <w:rPr>
          <w:sz w:val="20"/>
          <w:szCs w:val="20"/>
          <w:color w:val="auto"/>
        </w:rPr>
      </w:pPr>
      <w:r>
        <w:rPr>
          <w:rFonts w:ascii="Arial" w:cs="Arial" w:eastAsia="Arial" w:hAnsi="Arial"/>
          <w:sz w:val="20"/>
          <w:szCs w:val="20"/>
          <w:i w:val="1"/>
          <w:iCs w:val="1"/>
          <w:color w:val="3E3935"/>
        </w:rPr>
        <w:t>Retired Executive Vice President &amp; Chief Financial Officer, 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66675</wp:posOffset>
            </wp:positionV>
            <wp:extent cx="33883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(Chair), Executive, Finance, Risk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Cybersecurity</w:t>
      </w:r>
    </w:p>
    <w:p>
      <w:pPr>
        <w:spacing w:after="0" w:line="97" w:lineRule="exact"/>
        <w:rPr>
          <w:sz w:val="20"/>
          <w:szCs w:val="20"/>
          <w:color w:val="auto"/>
        </w:rPr>
      </w:pPr>
    </w:p>
    <w:p>
      <w:pPr>
        <w:spacing w:after="0"/>
        <w:tabs>
          <w:tab w:leader="none" w:pos="1000" w:val="left"/>
          <w:tab w:leader="none" w:pos="1920" w:val="left"/>
          <w:tab w:leader="none" w:pos="3140" w:val="left"/>
          <w:tab w:leader="none" w:pos="4800" w:val="left"/>
        </w:tabs>
        <w:rPr>
          <w:sz w:val="20"/>
          <w:szCs w:val="20"/>
          <w:color w:val="auto"/>
        </w:rPr>
      </w:pPr>
      <w:r>
        <w:rPr>
          <w:rFonts w:ascii="Arial" w:cs="Arial" w:eastAsia="Arial" w:hAnsi="Arial"/>
          <w:sz w:val="20"/>
          <w:szCs w:val="20"/>
          <w:b w:val="1"/>
          <w:bCs w:val="1"/>
          <w:i w:val="1"/>
          <w:iCs w:val="1"/>
          <w:color w:val="00C1DE"/>
        </w:rPr>
        <w:t>Current</w:t>
        <w:tab/>
        <w:t>Public</w:t>
        <w:tab/>
        <w:t>Company</w:t>
        <w:tab/>
        <w:t>Directorships:</w:t>
      </w:r>
      <w:r>
        <w:rPr>
          <w:sz w:val="20"/>
          <w:szCs w:val="20"/>
          <w:color w:val="auto"/>
        </w:rPr>
        <w:tab/>
      </w:r>
      <w:r>
        <w:rPr>
          <w:rFonts w:ascii="Arial" w:cs="Arial" w:eastAsia="Arial" w:hAnsi="Arial"/>
          <w:sz w:val="19"/>
          <w:szCs w:val="19"/>
          <w:color w:val="3E3935"/>
        </w:rPr>
        <w:t>KKR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3E3935"/>
        </w:rPr>
        <w:t>Management LLC and Northrop Grumman</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C1DE"/>
        </w:rPr>
        <w:t xml:space="preserve">Prior Public Company Directorship: </w:t>
      </w:r>
      <w:r>
        <w:rPr>
          <w:rFonts w:ascii="Arial" w:cs="Arial" w:eastAsia="Arial" w:hAnsi="Arial"/>
          <w:sz w:val="20"/>
          <w:szCs w:val="20"/>
          <w:color w:val="3E3935"/>
        </w:rPr>
        <w:t>PulteGroup, Inc.</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(2009 to 2012)</w:t>
      </w:r>
    </w:p>
    <w:p>
      <w:pPr>
        <w:spacing w:after="0" w:line="10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Schoewe served as Executive Vice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President and CFO of Wal-Mart Stores, Inc. (“Wal-Mart”) from 2000 to 2011. Prior to joining Wal-Mart, he held several roles at the Black &amp; Decker Corporation (“Black &amp; Decker”), including Senior Vice President and CFO from 1996 to 1999, Vice President and CFO from 1993 to 1999, Vice President of Finance from 1989 to 1993, and Vice President of Business Planning and Analysis from 1986 to 1989. Before joining Black &amp; Decker, Mr. Schoewe worked for Beatrice Companies where he was CFO and Controller of one of its subsidiaries, Beatrice Consumer Durables Inc.</w:t>
      </w:r>
    </w:p>
    <w:p>
      <w:pPr>
        <w:spacing w:after="0" w:line="12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Schoewe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financial experience acquired through positions held as the CFO of large public companies, as well as expertise in Sarbanes-Oxley controls, risk management, and mergers and acquisitions. He also gained significant international experience through his service as an executive of large public companies with substantial international operations and large-scale transformational enterprise information technology implementations.</w:t>
      </w:r>
    </w:p>
    <w:p>
      <w:pPr>
        <w:sectPr>
          <w:pgSz w:w="11900" w:h="16838" w:orient="portrait"/>
          <w:cols w:equalWidth="0" w:num="2">
            <w:col w:w="5300" w:space="560"/>
            <w:col w:w="5220"/>
          </w:cols>
          <w:pgMar w:left="320" w:top="456" w:right="49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240030</wp:posOffset>
            </wp:positionV>
            <wp:extent cx="1256665" cy="12566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231775</wp:posOffset>
            </wp:positionV>
            <wp:extent cx="1256665" cy="12566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Carol M. Stephenson, O.C., 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6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Retired Dean,</w:t>
      </w:r>
    </w:p>
    <w:p>
      <w:pPr>
        <w:jc w:val="center"/>
        <w:ind w:left="160"/>
        <w:spacing w:after="0" w:line="227" w:lineRule="auto"/>
        <w:rPr>
          <w:sz w:val="20"/>
          <w:szCs w:val="20"/>
          <w:color w:val="auto"/>
        </w:rPr>
      </w:pPr>
      <w:r>
        <w:rPr>
          <w:rFonts w:ascii="Arial" w:cs="Arial" w:eastAsia="Arial" w:hAnsi="Arial"/>
          <w:sz w:val="20"/>
          <w:szCs w:val="20"/>
          <w:i w:val="1"/>
          <w:iCs w:val="1"/>
          <w:color w:val="3E3935"/>
        </w:rPr>
        <w:t>Ivey Business School,</w:t>
      </w:r>
    </w:p>
    <w:p>
      <w:pPr>
        <w:jc w:val="center"/>
        <w:ind w:left="160"/>
        <w:spacing w:after="0"/>
        <w:rPr>
          <w:sz w:val="20"/>
          <w:szCs w:val="20"/>
          <w:color w:val="auto"/>
        </w:rPr>
      </w:pPr>
      <w:r>
        <w:rPr>
          <w:rFonts w:ascii="Arial" w:cs="Arial" w:eastAsia="Arial" w:hAnsi="Arial"/>
          <w:sz w:val="20"/>
          <w:szCs w:val="20"/>
          <w:i w:val="1"/>
          <w:iCs w:val="1"/>
          <w:color w:val="3E3935"/>
        </w:rPr>
        <w:t>University of Western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32613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81"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Executive, Executive Compensation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w:t>
      </w:r>
    </w:p>
    <w:p>
      <w:pPr>
        <w:spacing w:after="0" w:line="10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Intact Financial</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Corporation (formerly ING Canada) and Maple Leaf Foods Inc.</w:t>
      </w:r>
    </w:p>
    <w:p>
      <w:pPr>
        <w:spacing w:after="0" w:line="115"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Ballard Power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Systems, Inc. (2012 to 2017) and Manitoba Telecom Services (2008 to 2016)</w:t>
      </w:r>
    </w:p>
    <w:p>
      <w:pPr>
        <w:spacing w:after="0" w:line="115"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Stephenson served as Dean of the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Ivey Business School at the University of Western Ontario from 2003 until her retirement in 2013. Prior to joining the Ivey Business School, she was President and CEO of Lucent Technologies Canada from 1999 to 2003 and a member of the Advisory Board of General Motors of Canada, Limited, a GM subsidiary, from 2005 to 2009. Ms. Stephenson is an officer of the Order of Canada.</w:t>
      </w:r>
    </w:p>
    <w:p>
      <w:pPr>
        <w:spacing w:after="0" w:line="117"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Stephenson has expertise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in marketing, operations, strategic planning, technology</w:t>
      </w:r>
    </w:p>
    <w:p>
      <w:pPr>
        <w:spacing w:after="0" w:line="2"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development, financial management, executive compensation, and North American trade issues.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Mark A. Tatum, 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Deputy Commissioner &amp; Chief Operating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National Basketball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144780</wp:posOffset>
            </wp:positionV>
            <wp:extent cx="33883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None</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Tatum joined the National Basketball</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Association (“NBA”) in 1999 and was appointed NBA Deputy Commissioner and Chief Operating Officer on February 1, 2014. Prior to that, he served in numerous leadership roles at the NBA, including Executive Vice President of Global Marketing Partnerships, Senior Vice President and Vice President of Business Development, Senior Director and Group Manager of Marketing Properties, and Director of Marketing Partnerships.</w:t>
      </w:r>
    </w:p>
    <w:p>
      <w:pPr>
        <w:spacing w:after="0" w:line="12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Tatum has extensive senior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experience in marketing and sales strategy, managing media relationships, and global business operations – with a particular expertise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634365</wp:posOffset>
            </wp:positionV>
            <wp:extent cx="5927725" cy="101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20"/>
        <w:spacing w:after="0"/>
        <w:rPr>
          <w:sz w:val="20"/>
          <w:szCs w:val="20"/>
          <w:color w:val="auto"/>
        </w:rPr>
      </w:pPr>
      <w:r>
        <w:rPr>
          <w:rFonts w:ascii="Arial" w:cs="Arial" w:eastAsia="Arial" w:hAnsi="Arial"/>
          <w:sz w:val="14"/>
          <w:szCs w:val="14"/>
          <w:color w:val="0071CE"/>
        </w:rPr>
        <w:t>9</w:t>
      </w:r>
    </w:p>
    <w:p>
      <w:pPr>
        <w:sectPr>
          <w:pgSz w:w="11900" w:h="16838" w:orient="portrait"/>
          <w:cols w:equalWidth="0" w:num="2">
            <w:col w:w="5300" w:space="560"/>
            <w:col w:w="5220"/>
          </w:cols>
          <w:pgMar w:left="320" w:top="456" w:right="49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231775</wp:posOffset>
            </wp:positionV>
            <wp:extent cx="1256665" cy="12566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231775</wp:posOffset>
            </wp:positionV>
            <wp:extent cx="1256665" cy="12566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71CE"/>
        </w:rPr>
        <w:t>Devin N. Wenig, 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0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Retired President &amp; Chief Executive Officer,</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3E3935"/>
        </w:rPr>
        <w:t>eBay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32613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Risk and Cybersecurity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None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00C1DE"/>
        </w:rPr>
        <w:t xml:space="preserve">Prior Public Company Directorships: </w:t>
      </w:r>
      <w:r>
        <w:rPr>
          <w:rFonts w:ascii="Arial" w:cs="Arial" w:eastAsia="Arial" w:hAnsi="Arial"/>
          <w:sz w:val="19"/>
          <w:szCs w:val="19"/>
          <w:color w:val="3E3935"/>
        </w:rPr>
        <w:t>eBay Inc. (“eBay”)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(2015 to 2019)</w:t>
      </w:r>
    </w:p>
    <w:p>
      <w:pPr>
        <w:spacing w:after="0" w:line="120"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Wenig served as President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of eBay and as a member of its Board of Directors from July 2015 to August 2019. Prior to that time, he served as President of eBay’s Marketplaces business from 2011 to July 2015. Prior to joining eBay, Mr. Wenig was CEO of Thomson Reuters Corporation’s largest division, Thomson Reuters Markets, from 2008 to 2011; Chief Operating Officer of Reuters Group plc (“Reuters”) from 2006 to 2008; and President of Reuters’ business divisions from 2003 to 2006.</w:t>
      </w:r>
    </w:p>
    <w:p>
      <w:pPr>
        <w:spacing w:after="0" w:line="116"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Wenig has extensive senior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experience in technology, global operations,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498475</wp:posOffset>
            </wp:positionV>
            <wp:extent cx="5927725" cy="101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71CE"/>
        </w:rPr>
        <w:t>Margaret C. Whitman, 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President &amp;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Hewlett Packard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85725</wp:posOffset>
            </wp:positionV>
            <wp:extent cx="33883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Current Public Company Directorships: </w:t>
      </w:r>
      <w:r>
        <w:rPr>
          <w:rFonts w:ascii="Arial" w:cs="Arial" w:eastAsia="Arial" w:hAnsi="Arial"/>
          <w:sz w:val="20"/>
          <w:szCs w:val="20"/>
          <w:color w:val="3E3935"/>
        </w:rPr>
        <w:t>The Procter &amp;</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3E3935"/>
        </w:rPr>
        <w:t>Gamble Co.</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Dropbox, Inc. (2017</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to 2020), Hewlett Packard Enterprise (“HPE”) (2015 to 2018), and HP, Inc. (2015 to 2017)</w:t>
      </w:r>
    </w:p>
    <w:p>
      <w:pPr>
        <w:spacing w:after="0" w:line="11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From April 2020 to October 2020,</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Ms. Whitman served as the CEO of Quibi. Prior to that, she served as President and CEO for HPE from 2015 to June 2017. From 2014 to 2015, Ms. Whitman served as President, Chief Executive Officer, and Chairman of Hewlett-Packard Company (now known as HP Inc.), the former parent of HPE, and as its President and CEO from 2011 to 2015. She also served as the President and CEO of eBay, Inc., from 1998 to 2008 and held numerous other leadership roles at Hasbro, Inc., Florists Transworld Delivery (FTD), Stride Rite, and the Walt Disney Co.</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Whitman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senior leadership experience in technology, global operations, and consumer-products.</w:t>
      </w:r>
    </w:p>
    <w:p>
      <w:pPr>
        <w:sectPr>
          <w:pgSz w:w="11900" w:h="16838" w:orient="portrait"/>
          <w:cols w:equalWidth="0" w:num="2">
            <w:col w:w="5300" w:space="560"/>
            <w:col w:w="5220"/>
          </w:cols>
          <w:pgMar w:left="320" w:top="456"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NON-EMPLOYEE DIRECTOR COMPENSATION</w:t>
      </w:r>
    </w:p>
    <w:p>
      <w:pPr>
        <w:sectPr>
          <w:pgSz w:w="11900" w:h="16838" w:orient="portrait"/>
          <w:cols w:equalWidth="0" w:num="1">
            <w:col w:w="11080"/>
          </w:cols>
          <w:pgMar w:left="320" w:top="456" w:right="499" w:bottom="1440" w:gutter="0" w:footer="0" w:header="0"/>
        </w:sectPr>
      </w:pPr>
    </w:p>
    <w:p>
      <w:pPr>
        <w:spacing w:after="0" w:line="34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Our non-employee directors receive cash compensation as well as equity compensation in the form of GM Deferred Share Units (“DSUs”) for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their Board service. Compensation for our non-employee directors is set by the Board at the recommendation of the Governance Committee.</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333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13335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3E3935"/>
        </w:rPr>
        <w:t>Fairly compensate directors for their responsibilities and time commitments.</w:t>
      </w:r>
    </w:p>
    <w:p>
      <w:pPr>
        <w:spacing w:after="0" w:line="158" w:lineRule="exact"/>
        <w:rPr>
          <w:sz w:val="20"/>
          <w:szCs w:val="20"/>
          <w:color w:val="auto"/>
        </w:rPr>
      </w:pPr>
    </w:p>
    <w:p>
      <w:pPr>
        <w:ind w:right="400" w:hanging="14"/>
        <w:spacing w:after="0" w:line="256" w:lineRule="auto"/>
        <w:rPr>
          <w:sz w:val="20"/>
          <w:szCs w:val="20"/>
          <w:color w:val="auto"/>
        </w:rPr>
      </w:pPr>
      <w:r>
        <w:rPr>
          <w:rFonts w:ascii="Arial" w:cs="Arial" w:eastAsia="Arial" w:hAnsi="Arial"/>
          <w:sz w:val="20"/>
          <w:szCs w:val="20"/>
          <w:color w:val="3E3935"/>
        </w:rPr>
        <w:t>Attract and retain highly qualified directors by offering a compensation program consistent with those at companies of similar size, scope, and complexity.</w:t>
      </w:r>
    </w:p>
    <w:p>
      <w:pPr>
        <w:spacing w:after="0" w:line="111" w:lineRule="exact"/>
        <w:rPr>
          <w:sz w:val="20"/>
          <w:szCs w:val="20"/>
          <w:color w:val="auto"/>
        </w:rPr>
      </w:pPr>
    </w:p>
    <w:p>
      <w:pPr>
        <w:ind w:right="400" w:hanging="14"/>
        <w:spacing w:after="0" w:line="256" w:lineRule="auto"/>
        <w:rPr>
          <w:sz w:val="20"/>
          <w:szCs w:val="20"/>
          <w:color w:val="auto"/>
        </w:rPr>
      </w:pPr>
      <w:r>
        <w:rPr>
          <w:rFonts w:ascii="Arial" w:cs="Arial" w:eastAsia="Arial" w:hAnsi="Arial"/>
          <w:sz w:val="20"/>
          <w:szCs w:val="20"/>
          <w:color w:val="3E3935"/>
        </w:rPr>
        <w:t>Align the interests of directors with our shareholders by providing a significant portion of compensation in equity and requiring directors to continue to own our common stock (or common stock equivalents) until retirement.</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3E3935"/>
        </w:rPr>
        <w:t>Provide compensation that is simple and transparent to shareholders.</w:t>
      </w:r>
    </w:p>
    <w:p>
      <w:pPr>
        <w:spacing w:after="0" w:line="215" w:lineRule="exact"/>
        <w:rPr>
          <w:sz w:val="20"/>
          <w:szCs w:val="20"/>
          <w:color w:val="auto"/>
        </w:rPr>
      </w:pPr>
    </w:p>
    <w:p>
      <w:pPr>
        <w:sectPr>
          <w:pgSz w:w="11900" w:h="16838" w:orient="portrait"/>
          <w:cols w:equalWidth="0" w:num="2">
            <w:col w:w="460" w:space="200"/>
            <w:col w:w="10420"/>
          </w:cols>
          <w:pgMar w:left="320" w:top="456" w:right="499" w:bottom="1440" w:gutter="0" w:footer="0" w:header="0"/>
          <w:type w:val="continuous"/>
        </w:sectPr>
      </w:pPr>
    </w:p>
    <w:p>
      <w:pPr>
        <w:spacing w:after="0" w:line="268" w:lineRule="exact"/>
        <w:rPr>
          <w:sz w:val="20"/>
          <w:szCs w:val="20"/>
          <w:color w:val="auto"/>
        </w:rPr>
      </w:pPr>
    </w:p>
    <w:p>
      <w:pPr>
        <w:ind w:left="700" w:hanging="533"/>
        <w:spacing w:after="0"/>
        <w:tabs>
          <w:tab w:leader="none" w:pos="700" w:val="left"/>
        </w:tabs>
        <w:numPr>
          <w:ilvl w:val="0"/>
          <w:numId w:val="5"/>
        </w:numPr>
        <w:rPr>
          <w:rFonts w:ascii="Arial" w:cs="Arial" w:eastAsia="Arial" w:hAnsi="Arial"/>
          <w:sz w:val="21"/>
          <w:szCs w:val="21"/>
          <w:color w:val="0071CE"/>
        </w:rPr>
      </w:pPr>
      <w:r>
        <w:rPr>
          <w:rFonts w:ascii="Arial" w:cs="Arial" w:eastAsia="Arial" w:hAnsi="Arial"/>
          <w:sz w:val="25"/>
          <w:szCs w:val="25"/>
          <w:color w:val="3E3935"/>
        </w:rPr>
        <w:t>Annual Review Process</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The Governance Committee annually assesses the form and amount of non-employee director compensation and recommends changes, if appropriate, to the Board. As part of its annual review, the Governance Committee conducts extensive benchmarking by reviewing director compensation data for the executive compensation peer group described in “Executive Compensation— Compensation Overview—Peer Group for Compensation Comparisons” on page 47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3E3935"/>
        </w:rPr>
        <w:t>In March 2020, the Board and the Governance Committee, in response to the COVID-19 pandemic, approved a 20% temporary reduction in the board retainer, effective April 1, 2020, until the restoration of employee base salaries, which occurred on September 1, 2020. In December 2020, the Governance Committee conducted another review of GM’s director compensation and recommended the Board maintain the reinstated structure and level of compensation and stock ownership requirements for 2021, absent the temporary reductions. Director compensation is set forth on pages 13 to 14 of this Proxy Statement.</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3"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Director Stock Ownership and 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146050</wp:posOffset>
            </wp:positionV>
            <wp:extent cx="6929755" cy="18510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185102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27"/>
          <w:szCs w:val="27"/>
          <w:color w:val="00C1DE"/>
        </w:rPr>
        <w:t>•</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20" w:right="400" w:hanging="4"/>
        <w:spacing w:after="0" w:line="256" w:lineRule="auto"/>
        <w:rPr>
          <w:sz w:val="20"/>
          <w:szCs w:val="20"/>
          <w:color w:val="auto"/>
        </w:rPr>
      </w:pPr>
      <w:r>
        <w:rPr>
          <w:rFonts w:ascii="Arial" w:cs="Arial" w:eastAsia="Arial" w:hAnsi="Arial"/>
          <w:sz w:val="20"/>
          <w:szCs w:val="20"/>
          <w:color w:val="3E3935"/>
        </w:rPr>
        <w:t>Each non-employee director is required to own our common stock or DSUs with a market value of at least $500,000.</w:t>
      </w:r>
    </w:p>
    <w:p>
      <w:pPr>
        <w:spacing w:after="0" w:line="111" w:lineRule="exact"/>
        <w:rPr>
          <w:sz w:val="20"/>
          <w:szCs w:val="20"/>
          <w:color w:val="auto"/>
        </w:rPr>
      </w:pPr>
    </w:p>
    <w:p>
      <w:pPr>
        <w:ind w:left="20" w:right="400" w:hanging="4"/>
        <w:spacing w:after="0" w:line="256" w:lineRule="auto"/>
        <w:rPr>
          <w:sz w:val="20"/>
          <w:szCs w:val="20"/>
          <w:color w:val="auto"/>
        </w:rPr>
      </w:pPr>
      <w:r>
        <w:rPr>
          <w:rFonts w:ascii="Arial" w:cs="Arial" w:eastAsia="Arial" w:hAnsi="Arial"/>
          <w:sz w:val="20"/>
          <w:szCs w:val="20"/>
          <w:color w:val="3E3935"/>
        </w:rPr>
        <w:t>Each director has up to five years from the date he or she is first elected to the Board to meet this ownership requirement.</w:t>
      </w:r>
    </w:p>
    <w:p>
      <w:pPr>
        <w:spacing w:after="0" w:line="111" w:lineRule="exact"/>
        <w:rPr>
          <w:sz w:val="20"/>
          <w:szCs w:val="20"/>
          <w:color w:val="auto"/>
        </w:rPr>
      </w:pPr>
    </w:p>
    <w:p>
      <w:pPr>
        <w:ind w:left="20" w:right="400" w:hanging="4"/>
        <w:spacing w:after="0" w:line="256" w:lineRule="auto"/>
        <w:rPr>
          <w:sz w:val="20"/>
          <w:szCs w:val="20"/>
          <w:color w:val="auto"/>
        </w:rPr>
      </w:pPr>
      <w:r>
        <w:rPr>
          <w:rFonts w:ascii="Arial" w:cs="Arial" w:eastAsia="Arial" w:hAnsi="Arial"/>
          <w:sz w:val="20"/>
          <w:szCs w:val="20"/>
          <w:color w:val="3E3935"/>
        </w:rPr>
        <w:t>Non-employee directors are prohibited from selling any GM securities or derivatives of GM securities, such as DSUs, while they are members of the Board.</w:t>
      </w:r>
    </w:p>
    <w:p>
      <w:pPr>
        <w:spacing w:after="0" w:line="111" w:lineRule="exact"/>
        <w:rPr>
          <w:sz w:val="20"/>
          <w:szCs w:val="20"/>
          <w:color w:val="auto"/>
        </w:rPr>
      </w:pPr>
    </w:p>
    <w:p>
      <w:pPr>
        <w:ind w:left="20" w:right="400" w:hanging="4"/>
        <w:spacing w:after="0" w:line="256" w:lineRule="auto"/>
        <w:rPr>
          <w:sz w:val="20"/>
          <w:szCs w:val="20"/>
          <w:color w:val="auto"/>
        </w:rPr>
      </w:pPr>
      <w:r>
        <w:rPr>
          <w:rFonts w:ascii="Arial" w:cs="Arial" w:eastAsia="Arial" w:hAnsi="Arial"/>
          <w:sz w:val="20"/>
          <w:szCs w:val="20"/>
          <w:color w:val="3E3935"/>
        </w:rPr>
        <w:t>Ownership guidelines are reviewed each year to confirm they continue to be effective in aligning the interests of the Board and our shareholders.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3E3935"/>
        </w:rPr>
        <w:t>All of our directors are in compliance with our stock retention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187325</wp:posOffset>
            </wp:positionV>
            <wp:extent cx="5927725" cy="101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60" w:space="180"/>
            <w:col w:w="10440"/>
          </w:cols>
          <w:pgMar w:left="320" w:top="456" w:right="499" w:bottom="1440" w:gutter="0" w:footer="0" w:header="0"/>
          <w:type w:val="continuous"/>
        </w:sectPr>
      </w:pPr>
    </w:p>
    <w:p>
      <w:pPr>
        <w:spacing w:after="0" w:line="84"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11</w:t>
      </w:r>
    </w:p>
    <w:p>
      <w:pPr>
        <w:sectPr>
          <w:pgSz w:w="11900" w:h="16838" w:orient="portrait"/>
          <w:cols w:equalWidth="0" w:num="1">
            <w:col w:w="11080"/>
          </w:cols>
          <w:pgMar w:left="320" w:top="456" w:right="4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Annual Compensation</w:t>
      </w:r>
    </w:p>
    <w:p>
      <w:pPr>
        <w:spacing w:after="0" w:line="296"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2020 and 2021 compensation for non-employee directors are described in the table below. We do not pay any other retainers or meeting fees. The Independent Lead Director and Committee Chairs receive additional compensation due to the increased workload and additional responsibilities associated with these positions. In particular, Mr. Solso’s compensation as Independent Lead Director reflects the additional time commitment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3E3935"/>
        </w:rPr>
        <w:t>this role, which includes, among other responsibilities, attending all Board Committee meetings and attending additional meetings with the Company’s senior management, including the CEO. For additional information about the roles and responsibilities of our Independent Lead Director, see “Corporate Governance—The Role of the Independent Lead Director” on page 16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-1894205</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5320" w:type="dxa"/>
            <w:vAlign w:val="bottom"/>
            <w:tcBorders>
              <w:top w:val="single" w:sz="8" w:color="00C1DE"/>
            </w:tcBorders>
          </w:tcPr>
          <w:p>
            <w:pPr>
              <w:spacing w:after="0"/>
              <w:rPr>
                <w:sz w:val="18"/>
                <w:szCs w:val="18"/>
                <w:color w:val="auto"/>
              </w:rPr>
            </w:pPr>
          </w:p>
        </w:tc>
        <w:tc>
          <w:tcPr>
            <w:tcW w:w="400" w:type="dxa"/>
            <w:vAlign w:val="bottom"/>
            <w:tcBorders>
              <w:top w:val="single" w:sz="8" w:color="00C1DE"/>
            </w:tcBorders>
          </w:tcPr>
          <w:p>
            <w:pPr>
              <w:spacing w:after="0"/>
              <w:rPr>
                <w:sz w:val="18"/>
                <w:szCs w:val="18"/>
                <w:color w:val="auto"/>
              </w:rPr>
            </w:pPr>
          </w:p>
        </w:tc>
        <w:tc>
          <w:tcPr>
            <w:tcW w:w="1040" w:type="dxa"/>
            <w:vAlign w:val="bottom"/>
            <w:tcBorders>
              <w:top w:val="single" w:sz="8" w:color="00C1DE"/>
            </w:tcBorders>
          </w:tcPr>
          <w:p>
            <w:pPr>
              <w:spacing w:after="0"/>
              <w:rPr>
                <w:sz w:val="18"/>
                <w:szCs w:val="18"/>
                <w:color w:val="auto"/>
              </w:rPr>
            </w:pPr>
          </w:p>
        </w:tc>
        <w:tc>
          <w:tcPr>
            <w:tcW w:w="500" w:type="dxa"/>
            <w:vAlign w:val="bottom"/>
            <w:tcBorders>
              <w:top w:val="single" w:sz="8" w:color="00C1DE"/>
            </w:tcBorders>
          </w:tcPr>
          <w:p>
            <w:pPr>
              <w:spacing w:after="0"/>
              <w:rPr>
                <w:sz w:val="18"/>
                <w:szCs w:val="18"/>
                <w:color w:val="auto"/>
              </w:rPr>
            </w:pPr>
          </w:p>
        </w:tc>
        <w:tc>
          <w:tcPr>
            <w:tcW w:w="1300" w:type="dxa"/>
            <w:vAlign w:val="bottom"/>
            <w:tcBorders>
              <w:top w:val="single" w:sz="8" w:color="00C1DE"/>
            </w:tcBorders>
          </w:tcPr>
          <w:p>
            <w:pPr>
              <w:jc w:val="right"/>
              <w:ind w:right="222"/>
              <w:spacing w:after="0" w:line="213" w:lineRule="exact"/>
              <w:rPr>
                <w:sz w:val="20"/>
                <w:szCs w:val="20"/>
                <w:color w:val="auto"/>
              </w:rPr>
            </w:pPr>
            <w:r>
              <w:rPr>
                <w:rFonts w:ascii="Arial" w:cs="Arial" w:eastAsia="Arial" w:hAnsi="Arial"/>
                <w:sz w:val="20"/>
                <w:szCs w:val="20"/>
                <w:b w:val="1"/>
                <w:bCs w:val="1"/>
                <w:color w:val="00C1DE"/>
              </w:rPr>
              <w:t>2020</w:t>
            </w:r>
          </w:p>
        </w:tc>
        <w:tc>
          <w:tcPr>
            <w:tcW w:w="480" w:type="dxa"/>
            <w:vAlign w:val="bottom"/>
            <w:tcBorders>
              <w:top w:val="single" w:sz="8" w:color="00C1DE"/>
            </w:tcBorders>
          </w:tcPr>
          <w:p>
            <w:pPr>
              <w:spacing w:after="0"/>
              <w:rPr>
                <w:sz w:val="18"/>
                <w:szCs w:val="18"/>
                <w:color w:val="auto"/>
              </w:rPr>
            </w:pPr>
          </w:p>
        </w:tc>
        <w:tc>
          <w:tcPr>
            <w:tcW w:w="1000" w:type="dxa"/>
            <w:vAlign w:val="bottom"/>
            <w:tcBorders>
              <w:top w:val="single" w:sz="8" w:color="00C1DE"/>
            </w:tcBorders>
          </w:tcPr>
          <w:p>
            <w:pPr>
              <w:spacing w:after="0"/>
              <w:rPr>
                <w:sz w:val="18"/>
                <w:szCs w:val="18"/>
                <w:color w:val="auto"/>
              </w:rPr>
            </w:pPr>
          </w:p>
        </w:tc>
      </w:tr>
      <w:tr>
        <w:trPr>
          <w:trHeight w:val="214"/>
        </w:trPr>
        <w:tc>
          <w:tcPr>
            <w:tcW w:w="5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02"/>
              <w:spacing w:after="0" w:line="214" w:lineRule="exact"/>
              <w:rPr>
                <w:sz w:val="20"/>
                <w:szCs w:val="20"/>
                <w:color w:val="auto"/>
              </w:rPr>
            </w:pPr>
            <w:r>
              <w:rPr>
                <w:rFonts w:ascii="Arial" w:cs="Arial" w:eastAsia="Arial" w:hAnsi="Arial"/>
                <w:sz w:val="20"/>
                <w:szCs w:val="20"/>
                <w:b w:val="1"/>
                <w:bCs w:val="1"/>
                <w:color w:val="00C1DE"/>
              </w:rPr>
              <w:t>2020</w:t>
            </w:r>
          </w:p>
        </w:tc>
        <w:tc>
          <w:tcPr>
            <w:tcW w:w="500" w:type="dxa"/>
            <w:vAlign w:val="bottom"/>
          </w:tcPr>
          <w:p>
            <w:pPr>
              <w:spacing w:after="0"/>
              <w:rPr>
                <w:sz w:val="18"/>
                <w:szCs w:val="18"/>
                <w:color w:val="auto"/>
              </w:rPr>
            </w:pPr>
          </w:p>
        </w:tc>
        <w:tc>
          <w:tcPr>
            <w:tcW w:w="1300" w:type="dxa"/>
            <w:vAlign w:val="bottom"/>
          </w:tcPr>
          <w:p>
            <w:pPr>
              <w:jc w:val="right"/>
              <w:ind w:right="222"/>
              <w:spacing w:after="0" w:line="214" w:lineRule="exact"/>
              <w:rPr>
                <w:sz w:val="20"/>
                <w:szCs w:val="20"/>
                <w:color w:val="auto"/>
              </w:rPr>
            </w:pPr>
            <w:r>
              <w:rPr>
                <w:rFonts w:ascii="Arial" w:cs="Arial" w:eastAsia="Arial" w:hAnsi="Arial"/>
                <w:sz w:val="20"/>
                <w:szCs w:val="20"/>
                <w:b w:val="1"/>
                <w:bCs w:val="1"/>
                <w:color w:val="00C1DE"/>
              </w:rPr>
              <w:t>COVID-19</w:t>
            </w:r>
          </w:p>
        </w:tc>
        <w:tc>
          <w:tcPr>
            <w:tcW w:w="480" w:type="dxa"/>
            <w:vAlign w:val="bottom"/>
          </w:tcPr>
          <w:p>
            <w:pPr>
              <w:spacing w:after="0"/>
              <w:rPr>
                <w:sz w:val="18"/>
                <w:szCs w:val="18"/>
                <w:color w:val="auto"/>
              </w:rPr>
            </w:pPr>
          </w:p>
        </w:tc>
        <w:tc>
          <w:tcPr>
            <w:tcW w:w="100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2021</w:t>
            </w:r>
          </w:p>
        </w:tc>
      </w:tr>
      <w:tr>
        <w:trPr>
          <w:trHeight w:val="255"/>
        </w:trPr>
        <w:tc>
          <w:tcPr>
            <w:tcW w:w="532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Compensation Element</w:t>
            </w:r>
          </w:p>
        </w:tc>
        <w:tc>
          <w:tcPr>
            <w:tcW w:w="1440" w:type="dxa"/>
            <w:vAlign w:val="bottom"/>
            <w:tcBorders>
              <w:bottom w:val="single" w:sz="8" w:color="00C1DE"/>
            </w:tcBorders>
            <w:gridSpan w:val="2"/>
          </w:tcPr>
          <w:p>
            <w:pPr>
              <w:ind w:left="260"/>
              <w:spacing w:after="0"/>
              <w:rPr>
                <w:sz w:val="20"/>
                <w:szCs w:val="20"/>
                <w:color w:val="auto"/>
              </w:rPr>
            </w:pPr>
            <w:r>
              <w:rPr>
                <w:rFonts w:ascii="Arial" w:cs="Arial" w:eastAsia="Arial" w:hAnsi="Arial"/>
                <w:sz w:val="20"/>
                <w:szCs w:val="20"/>
                <w:b w:val="1"/>
                <w:bCs w:val="1"/>
                <w:color w:val="00C1DE"/>
              </w:rPr>
              <w:t>Structure</w:t>
            </w:r>
          </w:p>
        </w:tc>
        <w:tc>
          <w:tcPr>
            <w:tcW w:w="500" w:type="dxa"/>
            <w:vAlign w:val="bottom"/>
            <w:tcBorders>
              <w:bottom w:val="single" w:sz="8" w:color="00C1DE"/>
            </w:tcBorders>
          </w:tcPr>
          <w:p>
            <w:pPr>
              <w:spacing w:after="0"/>
              <w:rPr>
                <w:sz w:val="22"/>
                <w:szCs w:val="22"/>
                <w:color w:val="auto"/>
              </w:rPr>
            </w:pPr>
          </w:p>
        </w:tc>
        <w:tc>
          <w:tcPr>
            <w:tcW w:w="1300" w:type="dxa"/>
            <w:vAlign w:val="bottom"/>
            <w:tcBorders>
              <w:bottom w:val="single" w:sz="8" w:color="00C1DE"/>
            </w:tcBorders>
          </w:tcPr>
          <w:p>
            <w:pPr>
              <w:jc w:val="right"/>
              <w:ind w:right="222"/>
              <w:spacing w:after="0"/>
              <w:rPr>
                <w:sz w:val="20"/>
                <w:szCs w:val="20"/>
                <w:color w:val="auto"/>
              </w:rPr>
            </w:pPr>
            <w:r>
              <w:rPr>
                <w:rFonts w:ascii="Arial" w:cs="Arial" w:eastAsia="Arial" w:hAnsi="Arial"/>
                <w:sz w:val="20"/>
                <w:szCs w:val="20"/>
                <w:b w:val="1"/>
                <w:bCs w:val="1"/>
                <w:color w:val="00C1DE"/>
              </w:rPr>
              <w:t>Response</w:t>
            </w:r>
          </w:p>
        </w:tc>
        <w:tc>
          <w:tcPr>
            <w:tcW w:w="480" w:type="dxa"/>
            <w:vAlign w:val="bottom"/>
            <w:tcBorders>
              <w:bottom w:val="single" w:sz="8" w:color="00C1DE"/>
            </w:tcBorders>
          </w:tcPr>
          <w:p>
            <w:pPr>
              <w:spacing w:after="0"/>
              <w:rPr>
                <w:sz w:val="22"/>
                <w:szCs w:val="22"/>
                <w:color w:val="auto"/>
              </w:rPr>
            </w:pPr>
          </w:p>
        </w:tc>
        <w:tc>
          <w:tcPr>
            <w:tcW w:w="10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Structure</w:t>
            </w:r>
          </w:p>
        </w:tc>
      </w:tr>
      <w:tr>
        <w:trPr>
          <w:trHeight w:val="292"/>
        </w:trPr>
        <w:tc>
          <w:tcPr>
            <w:tcW w:w="5320" w:type="dxa"/>
            <w:vAlign w:val="bottom"/>
          </w:tcPr>
          <w:p>
            <w:pPr>
              <w:ind w:left="100"/>
              <w:spacing w:after="0"/>
              <w:rPr>
                <w:sz w:val="20"/>
                <w:szCs w:val="20"/>
                <w:color w:val="auto"/>
              </w:rPr>
            </w:pPr>
            <w:r>
              <w:rPr>
                <w:rFonts w:ascii="Arial" w:cs="Arial" w:eastAsia="Arial" w:hAnsi="Arial"/>
                <w:sz w:val="20"/>
                <w:szCs w:val="20"/>
                <w:color w:val="3E3935"/>
              </w:rPr>
              <w:t>Board Retainer</w:t>
            </w:r>
          </w:p>
        </w:tc>
        <w:tc>
          <w:tcPr>
            <w:tcW w:w="400" w:type="dxa"/>
            <w:vAlign w:val="bottom"/>
          </w:tcPr>
          <w:p>
            <w:pPr>
              <w:ind w:left="260"/>
              <w:spacing w:after="0"/>
              <w:rPr>
                <w:sz w:val="20"/>
                <w:szCs w:val="20"/>
                <w:color w:val="auto"/>
              </w:rPr>
            </w:pPr>
            <w:r>
              <w:rPr>
                <w:rFonts w:ascii="Arial" w:cs="Arial" w:eastAsia="Arial" w:hAnsi="Arial"/>
                <w:sz w:val="20"/>
                <w:szCs w:val="20"/>
                <w:color w:val="3E3935"/>
              </w:rPr>
              <w:t>$</w:t>
            </w:r>
          </w:p>
        </w:tc>
        <w:tc>
          <w:tcPr>
            <w:tcW w:w="1040" w:type="dxa"/>
            <w:vAlign w:val="bottom"/>
          </w:tcPr>
          <w:p>
            <w:pPr>
              <w:jc w:val="right"/>
              <w:ind w:right="202"/>
              <w:spacing w:after="0"/>
              <w:rPr>
                <w:sz w:val="20"/>
                <w:szCs w:val="20"/>
                <w:color w:val="auto"/>
              </w:rPr>
            </w:pPr>
            <w:r>
              <w:rPr>
                <w:rFonts w:ascii="Arial" w:cs="Arial" w:eastAsia="Arial" w:hAnsi="Arial"/>
                <w:sz w:val="20"/>
                <w:szCs w:val="20"/>
                <w:color w:val="3E3935"/>
                <w:w w:val="99"/>
              </w:rPr>
              <w:t>305,000</w:t>
            </w:r>
          </w:p>
        </w:tc>
        <w:tc>
          <w:tcPr>
            <w:tcW w:w="500" w:type="dxa"/>
            <w:vAlign w:val="bottom"/>
          </w:tcPr>
          <w:p>
            <w:pPr>
              <w:jc w:val="right"/>
              <w:spacing w:after="0"/>
              <w:rPr>
                <w:sz w:val="20"/>
                <w:szCs w:val="20"/>
                <w:color w:val="auto"/>
              </w:rPr>
            </w:pPr>
            <w:r>
              <w:rPr>
                <w:rFonts w:ascii="Arial" w:cs="Arial" w:eastAsia="Arial" w:hAnsi="Arial"/>
                <w:sz w:val="20"/>
                <w:szCs w:val="20"/>
                <w:color w:val="3E3935"/>
              </w:rPr>
              <w:t>$</w:t>
            </w:r>
          </w:p>
        </w:tc>
        <w:tc>
          <w:tcPr>
            <w:tcW w:w="1300" w:type="dxa"/>
            <w:vAlign w:val="bottom"/>
          </w:tcPr>
          <w:p>
            <w:pPr>
              <w:jc w:val="right"/>
              <w:ind w:right="222"/>
              <w:spacing w:after="0"/>
              <w:rPr>
                <w:sz w:val="20"/>
                <w:szCs w:val="20"/>
                <w:color w:val="auto"/>
              </w:rPr>
            </w:pPr>
            <w:r>
              <w:rPr>
                <w:rFonts w:ascii="Arial" w:cs="Arial" w:eastAsia="Arial" w:hAnsi="Arial"/>
                <w:sz w:val="20"/>
                <w:szCs w:val="20"/>
                <w:color w:val="3E3935"/>
              </w:rPr>
              <w:t>244,000</w:t>
            </w:r>
          </w:p>
        </w:tc>
        <w:tc>
          <w:tcPr>
            <w:tcW w:w="48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305,000</w:t>
            </w:r>
          </w:p>
        </w:tc>
      </w:tr>
      <w:tr>
        <w:trPr>
          <w:trHeight w:val="62"/>
        </w:trPr>
        <w:tc>
          <w:tcPr>
            <w:tcW w:w="5320" w:type="dxa"/>
            <w:vAlign w:val="bottom"/>
            <w:tcBorders>
              <w:bottom w:val="single" w:sz="8" w:color="3E3935"/>
            </w:tcBorders>
          </w:tcPr>
          <w:p>
            <w:pPr>
              <w:spacing w:after="0"/>
              <w:rPr>
                <w:sz w:val="5"/>
                <w:szCs w:val="5"/>
                <w:color w:val="auto"/>
              </w:rPr>
            </w:pPr>
          </w:p>
        </w:tc>
        <w:tc>
          <w:tcPr>
            <w:tcW w:w="400" w:type="dxa"/>
            <w:vAlign w:val="bottom"/>
            <w:tcBorders>
              <w:bottom w:val="single" w:sz="8" w:color="3E3935"/>
            </w:tcBorders>
          </w:tcPr>
          <w:p>
            <w:pPr>
              <w:spacing w:after="0"/>
              <w:rPr>
                <w:sz w:val="5"/>
                <w:szCs w:val="5"/>
                <w:color w:val="auto"/>
              </w:rPr>
            </w:pPr>
          </w:p>
        </w:tc>
        <w:tc>
          <w:tcPr>
            <w:tcW w:w="1040" w:type="dxa"/>
            <w:vAlign w:val="bottom"/>
            <w:tcBorders>
              <w:bottom w:val="single" w:sz="8" w:color="3E3935"/>
            </w:tcBorders>
          </w:tcPr>
          <w:p>
            <w:pPr>
              <w:spacing w:after="0"/>
              <w:rPr>
                <w:sz w:val="5"/>
                <w:szCs w:val="5"/>
                <w:color w:val="auto"/>
              </w:rPr>
            </w:pPr>
          </w:p>
        </w:tc>
        <w:tc>
          <w:tcPr>
            <w:tcW w:w="5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1000" w:type="dxa"/>
            <w:vAlign w:val="bottom"/>
            <w:tcBorders>
              <w:bottom w:val="single" w:sz="8" w:color="3E3935"/>
            </w:tcBorders>
          </w:tcPr>
          <w:p>
            <w:pPr>
              <w:spacing w:after="0"/>
              <w:rPr>
                <w:sz w:val="5"/>
                <w:szCs w:val="5"/>
                <w:color w:val="auto"/>
              </w:rPr>
            </w:pPr>
          </w:p>
        </w:tc>
      </w:tr>
      <w:tr>
        <w:trPr>
          <w:trHeight w:val="292"/>
        </w:trPr>
        <w:tc>
          <w:tcPr>
            <w:tcW w:w="5320" w:type="dxa"/>
            <w:vAlign w:val="bottom"/>
          </w:tcPr>
          <w:p>
            <w:pPr>
              <w:ind w:left="100"/>
              <w:spacing w:after="0"/>
              <w:rPr>
                <w:sz w:val="20"/>
                <w:szCs w:val="20"/>
                <w:color w:val="auto"/>
              </w:rPr>
            </w:pPr>
            <w:r>
              <w:rPr>
                <w:rFonts w:ascii="Arial" w:cs="Arial" w:eastAsia="Arial" w:hAnsi="Arial"/>
                <w:sz w:val="20"/>
                <w:szCs w:val="20"/>
                <w:color w:val="3E3935"/>
              </w:rPr>
              <w:t>Independent Lead Director Fee</w:t>
            </w:r>
          </w:p>
        </w:tc>
        <w:tc>
          <w:tcPr>
            <w:tcW w:w="400" w:type="dxa"/>
            <w:vAlign w:val="bottom"/>
          </w:tcPr>
          <w:p>
            <w:pPr>
              <w:ind w:left="260"/>
              <w:spacing w:after="0"/>
              <w:rPr>
                <w:sz w:val="20"/>
                <w:szCs w:val="20"/>
                <w:color w:val="auto"/>
              </w:rPr>
            </w:pPr>
            <w:r>
              <w:rPr>
                <w:rFonts w:ascii="Arial" w:cs="Arial" w:eastAsia="Arial" w:hAnsi="Arial"/>
                <w:sz w:val="20"/>
                <w:szCs w:val="20"/>
                <w:color w:val="3E3935"/>
              </w:rPr>
              <w:t>$</w:t>
            </w:r>
          </w:p>
        </w:tc>
        <w:tc>
          <w:tcPr>
            <w:tcW w:w="1040" w:type="dxa"/>
            <w:vAlign w:val="bottom"/>
          </w:tcPr>
          <w:p>
            <w:pPr>
              <w:jc w:val="right"/>
              <w:ind w:right="202"/>
              <w:spacing w:after="0"/>
              <w:rPr>
                <w:sz w:val="20"/>
                <w:szCs w:val="20"/>
                <w:color w:val="auto"/>
              </w:rPr>
            </w:pPr>
            <w:r>
              <w:rPr>
                <w:rFonts w:ascii="Arial" w:cs="Arial" w:eastAsia="Arial" w:hAnsi="Arial"/>
                <w:sz w:val="20"/>
                <w:szCs w:val="20"/>
                <w:color w:val="3E3935"/>
                <w:w w:val="99"/>
              </w:rPr>
              <w:t>100,000</w:t>
            </w:r>
          </w:p>
        </w:tc>
        <w:tc>
          <w:tcPr>
            <w:tcW w:w="500" w:type="dxa"/>
            <w:vAlign w:val="bottom"/>
          </w:tcPr>
          <w:p>
            <w:pPr>
              <w:jc w:val="right"/>
              <w:spacing w:after="0"/>
              <w:rPr>
                <w:sz w:val="20"/>
                <w:szCs w:val="20"/>
                <w:color w:val="auto"/>
              </w:rPr>
            </w:pPr>
            <w:r>
              <w:rPr>
                <w:rFonts w:ascii="Arial" w:cs="Arial" w:eastAsia="Arial" w:hAnsi="Arial"/>
                <w:sz w:val="20"/>
                <w:szCs w:val="20"/>
                <w:color w:val="3E3935"/>
              </w:rPr>
              <w:t>$</w:t>
            </w:r>
          </w:p>
        </w:tc>
        <w:tc>
          <w:tcPr>
            <w:tcW w:w="1300" w:type="dxa"/>
            <w:vAlign w:val="bottom"/>
          </w:tcPr>
          <w:p>
            <w:pPr>
              <w:jc w:val="right"/>
              <w:ind w:right="222"/>
              <w:spacing w:after="0"/>
              <w:rPr>
                <w:sz w:val="20"/>
                <w:szCs w:val="20"/>
                <w:color w:val="auto"/>
              </w:rPr>
            </w:pPr>
            <w:r>
              <w:rPr>
                <w:rFonts w:ascii="Arial" w:cs="Arial" w:eastAsia="Arial" w:hAnsi="Arial"/>
                <w:sz w:val="20"/>
                <w:szCs w:val="20"/>
                <w:color w:val="3E3935"/>
              </w:rPr>
              <w:t>100,000</w:t>
            </w:r>
          </w:p>
        </w:tc>
        <w:tc>
          <w:tcPr>
            <w:tcW w:w="48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100,000</w:t>
            </w:r>
          </w:p>
        </w:tc>
      </w:tr>
      <w:tr>
        <w:trPr>
          <w:trHeight w:val="62"/>
        </w:trPr>
        <w:tc>
          <w:tcPr>
            <w:tcW w:w="5320" w:type="dxa"/>
            <w:vAlign w:val="bottom"/>
            <w:tcBorders>
              <w:bottom w:val="single" w:sz="8" w:color="3E3935"/>
            </w:tcBorders>
          </w:tcPr>
          <w:p>
            <w:pPr>
              <w:spacing w:after="0"/>
              <w:rPr>
                <w:sz w:val="5"/>
                <w:szCs w:val="5"/>
                <w:color w:val="auto"/>
              </w:rPr>
            </w:pPr>
          </w:p>
        </w:tc>
        <w:tc>
          <w:tcPr>
            <w:tcW w:w="400" w:type="dxa"/>
            <w:vAlign w:val="bottom"/>
            <w:tcBorders>
              <w:bottom w:val="single" w:sz="8" w:color="3E3935"/>
            </w:tcBorders>
          </w:tcPr>
          <w:p>
            <w:pPr>
              <w:spacing w:after="0"/>
              <w:rPr>
                <w:sz w:val="5"/>
                <w:szCs w:val="5"/>
                <w:color w:val="auto"/>
              </w:rPr>
            </w:pPr>
          </w:p>
        </w:tc>
        <w:tc>
          <w:tcPr>
            <w:tcW w:w="1040" w:type="dxa"/>
            <w:vAlign w:val="bottom"/>
            <w:tcBorders>
              <w:bottom w:val="single" w:sz="8" w:color="3E3935"/>
            </w:tcBorders>
          </w:tcPr>
          <w:p>
            <w:pPr>
              <w:spacing w:after="0"/>
              <w:rPr>
                <w:sz w:val="5"/>
                <w:szCs w:val="5"/>
                <w:color w:val="auto"/>
              </w:rPr>
            </w:pPr>
          </w:p>
        </w:tc>
        <w:tc>
          <w:tcPr>
            <w:tcW w:w="5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1000" w:type="dxa"/>
            <w:vAlign w:val="bottom"/>
            <w:tcBorders>
              <w:bottom w:val="single" w:sz="8" w:color="3E3935"/>
            </w:tcBorders>
          </w:tcPr>
          <w:p>
            <w:pPr>
              <w:spacing w:after="0"/>
              <w:rPr>
                <w:sz w:val="5"/>
                <w:szCs w:val="5"/>
                <w:color w:val="auto"/>
              </w:rPr>
            </w:pPr>
          </w:p>
        </w:tc>
      </w:tr>
      <w:tr>
        <w:trPr>
          <w:trHeight w:val="292"/>
        </w:trPr>
        <w:tc>
          <w:tcPr>
            <w:tcW w:w="5320" w:type="dxa"/>
            <w:vAlign w:val="bottom"/>
          </w:tcPr>
          <w:p>
            <w:pPr>
              <w:ind w:left="100"/>
              <w:spacing w:after="0"/>
              <w:rPr>
                <w:sz w:val="20"/>
                <w:szCs w:val="20"/>
                <w:color w:val="auto"/>
              </w:rPr>
            </w:pPr>
            <w:r>
              <w:rPr>
                <w:rFonts w:ascii="Arial" w:cs="Arial" w:eastAsia="Arial" w:hAnsi="Arial"/>
                <w:sz w:val="20"/>
                <w:szCs w:val="20"/>
                <w:color w:val="3E3935"/>
              </w:rPr>
              <w:t>Audit Committee Chair Fee</w:t>
            </w:r>
          </w:p>
        </w:tc>
        <w:tc>
          <w:tcPr>
            <w:tcW w:w="400" w:type="dxa"/>
            <w:vAlign w:val="bottom"/>
          </w:tcPr>
          <w:p>
            <w:pPr>
              <w:ind w:left="260"/>
              <w:spacing w:after="0"/>
              <w:rPr>
                <w:sz w:val="20"/>
                <w:szCs w:val="20"/>
                <w:color w:val="auto"/>
              </w:rPr>
            </w:pPr>
            <w:r>
              <w:rPr>
                <w:rFonts w:ascii="Arial" w:cs="Arial" w:eastAsia="Arial" w:hAnsi="Arial"/>
                <w:sz w:val="20"/>
                <w:szCs w:val="20"/>
                <w:color w:val="3E3935"/>
              </w:rPr>
              <w:t>$</w:t>
            </w:r>
          </w:p>
        </w:tc>
        <w:tc>
          <w:tcPr>
            <w:tcW w:w="1040" w:type="dxa"/>
            <w:vAlign w:val="bottom"/>
          </w:tcPr>
          <w:p>
            <w:pPr>
              <w:jc w:val="right"/>
              <w:ind w:right="202"/>
              <w:spacing w:after="0"/>
              <w:rPr>
                <w:sz w:val="20"/>
                <w:szCs w:val="20"/>
                <w:color w:val="auto"/>
              </w:rPr>
            </w:pPr>
            <w:r>
              <w:rPr>
                <w:rFonts w:ascii="Arial" w:cs="Arial" w:eastAsia="Arial" w:hAnsi="Arial"/>
                <w:sz w:val="20"/>
                <w:szCs w:val="20"/>
                <w:color w:val="3E3935"/>
              </w:rPr>
              <w:t>30,000</w:t>
            </w:r>
          </w:p>
        </w:tc>
        <w:tc>
          <w:tcPr>
            <w:tcW w:w="500" w:type="dxa"/>
            <w:vAlign w:val="bottom"/>
          </w:tcPr>
          <w:p>
            <w:pPr>
              <w:jc w:val="right"/>
              <w:spacing w:after="0"/>
              <w:rPr>
                <w:sz w:val="20"/>
                <w:szCs w:val="20"/>
                <w:color w:val="auto"/>
              </w:rPr>
            </w:pPr>
            <w:r>
              <w:rPr>
                <w:rFonts w:ascii="Arial" w:cs="Arial" w:eastAsia="Arial" w:hAnsi="Arial"/>
                <w:sz w:val="20"/>
                <w:szCs w:val="20"/>
                <w:color w:val="3E3935"/>
              </w:rPr>
              <w:t>$</w:t>
            </w:r>
          </w:p>
        </w:tc>
        <w:tc>
          <w:tcPr>
            <w:tcW w:w="1300" w:type="dxa"/>
            <w:vAlign w:val="bottom"/>
          </w:tcPr>
          <w:p>
            <w:pPr>
              <w:jc w:val="right"/>
              <w:ind w:right="222"/>
              <w:spacing w:after="0"/>
              <w:rPr>
                <w:sz w:val="20"/>
                <w:szCs w:val="20"/>
                <w:color w:val="auto"/>
              </w:rPr>
            </w:pPr>
            <w:r>
              <w:rPr>
                <w:rFonts w:ascii="Arial" w:cs="Arial" w:eastAsia="Arial" w:hAnsi="Arial"/>
                <w:sz w:val="20"/>
                <w:szCs w:val="20"/>
                <w:color w:val="3E3935"/>
              </w:rPr>
              <w:t>30,000</w:t>
            </w:r>
          </w:p>
        </w:tc>
        <w:tc>
          <w:tcPr>
            <w:tcW w:w="48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30,000</w:t>
            </w:r>
          </w:p>
        </w:tc>
      </w:tr>
      <w:tr>
        <w:trPr>
          <w:trHeight w:val="62"/>
        </w:trPr>
        <w:tc>
          <w:tcPr>
            <w:tcW w:w="5320" w:type="dxa"/>
            <w:vAlign w:val="bottom"/>
            <w:tcBorders>
              <w:bottom w:val="single" w:sz="8" w:color="3E3935"/>
            </w:tcBorders>
          </w:tcPr>
          <w:p>
            <w:pPr>
              <w:spacing w:after="0"/>
              <w:rPr>
                <w:sz w:val="5"/>
                <w:szCs w:val="5"/>
                <w:color w:val="auto"/>
              </w:rPr>
            </w:pPr>
          </w:p>
        </w:tc>
        <w:tc>
          <w:tcPr>
            <w:tcW w:w="400" w:type="dxa"/>
            <w:vAlign w:val="bottom"/>
            <w:tcBorders>
              <w:bottom w:val="single" w:sz="8" w:color="3E3935"/>
            </w:tcBorders>
          </w:tcPr>
          <w:p>
            <w:pPr>
              <w:spacing w:after="0"/>
              <w:rPr>
                <w:sz w:val="5"/>
                <w:szCs w:val="5"/>
                <w:color w:val="auto"/>
              </w:rPr>
            </w:pPr>
          </w:p>
        </w:tc>
        <w:tc>
          <w:tcPr>
            <w:tcW w:w="1040" w:type="dxa"/>
            <w:vAlign w:val="bottom"/>
            <w:tcBorders>
              <w:bottom w:val="single" w:sz="8" w:color="3E3935"/>
            </w:tcBorders>
          </w:tcPr>
          <w:p>
            <w:pPr>
              <w:spacing w:after="0"/>
              <w:rPr>
                <w:sz w:val="5"/>
                <w:szCs w:val="5"/>
                <w:color w:val="auto"/>
              </w:rPr>
            </w:pPr>
          </w:p>
        </w:tc>
        <w:tc>
          <w:tcPr>
            <w:tcW w:w="5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c>
          <w:tcPr>
            <w:tcW w:w="480" w:type="dxa"/>
            <w:vAlign w:val="bottom"/>
            <w:tcBorders>
              <w:bottom w:val="single" w:sz="8" w:color="3E3935"/>
            </w:tcBorders>
          </w:tcPr>
          <w:p>
            <w:pPr>
              <w:spacing w:after="0"/>
              <w:rPr>
                <w:sz w:val="5"/>
                <w:szCs w:val="5"/>
                <w:color w:val="auto"/>
              </w:rPr>
            </w:pPr>
          </w:p>
        </w:tc>
        <w:tc>
          <w:tcPr>
            <w:tcW w:w="1000" w:type="dxa"/>
            <w:vAlign w:val="bottom"/>
            <w:tcBorders>
              <w:bottom w:val="single" w:sz="8" w:color="3E3935"/>
            </w:tcBorders>
          </w:tcPr>
          <w:p>
            <w:pPr>
              <w:spacing w:after="0"/>
              <w:rPr>
                <w:sz w:val="5"/>
                <w:szCs w:val="5"/>
                <w:color w:val="auto"/>
              </w:rPr>
            </w:pPr>
          </w:p>
        </w:tc>
      </w:tr>
      <w:tr>
        <w:trPr>
          <w:trHeight w:val="271"/>
        </w:trPr>
        <w:tc>
          <w:tcPr>
            <w:tcW w:w="5320" w:type="dxa"/>
            <w:vAlign w:val="bottom"/>
          </w:tcPr>
          <w:p>
            <w:pPr>
              <w:ind w:left="100"/>
              <w:spacing w:after="0"/>
              <w:rPr>
                <w:sz w:val="20"/>
                <w:szCs w:val="20"/>
                <w:color w:val="auto"/>
              </w:rPr>
            </w:pPr>
            <w:r>
              <w:rPr>
                <w:rFonts w:ascii="Arial" w:cs="Arial" w:eastAsia="Arial" w:hAnsi="Arial"/>
                <w:sz w:val="20"/>
                <w:szCs w:val="20"/>
                <w:color w:val="3E3935"/>
              </w:rPr>
              <w:t>All Other Committee Chair Fees (excluding the Executive</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5"/>
        </w:trPr>
        <w:tc>
          <w:tcPr>
            <w:tcW w:w="5320" w:type="dxa"/>
            <w:vAlign w:val="bottom"/>
          </w:tcPr>
          <w:p>
            <w:pPr>
              <w:ind w:left="100"/>
              <w:spacing w:after="0"/>
              <w:rPr>
                <w:sz w:val="20"/>
                <w:szCs w:val="20"/>
                <w:color w:val="auto"/>
              </w:rPr>
            </w:pPr>
            <w:r>
              <w:rPr>
                <w:rFonts w:ascii="Arial" w:cs="Arial" w:eastAsia="Arial" w:hAnsi="Arial"/>
                <w:sz w:val="20"/>
                <w:szCs w:val="20"/>
                <w:color w:val="3E3935"/>
              </w:rPr>
              <w:t>Committee)</w:t>
            </w:r>
          </w:p>
        </w:tc>
        <w:tc>
          <w:tcPr>
            <w:tcW w:w="400" w:type="dxa"/>
            <w:vAlign w:val="bottom"/>
          </w:tcPr>
          <w:p>
            <w:pPr>
              <w:ind w:left="260"/>
              <w:spacing w:after="0"/>
              <w:rPr>
                <w:sz w:val="20"/>
                <w:szCs w:val="20"/>
                <w:color w:val="auto"/>
              </w:rPr>
            </w:pPr>
            <w:r>
              <w:rPr>
                <w:rFonts w:ascii="Arial" w:cs="Arial" w:eastAsia="Arial" w:hAnsi="Arial"/>
                <w:sz w:val="20"/>
                <w:szCs w:val="20"/>
                <w:color w:val="3E3935"/>
              </w:rPr>
              <w:t>$</w:t>
            </w:r>
          </w:p>
        </w:tc>
        <w:tc>
          <w:tcPr>
            <w:tcW w:w="1040" w:type="dxa"/>
            <w:vAlign w:val="bottom"/>
          </w:tcPr>
          <w:p>
            <w:pPr>
              <w:jc w:val="right"/>
              <w:ind w:right="202"/>
              <w:spacing w:after="0"/>
              <w:rPr>
                <w:sz w:val="20"/>
                <w:szCs w:val="20"/>
                <w:color w:val="auto"/>
              </w:rPr>
            </w:pPr>
            <w:r>
              <w:rPr>
                <w:rFonts w:ascii="Arial" w:cs="Arial" w:eastAsia="Arial" w:hAnsi="Arial"/>
                <w:sz w:val="20"/>
                <w:szCs w:val="20"/>
                <w:color w:val="3E3935"/>
              </w:rPr>
              <w:t>20,000</w:t>
            </w:r>
          </w:p>
        </w:tc>
        <w:tc>
          <w:tcPr>
            <w:tcW w:w="500" w:type="dxa"/>
            <w:vAlign w:val="bottom"/>
          </w:tcPr>
          <w:p>
            <w:pPr>
              <w:jc w:val="right"/>
              <w:spacing w:after="0"/>
              <w:rPr>
                <w:sz w:val="20"/>
                <w:szCs w:val="20"/>
                <w:color w:val="auto"/>
              </w:rPr>
            </w:pPr>
            <w:r>
              <w:rPr>
                <w:rFonts w:ascii="Arial" w:cs="Arial" w:eastAsia="Arial" w:hAnsi="Arial"/>
                <w:sz w:val="20"/>
                <w:szCs w:val="20"/>
                <w:color w:val="3E3935"/>
              </w:rPr>
              <w:t>$</w:t>
            </w:r>
          </w:p>
        </w:tc>
        <w:tc>
          <w:tcPr>
            <w:tcW w:w="1300" w:type="dxa"/>
            <w:vAlign w:val="bottom"/>
          </w:tcPr>
          <w:p>
            <w:pPr>
              <w:jc w:val="right"/>
              <w:ind w:right="222"/>
              <w:spacing w:after="0"/>
              <w:rPr>
                <w:sz w:val="20"/>
                <w:szCs w:val="20"/>
                <w:color w:val="auto"/>
              </w:rPr>
            </w:pPr>
            <w:r>
              <w:rPr>
                <w:rFonts w:ascii="Arial" w:cs="Arial" w:eastAsia="Arial" w:hAnsi="Arial"/>
                <w:sz w:val="20"/>
                <w:szCs w:val="20"/>
                <w:color w:val="3E3935"/>
              </w:rPr>
              <w:t>20,000</w:t>
            </w:r>
          </w:p>
        </w:tc>
        <w:tc>
          <w:tcPr>
            <w:tcW w:w="480" w:type="dxa"/>
            <w:vAlign w:val="bottom"/>
          </w:tcPr>
          <w:p>
            <w:pPr>
              <w:jc w:val="right"/>
              <w:spacing w:after="0"/>
              <w:rPr>
                <w:sz w:val="20"/>
                <w:szCs w:val="20"/>
                <w:color w:val="auto"/>
              </w:rPr>
            </w:pPr>
            <w:r>
              <w:rPr>
                <w:rFonts w:ascii="Arial" w:cs="Arial" w:eastAsia="Arial" w:hAnsi="Arial"/>
                <w:sz w:val="20"/>
                <w:szCs w:val="20"/>
                <w:color w:val="3E3935"/>
              </w:rPr>
              <w:t>$</w:t>
            </w:r>
          </w:p>
        </w:tc>
        <w:tc>
          <w:tcPr>
            <w:tcW w:w="1000" w:type="dxa"/>
            <w:vAlign w:val="bottom"/>
          </w:tcPr>
          <w:p>
            <w:pPr>
              <w:jc w:val="right"/>
              <w:spacing w:after="0"/>
              <w:rPr>
                <w:sz w:val="20"/>
                <w:szCs w:val="20"/>
                <w:color w:val="auto"/>
              </w:rPr>
            </w:pPr>
            <w:r>
              <w:rPr>
                <w:rFonts w:ascii="Arial" w:cs="Arial" w:eastAsia="Arial" w:hAnsi="Arial"/>
                <w:sz w:val="20"/>
                <w:szCs w:val="20"/>
                <w:color w:val="3E3935"/>
              </w:rPr>
              <w:t>20,000</w:t>
            </w:r>
          </w:p>
        </w:tc>
      </w:tr>
      <w:tr>
        <w:trPr>
          <w:trHeight w:val="62"/>
        </w:trPr>
        <w:tc>
          <w:tcPr>
            <w:tcW w:w="5320" w:type="dxa"/>
            <w:vAlign w:val="bottom"/>
            <w:tcBorders>
              <w:bottom w:val="single" w:sz="8" w:color="0071CE"/>
            </w:tcBorders>
          </w:tcPr>
          <w:p>
            <w:pPr>
              <w:spacing w:after="0"/>
              <w:rPr>
                <w:sz w:val="5"/>
                <w:szCs w:val="5"/>
                <w:color w:val="auto"/>
              </w:rPr>
            </w:pPr>
          </w:p>
        </w:tc>
        <w:tc>
          <w:tcPr>
            <w:tcW w:w="400" w:type="dxa"/>
            <w:vAlign w:val="bottom"/>
            <w:tcBorders>
              <w:bottom w:val="single" w:sz="8" w:color="0071CE"/>
            </w:tcBorders>
          </w:tcPr>
          <w:p>
            <w:pPr>
              <w:spacing w:after="0"/>
              <w:rPr>
                <w:sz w:val="5"/>
                <w:szCs w:val="5"/>
                <w:color w:val="auto"/>
              </w:rPr>
            </w:pPr>
          </w:p>
        </w:tc>
        <w:tc>
          <w:tcPr>
            <w:tcW w:w="1040" w:type="dxa"/>
            <w:vAlign w:val="bottom"/>
            <w:tcBorders>
              <w:bottom w:val="single" w:sz="8" w:color="0071CE"/>
            </w:tcBorders>
          </w:tcPr>
          <w:p>
            <w:pPr>
              <w:spacing w:after="0"/>
              <w:rPr>
                <w:sz w:val="5"/>
                <w:szCs w:val="5"/>
                <w:color w:val="auto"/>
              </w:rPr>
            </w:pPr>
          </w:p>
        </w:tc>
        <w:tc>
          <w:tcPr>
            <w:tcW w:w="500" w:type="dxa"/>
            <w:vAlign w:val="bottom"/>
            <w:tcBorders>
              <w:bottom w:val="single" w:sz="8" w:color="0071CE"/>
            </w:tcBorders>
          </w:tcPr>
          <w:p>
            <w:pPr>
              <w:spacing w:after="0"/>
              <w:rPr>
                <w:sz w:val="5"/>
                <w:szCs w:val="5"/>
                <w:color w:val="auto"/>
              </w:rPr>
            </w:pPr>
          </w:p>
        </w:tc>
        <w:tc>
          <w:tcPr>
            <w:tcW w:w="1300" w:type="dxa"/>
            <w:vAlign w:val="bottom"/>
            <w:tcBorders>
              <w:bottom w:val="single" w:sz="8" w:color="0071CE"/>
            </w:tcBorders>
          </w:tcPr>
          <w:p>
            <w:pPr>
              <w:spacing w:after="0"/>
              <w:rPr>
                <w:sz w:val="5"/>
                <w:szCs w:val="5"/>
                <w:color w:val="auto"/>
              </w:rPr>
            </w:pPr>
          </w:p>
        </w:tc>
        <w:tc>
          <w:tcPr>
            <w:tcW w:w="480" w:type="dxa"/>
            <w:vAlign w:val="bottom"/>
            <w:tcBorders>
              <w:bottom w:val="single" w:sz="8" w:color="0071CE"/>
            </w:tcBorders>
          </w:tcPr>
          <w:p>
            <w:pPr>
              <w:spacing w:after="0"/>
              <w:rPr>
                <w:sz w:val="5"/>
                <w:szCs w:val="5"/>
                <w:color w:val="auto"/>
              </w:rPr>
            </w:pPr>
          </w:p>
        </w:tc>
        <w:tc>
          <w:tcPr>
            <w:tcW w:w="1000" w:type="dxa"/>
            <w:vAlign w:val="bottom"/>
            <w:tcBorders>
              <w:bottom w:val="single" w:sz="8" w:color="0071CE"/>
            </w:tcBorders>
          </w:tcPr>
          <w:p>
            <w:pPr>
              <w:spacing w:after="0"/>
              <w:rPr>
                <w:sz w:val="5"/>
                <w:szCs w:val="5"/>
                <w:color w:val="auto"/>
              </w:rPr>
            </w:pPr>
          </w:p>
        </w:tc>
      </w:tr>
    </w:tbl>
    <w:p>
      <w:pPr>
        <w:spacing w:after="0" w:line="197" w:lineRule="exact"/>
        <w:rPr>
          <w:sz w:val="20"/>
          <w:szCs w:val="20"/>
          <w:color w:val="auto"/>
        </w:rPr>
      </w:pPr>
    </w:p>
    <w:p>
      <w:pPr>
        <w:sectPr>
          <w:pgSz w:w="11900" w:h="16838" w:orient="portrait"/>
          <w:cols w:equalWidth="0" w:num="1">
            <w:col w:w="11080"/>
          </w:cols>
          <w:pgMar w:left="320" w:top="456" w:right="499" w:bottom="1440" w:gutter="0" w:footer="0" w:header="0"/>
          <w:type w:val="continuous"/>
        </w:sectPr>
      </w:pPr>
    </w:p>
    <w:p>
      <w:pPr>
        <w:jc w:val="both"/>
        <w:ind w:left="160"/>
        <w:spacing w:after="0" w:line="227" w:lineRule="auto"/>
        <w:rPr>
          <w:sz w:val="20"/>
          <w:szCs w:val="20"/>
          <w:color w:val="auto"/>
        </w:rPr>
      </w:pPr>
      <w:r>
        <w:rPr>
          <w:rFonts w:ascii="Arial" w:cs="Arial" w:eastAsia="Arial" w:hAnsi="Arial"/>
          <w:sz w:val="20"/>
          <w:szCs w:val="20"/>
          <w:color w:val="3E3935"/>
        </w:rPr>
        <w:t>Non-employee directors are required to defer at least 50% of their annual Board retainer into DSUs under the General Motors Company Deferred Compensation Plan for Non-Employee Directors (the “Director Compensation Plan”). Directors may elect to defer all or half of their remaining Board retainer or amounts payable (if</w:t>
      </w:r>
    </w:p>
    <w:p>
      <w:pPr>
        <w:spacing w:after="0" w:line="20" w:lineRule="exact"/>
        <w:rPr>
          <w:sz w:val="20"/>
          <w:szCs w:val="20"/>
          <w:color w:val="auto"/>
        </w:rPr>
      </w:pPr>
      <w:r>
        <w:rPr>
          <w:sz w:val="20"/>
          <w:szCs w:val="20"/>
          <w:color w:val="auto"/>
        </w:rPr>
        <w:br w:type="column"/>
      </w:r>
    </w:p>
    <w:p>
      <w:pPr>
        <w:jc w:val="both"/>
        <w:spacing w:after="0" w:line="227" w:lineRule="auto"/>
        <w:rPr>
          <w:sz w:val="20"/>
          <w:szCs w:val="20"/>
          <w:color w:val="auto"/>
        </w:rPr>
      </w:pPr>
      <w:r>
        <w:rPr>
          <w:rFonts w:ascii="Arial" w:cs="Arial" w:eastAsia="Arial" w:hAnsi="Arial"/>
          <w:sz w:val="20"/>
          <w:szCs w:val="20"/>
          <w:color w:val="3E3935"/>
        </w:rPr>
        <w:t>any) for serving as a Committee Chair or Independent Lead Director into additional DSUs. The fees for a director who joins or leaves the Board or assumes additional responsibilities during the year are prorated for his or her period of service.</w:t>
      </w:r>
    </w:p>
    <w:p>
      <w:pPr>
        <w:spacing w:after="0" w:line="41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How Deferred Share Units Work</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1942465</wp:posOffset>
            </wp:positionV>
            <wp:extent cx="5927725" cy="101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235585</wp:posOffset>
            </wp:positionV>
            <wp:extent cx="6802120" cy="16135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2120" cy="16135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12</w:t>
      </w:r>
    </w:p>
    <w:p>
      <w:pPr>
        <w:sectPr>
          <w:pgSz w:w="11900" w:h="16838" w:orient="portrait"/>
          <w:cols w:equalWidth="0" w:num="1">
            <w:col w:w="11080"/>
          </w:cols>
          <w:pgMar w:left="320" w:top="456" w:right="4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Other Compensation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We provide certain additional benefits to non-employee directors.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60" w:type="dxa"/>
            <w:vAlign w:val="bottom"/>
            <w:tcBorders>
              <w:top w:val="single" w:sz="8" w:color="00C1DE"/>
              <w:bottom w:val="single" w:sz="8" w:color="00C1DE"/>
            </w:tcBorders>
          </w:tcPr>
          <w:p>
            <w:pPr>
              <w:spacing w:after="0"/>
              <w:rPr>
                <w:sz w:val="20"/>
                <w:szCs w:val="20"/>
                <w:color w:val="auto"/>
              </w:rPr>
            </w:pPr>
            <w:r>
              <w:rPr>
                <w:rFonts w:ascii="Arial" w:cs="Arial" w:eastAsia="Arial" w:hAnsi="Arial"/>
                <w:sz w:val="20"/>
                <w:szCs w:val="20"/>
                <w:b w:val="1"/>
                <w:bCs w:val="1"/>
                <w:color w:val="00C1DE"/>
                <w:w w:val="94"/>
              </w:rPr>
              <w:t>Type</w:t>
            </w:r>
          </w:p>
        </w:tc>
        <w:tc>
          <w:tcPr>
            <w:tcW w:w="2020" w:type="dxa"/>
            <w:vAlign w:val="bottom"/>
            <w:tcBorders>
              <w:top w:val="single" w:sz="8" w:color="00C1DE"/>
              <w:bottom w:val="single" w:sz="8" w:color="00C1DE"/>
            </w:tcBorders>
          </w:tcPr>
          <w:p>
            <w:pPr>
              <w:spacing w:after="0"/>
              <w:rPr>
                <w:sz w:val="20"/>
                <w:szCs w:val="20"/>
                <w:color w:val="auto"/>
              </w:rPr>
            </w:pPr>
          </w:p>
        </w:tc>
        <w:tc>
          <w:tcPr>
            <w:tcW w:w="8440" w:type="dxa"/>
            <w:vAlign w:val="bottom"/>
            <w:tcBorders>
              <w:top w:val="single" w:sz="8" w:color="00C1DE"/>
              <w:bottom w:val="single" w:sz="8" w:color="00C1DE"/>
            </w:tcBorders>
          </w:tcPr>
          <w:p>
            <w:pPr>
              <w:ind w:left="380"/>
              <w:spacing w:after="0"/>
              <w:rPr>
                <w:sz w:val="20"/>
                <w:szCs w:val="20"/>
                <w:color w:val="auto"/>
              </w:rPr>
            </w:pPr>
            <w:r>
              <w:rPr>
                <w:rFonts w:ascii="Arial" w:cs="Arial" w:eastAsia="Arial" w:hAnsi="Arial"/>
                <w:sz w:val="20"/>
                <w:szCs w:val="20"/>
                <w:b w:val="1"/>
                <w:bCs w:val="1"/>
                <w:color w:val="00C1DE"/>
              </w:rPr>
              <w:t>Purpose</w:t>
            </w:r>
          </w:p>
        </w:tc>
      </w:tr>
      <w:tr>
        <w:trPr>
          <w:trHeight w:val="271"/>
        </w:trPr>
        <w:tc>
          <w:tcPr>
            <w:tcW w:w="460" w:type="dxa"/>
            <w:vAlign w:val="bottom"/>
          </w:tcPr>
          <w:p>
            <w:pPr>
              <w:ind w:left="120"/>
              <w:spacing w:after="0"/>
              <w:rPr>
                <w:sz w:val="20"/>
                <w:szCs w:val="20"/>
                <w:color w:val="auto"/>
              </w:rPr>
            </w:pPr>
            <w:r>
              <w:rPr>
                <w:rFonts w:ascii="Arial" w:cs="Arial" w:eastAsia="Arial" w:hAnsi="Arial"/>
                <w:sz w:val="20"/>
                <w:szCs w:val="20"/>
                <w:color w:val="00C1DE"/>
              </w:rPr>
              <w:t>u</w:t>
            </w:r>
          </w:p>
        </w:tc>
        <w:tc>
          <w:tcPr>
            <w:tcW w:w="2020" w:type="dxa"/>
            <w:vAlign w:val="bottom"/>
          </w:tcPr>
          <w:p>
            <w:pPr>
              <w:spacing w:after="0"/>
              <w:rPr>
                <w:sz w:val="20"/>
                <w:szCs w:val="20"/>
                <w:color w:val="auto"/>
              </w:rPr>
            </w:pPr>
            <w:r>
              <w:rPr>
                <w:rFonts w:ascii="Arial" w:cs="Arial" w:eastAsia="Arial" w:hAnsi="Arial"/>
                <w:sz w:val="20"/>
                <w:szCs w:val="20"/>
                <w:color w:val="3E3935"/>
              </w:rPr>
              <w:t>Company Vehicles</w:t>
            </w:r>
          </w:p>
        </w:tc>
        <w:tc>
          <w:tcPr>
            <w:tcW w:w="8440" w:type="dxa"/>
            <w:vAlign w:val="bottom"/>
          </w:tcPr>
          <w:p>
            <w:pPr>
              <w:ind w:left="380"/>
              <w:spacing w:after="0"/>
              <w:rPr>
                <w:sz w:val="20"/>
                <w:szCs w:val="20"/>
                <w:color w:val="auto"/>
              </w:rPr>
            </w:pPr>
            <w:r>
              <w:rPr>
                <w:rFonts w:ascii="Arial" w:cs="Arial" w:eastAsia="Arial" w:hAnsi="Arial"/>
                <w:sz w:val="20"/>
                <w:szCs w:val="20"/>
                <w:color w:val="3E3935"/>
                <w:w w:val="99"/>
              </w:rPr>
              <w:t>We provide directors with the use of Company vehicles to provide feedback on our products</w:t>
            </w:r>
          </w:p>
        </w:tc>
      </w:tr>
      <w:tr>
        <w:trPr>
          <w:trHeight w:val="214"/>
        </w:trPr>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40" w:type="dxa"/>
            <w:vAlign w:val="bottom"/>
          </w:tcPr>
          <w:p>
            <w:pPr>
              <w:ind w:left="380"/>
              <w:spacing w:after="0" w:line="214" w:lineRule="exact"/>
              <w:rPr>
                <w:sz w:val="20"/>
                <w:szCs w:val="20"/>
                <w:color w:val="auto"/>
              </w:rPr>
            </w:pPr>
            <w:r>
              <w:rPr>
                <w:rFonts w:ascii="Arial" w:cs="Arial" w:eastAsia="Arial" w:hAnsi="Arial"/>
                <w:sz w:val="20"/>
                <w:szCs w:val="20"/>
                <w:color w:val="3E3935"/>
                <w:w w:val="98"/>
              </w:rPr>
              <w:t>as well as enhance the public image of our vehicles. Retired directors also receive the use of</w:t>
            </w:r>
          </w:p>
        </w:tc>
      </w:tr>
      <w:tr>
        <w:trPr>
          <w:trHeight w:val="214"/>
        </w:trPr>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440" w:type="dxa"/>
            <w:vAlign w:val="bottom"/>
          </w:tcPr>
          <w:p>
            <w:pPr>
              <w:ind w:left="380"/>
              <w:spacing w:after="0" w:line="214" w:lineRule="exact"/>
              <w:rPr>
                <w:sz w:val="20"/>
                <w:szCs w:val="20"/>
                <w:color w:val="auto"/>
              </w:rPr>
            </w:pPr>
            <w:r>
              <w:rPr>
                <w:rFonts w:ascii="Arial" w:cs="Arial" w:eastAsia="Arial" w:hAnsi="Arial"/>
                <w:sz w:val="20"/>
                <w:szCs w:val="20"/>
                <w:color w:val="3E3935"/>
                <w:w w:val="98"/>
              </w:rPr>
              <w:t>a Company vehicle for a period of time. Participants are charged with imputed income based</w:t>
            </w:r>
          </w:p>
        </w:tc>
      </w:tr>
      <w:tr>
        <w:trPr>
          <w:trHeight w:val="235"/>
        </w:trPr>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40" w:type="dxa"/>
            <w:vAlign w:val="bottom"/>
          </w:tcPr>
          <w:p>
            <w:pPr>
              <w:ind w:left="380"/>
              <w:spacing w:after="0"/>
              <w:rPr>
                <w:sz w:val="20"/>
                <w:szCs w:val="20"/>
                <w:color w:val="auto"/>
              </w:rPr>
            </w:pPr>
            <w:r>
              <w:rPr>
                <w:rFonts w:ascii="Arial" w:cs="Arial" w:eastAsia="Arial" w:hAnsi="Arial"/>
                <w:sz w:val="20"/>
                <w:szCs w:val="20"/>
                <w:color w:val="3E3935"/>
              </w:rPr>
              <w:t>on the lease value of the vehicles and are responsible for associated taxes.</w:t>
            </w:r>
          </w:p>
        </w:tc>
      </w:tr>
      <w:tr>
        <w:trPr>
          <w:trHeight w:val="62"/>
        </w:trPr>
        <w:tc>
          <w:tcPr>
            <w:tcW w:w="46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8440" w:type="dxa"/>
            <w:vAlign w:val="bottom"/>
            <w:tcBorders>
              <w:bottom w:val="single" w:sz="8" w:color="3E3935"/>
            </w:tcBorders>
          </w:tcPr>
          <w:p>
            <w:pPr>
              <w:spacing w:after="0"/>
              <w:rPr>
                <w:sz w:val="5"/>
                <w:szCs w:val="5"/>
                <w:color w:val="auto"/>
              </w:rPr>
            </w:pPr>
          </w:p>
        </w:tc>
      </w:tr>
      <w:tr>
        <w:trPr>
          <w:trHeight w:val="271"/>
        </w:trPr>
        <w:tc>
          <w:tcPr>
            <w:tcW w:w="460" w:type="dxa"/>
            <w:vAlign w:val="bottom"/>
          </w:tcPr>
          <w:p>
            <w:pPr>
              <w:ind w:left="120"/>
              <w:spacing w:after="0"/>
              <w:rPr>
                <w:sz w:val="20"/>
                <w:szCs w:val="20"/>
                <w:color w:val="auto"/>
              </w:rPr>
            </w:pPr>
            <w:r>
              <w:rPr>
                <w:rFonts w:ascii="Arial" w:cs="Arial" w:eastAsia="Arial" w:hAnsi="Arial"/>
                <w:sz w:val="20"/>
                <w:szCs w:val="20"/>
                <w:color w:val="00C1DE"/>
              </w:rPr>
              <w:t>u</w:t>
            </w:r>
          </w:p>
        </w:tc>
        <w:tc>
          <w:tcPr>
            <w:tcW w:w="2020" w:type="dxa"/>
            <w:vAlign w:val="bottom"/>
          </w:tcPr>
          <w:p>
            <w:pPr>
              <w:spacing w:after="0"/>
              <w:rPr>
                <w:sz w:val="20"/>
                <w:szCs w:val="20"/>
                <w:color w:val="auto"/>
              </w:rPr>
            </w:pPr>
            <w:r>
              <w:rPr>
                <w:rFonts w:ascii="Arial" w:cs="Arial" w:eastAsia="Arial" w:hAnsi="Arial"/>
                <w:sz w:val="20"/>
                <w:szCs w:val="20"/>
                <w:color w:val="3E3935"/>
              </w:rPr>
              <w:t>Personal Accident</w:t>
            </w:r>
          </w:p>
        </w:tc>
        <w:tc>
          <w:tcPr>
            <w:tcW w:w="8440" w:type="dxa"/>
            <w:vAlign w:val="bottom"/>
          </w:tcPr>
          <w:p>
            <w:pPr>
              <w:ind w:left="380"/>
              <w:spacing w:after="0"/>
              <w:rPr>
                <w:sz w:val="20"/>
                <w:szCs w:val="20"/>
                <w:color w:val="auto"/>
              </w:rPr>
            </w:pPr>
            <w:r>
              <w:rPr>
                <w:rFonts w:ascii="Arial" w:cs="Arial" w:eastAsia="Arial" w:hAnsi="Arial"/>
                <w:sz w:val="20"/>
                <w:szCs w:val="20"/>
                <w:color w:val="3E3935"/>
              </w:rPr>
              <w:t>We provide personal accident insurance coverage in the event of accidental death or</w:t>
            </w:r>
          </w:p>
        </w:tc>
      </w:tr>
      <w:tr>
        <w:trPr>
          <w:trHeight w:val="214"/>
        </w:trPr>
        <w:tc>
          <w:tcPr>
            <w:tcW w:w="460" w:type="dxa"/>
            <w:vAlign w:val="bottom"/>
          </w:tcPr>
          <w:p>
            <w:pPr>
              <w:spacing w:after="0"/>
              <w:rPr>
                <w:sz w:val="18"/>
                <w:szCs w:val="18"/>
                <w:color w:val="auto"/>
              </w:rPr>
            </w:pPr>
          </w:p>
        </w:tc>
        <w:tc>
          <w:tcPr>
            <w:tcW w:w="2020" w:type="dxa"/>
            <w:vAlign w:val="bottom"/>
          </w:tcPr>
          <w:p>
            <w:pPr>
              <w:ind w:left="40"/>
              <w:spacing w:after="0" w:line="214" w:lineRule="exact"/>
              <w:rPr>
                <w:sz w:val="20"/>
                <w:szCs w:val="20"/>
                <w:color w:val="auto"/>
              </w:rPr>
            </w:pPr>
            <w:r>
              <w:rPr>
                <w:rFonts w:ascii="Arial" w:cs="Arial" w:eastAsia="Arial" w:hAnsi="Arial"/>
                <w:sz w:val="20"/>
                <w:szCs w:val="20"/>
                <w:color w:val="3E3935"/>
              </w:rPr>
              <w:t>Insurance</w:t>
            </w:r>
            <w:r>
              <w:rPr>
                <w:rFonts w:ascii="Arial" w:cs="Arial" w:eastAsia="Arial" w:hAnsi="Arial"/>
                <w:sz w:val="16"/>
                <w:szCs w:val="16"/>
                <w:color w:val="3E3935"/>
              </w:rPr>
              <w:t>(1)</w:t>
            </w:r>
          </w:p>
        </w:tc>
        <w:tc>
          <w:tcPr>
            <w:tcW w:w="8440" w:type="dxa"/>
            <w:vAlign w:val="bottom"/>
          </w:tcPr>
          <w:p>
            <w:pPr>
              <w:ind w:left="380"/>
              <w:spacing w:after="0" w:line="214" w:lineRule="exact"/>
              <w:rPr>
                <w:sz w:val="20"/>
                <w:szCs w:val="20"/>
                <w:color w:val="auto"/>
              </w:rPr>
            </w:pPr>
            <w:r>
              <w:rPr>
                <w:rFonts w:ascii="Arial" w:cs="Arial" w:eastAsia="Arial" w:hAnsi="Arial"/>
                <w:sz w:val="20"/>
                <w:szCs w:val="20"/>
                <w:color w:val="3E3935"/>
                <w:w w:val="98"/>
              </w:rPr>
              <w:t>dismemberment. Directors are responsible for associated taxes on the imputed income from</w:t>
            </w:r>
          </w:p>
        </w:tc>
      </w:tr>
      <w:tr>
        <w:trPr>
          <w:trHeight w:val="235"/>
        </w:trPr>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40" w:type="dxa"/>
            <w:vAlign w:val="bottom"/>
          </w:tcPr>
          <w:p>
            <w:pPr>
              <w:ind w:left="380"/>
              <w:spacing w:after="0"/>
              <w:rPr>
                <w:sz w:val="20"/>
                <w:szCs w:val="20"/>
                <w:color w:val="auto"/>
              </w:rPr>
            </w:pPr>
            <w:r>
              <w:rPr>
                <w:rFonts w:ascii="Arial" w:cs="Arial" w:eastAsia="Arial" w:hAnsi="Arial"/>
                <w:sz w:val="20"/>
                <w:szCs w:val="20"/>
                <w:color w:val="3E3935"/>
              </w:rPr>
              <w:t>the 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jc w:val="both"/>
        <w:ind w:left="600" w:hanging="433"/>
        <w:spacing w:after="0" w:line="246" w:lineRule="auto"/>
        <w:tabs>
          <w:tab w:leader="none" w:pos="600" w:val="left"/>
        </w:tabs>
        <w:numPr>
          <w:ilvl w:val="0"/>
          <w:numId w:val="6"/>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our sole employee director, does not receive additional compensation for her Board service other than the personal accident insurance benefit described above, the value of which is reported for Ms. Barra in the Summary Compensation Table on page 69 of this Proxy Statement.</w:t>
      </w:r>
    </w:p>
    <w:p>
      <w:pPr>
        <w:spacing w:after="0" w:line="195"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Non-employee directors are not eligible to participate in any of the savings or retirement programs for our employees. Other than as described in this section, there are no separate benefit plans for directors.</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2020 Non-Employee Director Compensation Table</w:t>
      </w:r>
    </w:p>
    <w:p>
      <w:pPr>
        <w:spacing w:after="0" w:line="148"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This table shows the compensation that each non-employee director received for his or her 2020 Board and Committee service.</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100" w:type="dxa"/>
            <w:vAlign w:val="bottom"/>
            <w:tcBorders>
              <w:top w:val="single" w:sz="8" w:color="00C1DE"/>
            </w:tcBorders>
          </w:tcPr>
          <w:p>
            <w:pPr>
              <w:spacing w:after="0"/>
              <w:rPr>
                <w:sz w:val="18"/>
                <w:szCs w:val="18"/>
                <w:color w:val="auto"/>
              </w:rPr>
            </w:pPr>
          </w:p>
        </w:tc>
        <w:tc>
          <w:tcPr>
            <w:tcW w:w="2020" w:type="dxa"/>
            <w:vAlign w:val="bottom"/>
            <w:tcBorders>
              <w:top w:val="single" w:sz="8" w:color="00C1DE"/>
            </w:tcBorders>
          </w:tcPr>
          <w:p>
            <w:pPr>
              <w:jc w:val="right"/>
              <w:ind w:right="182"/>
              <w:spacing w:after="0" w:line="213" w:lineRule="exact"/>
              <w:rPr>
                <w:sz w:val="20"/>
                <w:szCs w:val="20"/>
                <w:color w:val="auto"/>
              </w:rPr>
            </w:pPr>
            <w:r>
              <w:rPr>
                <w:rFonts w:ascii="Arial" w:cs="Arial" w:eastAsia="Arial" w:hAnsi="Arial"/>
                <w:sz w:val="20"/>
                <w:szCs w:val="20"/>
                <w:b w:val="1"/>
                <w:bCs w:val="1"/>
                <w:color w:val="00C1DE"/>
              </w:rPr>
              <w:t>Fees Earned or</w:t>
            </w:r>
          </w:p>
        </w:tc>
        <w:tc>
          <w:tcPr>
            <w:tcW w:w="2600" w:type="dxa"/>
            <w:vAlign w:val="bottom"/>
            <w:tcBorders>
              <w:top w:val="single" w:sz="8" w:color="00C1DE"/>
            </w:tcBorders>
          </w:tcPr>
          <w:p>
            <w:pPr>
              <w:spacing w:after="0"/>
              <w:rPr>
                <w:sz w:val="18"/>
                <w:szCs w:val="18"/>
                <w:color w:val="auto"/>
              </w:rPr>
            </w:pPr>
          </w:p>
        </w:tc>
        <w:tc>
          <w:tcPr>
            <w:tcW w:w="2900" w:type="dxa"/>
            <w:vAlign w:val="bottom"/>
            <w:tcBorders>
              <w:top w:val="single" w:sz="8" w:color="00C1DE"/>
            </w:tcBorders>
          </w:tcPr>
          <w:p>
            <w:pPr>
              <w:jc w:val="right"/>
              <w:ind w:right="402"/>
              <w:spacing w:after="0" w:line="213" w:lineRule="exact"/>
              <w:rPr>
                <w:sz w:val="20"/>
                <w:szCs w:val="20"/>
                <w:color w:val="auto"/>
              </w:rPr>
            </w:pPr>
            <w:r>
              <w:rPr>
                <w:rFonts w:ascii="Arial" w:cs="Arial" w:eastAsia="Arial" w:hAnsi="Arial"/>
                <w:sz w:val="20"/>
                <w:szCs w:val="20"/>
                <w:b w:val="1"/>
                <w:bCs w:val="1"/>
                <w:color w:val="00C1DE"/>
              </w:rPr>
              <w:t>All Other</w:t>
            </w:r>
          </w:p>
        </w:tc>
        <w:tc>
          <w:tcPr>
            <w:tcW w:w="1300" w:type="dxa"/>
            <w:vAlign w:val="bottom"/>
            <w:tcBorders>
              <w:top w:val="single" w:sz="8" w:color="00C1DE"/>
            </w:tcBorders>
          </w:tcPr>
          <w:p>
            <w:pPr>
              <w:spacing w:after="0"/>
              <w:rPr>
                <w:sz w:val="18"/>
                <w:szCs w:val="18"/>
                <w:color w:val="auto"/>
              </w:rPr>
            </w:pPr>
          </w:p>
        </w:tc>
      </w:tr>
      <w:tr>
        <w:trPr>
          <w:trHeight w:val="214"/>
        </w:trPr>
        <w:tc>
          <w:tcPr>
            <w:tcW w:w="2100" w:type="dxa"/>
            <w:vAlign w:val="bottom"/>
          </w:tcPr>
          <w:p>
            <w:pPr>
              <w:spacing w:after="0"/>
              <w:rPr>
                <w:sz w:val="18"/>
                <w:szCs w:val="18"/>
                <w:color w:val="auto"/>
              </w:rPr>
            </w:pPr>
          </w:p>
        </w:tc>
        <w:tc>
          <w:tcPr>
            <w:tcW w:w="2020" w:type="dxa"/>
            <w:vAlign w:val="bottom"/>
          </w:tcPr>
          <w:p>
            <w:pPr>
              <w:jc w:val="right"/>
              <w:ind w:right="182"/>
              <w:spacing w:after="0" w:line="214" w:lineRule="exact"/>
              <w:rPr>
                <w:sz w:val="20"/>
                <w:szCs w:val="20"/>
                <w:color w:val="auto"/>
              </w:rPr>
            </w:pPr>
            <w:r>
              <w:rPr>
                <w:rFonts w:ascii="Arial" w:cs="Arial" w:eastAsia="Arial" w:hAnsi="Arial"/>
                <w:sz w:val="20"/>
                <w:szCs w:val="20"/>
                <w:b w:val="1"/>
                <w:bCs w:val="1"/>
                <w:color w:val="00C1DE"/>
              </w:rPr>
              <w:t>Paid in Cash</w:t>
            </w:r>
            <w:r>
              <w:rPr>
                <w:rFonts w:ascii="Arial" w:cs="Arial" w:eastAsia="Arial" w:hAnsi="Arial"/>
                <w:sz w:val="16"/>
                <w:szCs w:val="16"/>
                <w:b w:val="1"/>
                <w:bCs w:val="1"/>
                <w:color w:val="00C1DE"/>
              </w:rPr>
              <w:t>(1)</w:t>
            </w:r>
          </w:p>
        </w:tc>
        <w:tc>
          <w:tcPr>
            <w:tcW w:w="2600" w:type="dxa"/>
            <w:vAlign w:val="bottom"/>
          </w:tcPr>
          <w:p>
            <w:pPr>
              <w:jc w:val="right"/>
              <w:ind w:right="762"/>
              <w:spacing w:after="0" w:line="214" w:lineRule="exact"/>
              <w:rPr>
                <w:sz w:val="20"/>
                <w:szCs w:val="20"/>
                <w:color w:val="auto"/>
              </w:rPr>
            </w:pPr>
            <w:r>
              <w:rPr>
                <w:rFonts w:ascii="Arial" w:cs="Arial" w:eastAsia="Arial" w:hAnsi="Arial"/>
                <w:sz w:val="20"/>
                <w:szCs w:val="20"/>
                <w:b w:val="1"/>
                <w:bCs w:val="1"/>
                <w:color w:val="00C1DE"/>
              </w:rPr>
              <w:t>Stock Awards</w:t>
            </w:r>
            <w:r>
              <w:rPr>
                <w:rFonts w:ascii="Arial" w:cs="Arial" w:eastAsia="Arial" w:hAnsi="Arial"/>
                <w:sz w:val="16"/>
                <w:szCs w:val="16"/>
                <w:b w:val="1"/>
                <w:bCs w:val="1"/>
                <w:color w:val="00C1DE"/>
              </w:rPr>
              <w:t>(2)</w:t>
            </w:r>
          </w:p>
        </w:tc>
        <w:tc>
          <w:tcPr>
            <w:tcW w:w="2900" w:type="dxa"/>
            <w:vAlign w:val="bottom"/>
          </w:tcPr>
          <w:p>
            <w:pPr>
              <w:jc w:val="right"/>
              <w:ind w:right="402"/>
              <w:spacing w:after="0" w:line="214" w:lineRule="exact"/>
              <w:rPr>
                <w:sz w:val="20"/>
                <w:szCs w:val="20"/>
                <w:color w:val="auto"/>
              </w:rPr>
            </w:pPr>
            <w:r>
              <w:rPr>
                <w:rFonts w:ascii="Arial" w:cs="Arial" w:eastAsia="Arial" w:hAnsi="Arial"/>
                <w:sz w:val="20"/>
                <w:szCs w:val="20"/>
                <w:b w:val="1"/>
                <w:bCs w:val="1"/>
                <w:color w:val="00C1DE"/>
              </w:rPr>
              <w:t>Compensation</w:t>
            </w:r>
            <w:r>
              <w:rPr>
                <w:rFonts w:ascii="Arial" w:cs="Arial" w:eastAsia="Arial" w:hAnsi="Arial"/>
                <w:sz w:val="16"/>
                <w:szCs w:val="16"/>
                <w:b w:val="1"/>
                <w:bCs w:val="1"/>
                <w:color w:val="00C1DE"/>
              </w:rPr>
              <w:t>(3)</w:t>
            </w:r>
          </w:p>
        </w:tc>
        <w:tc>
          <w:tcPr>
            <w:tcW w:w="130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Total</w:t>
            </w:r>
          </w:p>
        </w:tc>
      </w:tr>
      <w:tr>
        <w:trPr>
          <w:trHeight w:val="277"/>
        </w:trPr>
        <w:tc>
          <w:tcPr>
            <w:tcW w:w="210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Director</w:t>
            </w:r>
          </w:p>
        </w:tc>
        <w:tc>
          <w:tcPr>
            <w:tcW w:w="2020" w:type="dxa"/>
            <w:vAlign w:val="bottom"/>
            <w:tcBorders>
              <w:bottom w:val="single" w:sz="8" w:color="00C1DE"/>
            </w:tcBorders>
          </w:tcPr>
          <w:p>
            <w:pPr>
              <w:jc w:val="right"/>
              <w:ind w:right="182"/>
              <w:spacing w:after="0"/>
              <w:rPr>
                <w:sz w:val="20"/>
                <w:szCs w:val="20"/>
                <w:color w:val="auto"/>
              </w:rPr>
            </w:pPr>
            <w:r>
              <w:rPr>
                <w:rFonts w:ascii="Arial" w:cs="Arial" w:eastAsia="Arial" w:hAnsi="Arial"/>
                <w:sz w:val="20"/>
                <w:szCs w:val="20"/>
                <w:b w:val="1"/>
                <w:bCs w:val="1"/>
                <w:color w:val="00C1DE"/>
              </w:rPr>
              <w:t>($)</w:t>
            </w:r>
          </w:p>
        </w:tc>
        <w:tc>
          <w:tcPr>
            <w:tcW w:w="2600" w:type="dxa"/>
            <w:vAlign w:val="bottom"/>
            <w:tcBorders>
              <w:bottom w:val="single" w:sz="8" w:color="00C1DE"/>
            </w:tcBorders>
          </w:tcPr>
          <w:p>
            <w:pPr>
              <w:jc w:val="right"/>
              <w:ind w:right="762"/>
              <w:spacing w:after="0"/>
              <w:rPr>
                <w:sz w:val="20"/>
                <w:szCs w:val="20"/>
                <w:color w:val="auto"/>
              </w:rPr>
            </w:pPr>
            <w:r>
              <w:rPr>
                <w:rFonts w:ascii="Arial" w:cs="Arial" w:eastAsia="Arial" w:hAnsi="Arial"/>
                <w:sz w:val="20"/>
                <w:szCs w:val="20"/>
                <w:b w:val="1"/>
                <w:bCs w:val="1"/>
                <w:color w:val="00C1DE"/>
              </w:rPr>
              <w:t>($)</w:t>
            </w:r>
          </w:p>
        </w:tc>
        <w:tc>
          <w:tcPr>
            <w:tcW w:w="2900" w:type="dxa"/>
            <w:vAlign w:val="bottom"/>
            <w:tcBorders>
              <w:bottom w:val="single" w:sz="8" w:color="00C1DE"/>
            </w:tcBorders>
          </w:tcPr>
          <w:p>
            <w:pPr>
              <w:jc w:val="right"/>
              <w:ind w:right="402"/>
              <w:spacing w:after="0"/>
              <w:rPr>
                <w:sz w:val="20"/>
                <w:szCs w:val="20"/>
                <w:color w:val="auto"/>
              </w:rPr>
            </w:pPr>
            <w:r>
              <w:rPr>
                <w:rFonts w:ascii="Arial" w:cs="Arial" w:eastAsia="Arial" w:hAnsi="Arial"/>
                <w:sz w:val="20"/>
                <w:szCs w:val="20"/>
                <w:b w:val="1"/>
                <w:bCs w:val="1"/>
                <w:color w:val="00C1DE"/>
              </w:rPr>
              <w:t>($)</w:t>
            </w:r>
          </w:p>
        </w:tc>
        <w:tc>
          <w:tcPr>
            <w:tcW w:w="13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r>
      <w:tr>
        <w:trPr>
          <w:trHeight w:val="297"/>
        </w:trPr>
        <w:tc>
          <w:tcPr>
            <w:tcW w:w="2100" w:type="dxa"/>
            <w:vAlign w:val="bottom"/>
          </w:tcPr>
          <w:p>
            <w:pPr>
              <w:ind w:left="100"/>
              <w:spacing w:after="0"/>
              <w:rPr>
                <w:sz w:val="20"/>
                <w:szCs w:val="20"/>
                <w:color w:val="auto"/>
              </w:rPr>
            </w:pPr>
            <w:r>
              <w:rPr>
                <w:rFonts w:ascii="Arial" w:cs="Arial" w:eastAsia="Arial" w:hAnsi="Arial"/>
                <w:sz w:val="20"/>
                <w:szCs w:val="20"/>
                <w:color w:val="3E3935"/>
              </w:rPr>
              <w:t>Wesley G. Bush</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$139,792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$12,261</w:t>
            </w:r>
          </w:p>
        </w:tc>
        <w:tc>
          <w:tcPr>
            <w:tcW w:w="1300" w:type="dxa"/>
            <w:vAlign w:val="bottom"/>
          </w:tcPr>
          <w:p>
            <w:pPr>
              <w:jc w:val="right"/>
              <w:spacing w:after="0"/>
              <w:rPr>
                <w:sz w:val="20"/>
                <w:szCs w:val="20"/>
                <w:color w:val="auto"/>
              </w:rPr>
            </w:pPr>
            <w:r>
              <w:rPr>
                <w:rFonts w:ascii="Arial" w:cs="Arial" w:eastAsia="Arial" w:hAnsi="Arial"/>
                <w:sz w:val="20"/>
                <w:szCs w:val="20"/>
                <w:color w:val="3E3935"/>
              </w:rPr>
              <w:t>$343,056</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Linda R. Gooden</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$159,792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$22,990</w:t>
            </w:r>
          </w:p>
        </w:tc>
        <w:tc>
          <w:tcPr>
            <w:tcW w:w="1300" w:type="dxa"/>
            <w:vAlign w:val="bottom"/>
          </w:tcPr>
          <w:p>
            <w:pPr>
              <w:jc w:val="right"/>
              <w:spacing w:after="0"/>
              <w:rPr>
                <w:sz w:val="20"/>
                <w:szCs w:val="20"/>
                <w:color w:val="auto"/>
              </w:rPr>
            </w:pPr>
            <w:r>
              <w:rPr>
                <w:rFonts w:ascii="Arial" w:cs="Arial" w:eastAsia="Arial" w:hAnsi="Arial"/>
                <w:sz w:val="20"/>
                <w:szCs w:val="20"/>
                <w:color w:val="3E3935"/>
              </w:rPr>
              <w:t>$373,785</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Joseph Jimenez</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$159,792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$31,844</w:t>
            </w:r>
          </w:p>
        </w:tc>
        <w:tc>
          <w:tcPr>
            <w:tcW w:w="1300" w:type="dxa"/>
            <w:vAlign w:val="bottom"/>
          </w:tcPr>
          <w:p>
            <w:pPr>
              <w:jc w:val="right"/>
              <w:spacing w:after="0"/>
              <w:rPr>
                <w:sz w:val="20"/>
                <w:szCs w:val="20"/>
                <w:color w:val="auto"/>
              </w:rPr>
            </w:pPr>
            <w:r>
              <w:rPr>
                <w:rFonts w:ascii="Arial" w:cs="Arial" w:eastAsia="Arial" w:hAnsi="Arial"/>
                <w:sz w:val="20"/>
                <w:szCs w:val="20"/>
                <w:color w:val="3E3935"/>
              </w:rPr>
              <w:t>$382,639</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Jane L. Mendillo</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$139,792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$11,490</w:t>
            </w:r>
          </w:p>
        </w:tc>
        <w:tc>
          <w:tcPr>
            <w:tcW w:w="1300" w:type="dxa"/>
            <w:vAlign w:val="bottom"/>
          </w:tcPr>
          <w:p>
            <w:pPr>
              <w:jc w:val="right"/>
              <w:spacing w:after="0"/>
              <w:rPr>
                <w:sz w:val="20"/>
                <w:szCs w:val="20"/>
                <w:color w:val="auto"/>
              </w:rPr>
            </w:pPr>
            <w:r>
              <w:rPr>
                <w:rFonts w:ascii="Arial" w:cs="Arial" w:eastAsia="Arial" w:hAnsi="Arial"/>
                <w:sz w:val="20"/>
                <w:szCs w:val="20"/>
                <w:color w:val="3E3935"/>
              </w:rPr>
              <w:t>$342,285</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Judith A. Miscik</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$139,792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$30,865</w:t>
            </w:r>
          </w:p>
        </w:tc>
        <w:tc>
          <w:tcPr>
            <w:tcW w:w="1300" w:type="dxa"/>
            <w:vAlign w:val="bottom"/>
          </w:tcPr>
          <w:p>
            <w:pPr>
              <w:jc w:val="right"/>
              <w:spacing w:after="0"/>
              <w:rPr>
                <w:sz w:val="20"/>
                <w:szCs w:val="20"/>
                <w:color w:val="auto"/>
              </w:rPr>
            </w:pPr>
            <w:r>
              <w:rPr>
                <w:rFonts w:ascii="Arial" w:cs="Arial" w:eastAsia="Arial" w:hAnsi="Arial"/>
                <w:sz w:val="20"/>
                <w:szCs w:val="20"/>
                <w:color w:val="3E3935"/>
              </w:rPr>
              <w:t>$361,660</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Patricia F. Russo</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$159,792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$25,073</w:t>
            </w:r>
          </w:p>
        </w:tc>
        <w:tc>
          <w:tcPr>
            <w:tcW w:w="1300" w:type="dxa"/>
            <w:vAlign w:val="bottom"/>
          </w:tcPr>
          <w:p>
            <w:pPr>
              <w:jc w:val="right"/>
              <w:spacing w:after="0"/>
              <w:rPr>
                <w:sz w:val="20"/>
                <w:szCs w:val="20"/>
                <w:color w:val="auto"/>
              </w:rPr>
            </w:pPr>
            <w:r>
              <w:rPr>
                <w:rFonts w:ascii="Arial" w:cs="Arial" w:eastAsia="Arial" w:hAnsi="Arial"/>
                <w:sz w:val="20"/>
                <w:szCs w:val="20"/>
                <w:color w:val="3E3935"/>
              </w:rPr>
              <w:t>$375,868</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71"/>
        </w:trPr>
        <w:tc>
          <w:tcPr>
            <w:tcW w:w="2100" w:type="dxa"/>
            <w:vAlign w:val="bottom"/>
          </w:tcPr>
          <w:p>
            <w:pPr>
              <w:ind w:left="100"/>
              <w:spacing w:after="0"/>
              <w:rPr>
                <w:sz w:val="20"/>
                <w:szCs w:val="20"/>
                <w:color w:val="auto"/>
              </w:rPr>
            </w:pPr>
            <w:r>
              <w:rPr>
                <w:rFonts w:ascii="Arial" w:cs="Arial" w:eastAsia="Arial" w:hAnsi="Arial"/>
                <w:sz w:val="20"/>
                <w:szCs w:val="20"/>
                <w:color w:val="3E3935"/>
              </w:rPr>
              <w:t>Thomas M.</w:t>
            </w:r>
          </w:p>
        </w:tc>
        <w:tc>
          <w:tcPr>
            <w:tcW w:w="20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5"/>
        </w:trPr>
        <w:tc>
          <w:tcPr>
            <w:tcW w:w="2100" w:type="dxa"/>
            <w:vAlign w:val="bottom"/>
          </w:tcPr>
          <w:p>
            <w:pPr>
              <w:ind w:left="100"/>
              <w:spacing w:after="0"/>
              <w:rPr>
                <w:sz w:val="20"/>
                <w:szCs w:val="20"/>
                <w:color w:val="auto"/>
              </w:rPr>
            </w:pPr>
            <w:r>
              <w:rPr>
                <w:rFonts w:ascii="Arial" w:cs="Arial" w:eastAsia="Arial" w:hAnsi="Arial"/>
                <w:sz w:val="20"/>
                <w:szCs w:val="20"/>
                <w:color w:val="3E3935"/>
              </w:rPr>
              <w:t>Schoewe</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$169,792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$43,657</w:t>
            </w:r>
          </w:p>
        </w:tc>
        <w:tc>
          <w:tcPr>
            <w:tcW w:w="1300" w:type="dxa"/>
            <w:vAlign w:val="bottom"/>
          </w:tcPr>
          <w:p>
            <w:pPr>
              <w:jc w:val="right"/>
              <w:spacing w:after="0"/>
              <w:rPr>
                <w:sz w:val="20"/>
                <w:szCs w:val="20"/>
                <w:color w:val="auto"/>
              </w:rPr>
            </w:pPr>
            <w:r>
              <w:rPr>
                <w:rFonts w:ascii="Arial" w:cs="Arial" w:eastAsia="Arial" w:hAnsi="Arial"/>
                <w:sz w:val="20"/>
                <w:szCs w:val="20"/>
                <w:color w:val="3E3935"/>
              </w:rPr>
              <w:t>$404,452</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Theodore M. Solso</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$239,792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$36,573</w:t>
            </w:r>
          </w:p>
        </w:tc>
        <w:tc>
          <w:tcPr>
            <w:tcW w:w="1300" w:type="dxa"/>
            <w:vAlign w:val="bottom"/>
          </w:tcPr>
          <w:p>
            <w:pPr>
              <w:jc w:val="right"/>
              <w:spacing w:after="0"/>
              <w:rPr>
                <w:sz w:val="20"/>
                <w:szCs w:val="20"/>
                <w:color w:val="auto"/>
              </w:rPr>
            </w:pPr>
            <w:r>
              <w:rPr>
                <w:rFonts w:ascii="Arial" w:cs="Arial" w:eastAsia="Arial" w:hAnsi="Arial"/>
                <w:sz w:val="20"/>
                <w:szCs w:val="20"/>
                <w:color w:val="3E3935"/>
              </w:rPr>
              <w:t>$467,368</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71"/>
        </w:trPr>
        <w:tc>
          <w:tcPr>
            <w:tcW w:w="2100" w:type="dxa"/>
            <w:vAlign w:val="bottom"/>
          </w:tcPr>
          <w:p>
            <w:pPr>
              <w:ind w:left="100"/>
              <w:spacing w:after="0"/>
              <w:rPr>
                <w:sz w:val="20"/>
                <w:szCs w:val="20"/>
                <w:color w:val="auto"/>
              </w:rPr>
            </w:pPr>
            <w:r>
              <w:rPr>
                <w:rFonts w:ascii="Arial" w:cs="Arial" w:eastAsia="Arial" w:hAnsi="Arial"/>
                <w:sz w:val="20"/>
                <w:szCs w:val="20"/>
                <w:color w:val="3E3935"/>
              </w:rPr>
              <w:t>Carol M.</w:t>
            </w:r>
          </w:p>
        </w:tc>
        <w:tc>
          <w:tcPr>
            <w:tcW w:w="20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5"/>
        </w:trPr>
        <w:tc>
          <w:tcPr>
            <w:tcW w:w="2100" w:type="dxa"/>
            <w:vAlign w:val="bottom"/>
          </w:tcPr>
          <w:p>
            <w:pPr>
              <w:ind w:left="100"/>
              <w:spacing w:after="0"/>
              <w:rPr>
                <w:sz w:val="20"/>
                <w:szCs w:val="20"/>
                <w:color w:val="auto"/>
              </w:rPr>
            </w:pPr>
            <w:r>
              <w:rPr>
                <w:rFonts w:ascii="Arial" w:cs="Arial" w:eastAsia="Arial" w:hAnsi="Arial"/>
                <w:sz w:val="20"/>
                <w:szCs w:val="20"/>
                <w:color w:val="3E3935"/>
              </w:rPr>
              <w:t>Stephenson</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$159,792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$16,186</w:t>
            </w:r>
          </w:p>
        </w:tc>
        <w:tc>
          <w:tcPr>
            <w:tcW w:w="1300" w:type="dxa"/>
            <w:vAlign w:val="bottom"/>
          </w:tcPr>
          <w:p>
            <w:pPr>
              <w:jc w:val="right"/>
              <w:spacing w:after="0"/>
              <w:rPr>
                <w:sz w:val="20"/>
                <w:szCs w:val="20"/>
                <w:color w:val="auto"/>
              </w:rPr>
            </w:pPr>
            <w:r>
              <w:rPr>
                <w:rFonts w:ascii="Arial" w:cs="Arial" w:eastAsia="Arial" w:hAnsi="Arial"/>
                <w:sz w:val="20"/>
                <w:szCs w:val="20"/>
                <w:color w:val="3E3935"/>
              </w:rPr>
              <w:t>$363,798</w:t>
            </w:r>
          </w:p>
        </w:tc>
      </w:tr>
      <w:tr>
        <w:trPr>
          <w:trHeight w:val="62"/>
        </w:trPr>
        <w:tc>
          <w:tcPr>
            <w:tcW w:w="210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600" w:type="dxa"/>
            <w:vAlign w:val="bottom"/>
            <w:tcBorders>
              <w:bottom w:val="single" w:sz="8" w:color="3E3935"/>
            </w:tcBorders>
          </w:tcPr>
          <w:p>
            <w:pPr>
              <w:spacing w:after="0"/>
              <w:rPr>
                <w:sz w:val="5"/>
                <w:szCs w:val="5"/>
                <w:color w:val="auto"/>
              </w:rPr>
            </w:pPr>
          </w:p>
        </w:tc>
        <w:tc>
          <w:tcPr>
            <w:tcW w:w="290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292"/>
        </w:trPr>
        <w:tc>
          <w:tcPr>
            <w:tcW w:w="2100" w:type="dxa"/>
            <w:vAlign w:val="bottom"/>
          </w:tcPr>
          <w:p>
            <w:pPr>
              <w:ind w:left="100"/>
              <w:spacing w:after="0"/>
              <w:rPr>
                <w:sz w:val="20"/>
                <w:szCs w:val="20"/>
                <w:color w:val="auto"/>
              </w:rPr>
            </w:pPr>
            <w:r>
              <w:rPr>
                <w:rFonts w:ascii="Arial" w:cs="Arial" w:eastAsia="Arial" w:hAnsi="Arial"/>
                <w:sz w:val="20"/>
                <w:szCs w:val="20"/>
                <w:color w:val="3E3935"/>
              </w:rPr>
              <w:t>Devin N. Wenig</w:t>
            </w:r>
          </w:p>
        </w:tc>
        <w:tc>
          <w:tcPr>
            <w:tcW w:w="2020" w:type="dxa"/>
            <w:vAlign w:val="bottom"/>
          </w:tcPr>
          <w:p>
            <w:pPr>
              <w:jc w:val="right"/>
              <w:ind w:right="182"/>
              <w:spacing w:after="0"/>
              <w:rPr>
                <w:sz w:val="20"/>
                <w:szCs w:val="20"/>
                <w:color w:val="auto"/>
              </w:rPr>
            </w:pPr>
            <w:r>
              <w:rPr>
                <w:rFonts w:ascii="Arial" w:cs="Arial" w:eastAsia="Arial" w:hAnsi="Arial"/>
                <w:sz w:val="20"/>
                <w:szCs w:val="20"/>
                <w:color w:val="3E3935"/>
              </w:rPr>
              <w:t>$169,792</w:t>
            </w:r>
          </w:p>
        </w:tc>
        <w:tc>
          <w:tcPr>
            <w:tcW w:w="2600" w:type="dxa"/>
            <w:vAlign w:val="bottom"/>
          </w:tcPr>
          <w:p>
            <w:pPr>
              <w:jc w:val="right"/>
              <w:ind w:right="762"/>
              <w:spacing w:after="0"/>
              <w:rPr>
                <w:sz w:val="20"/>
                <w:szCs w:val="20"/>
                <w:color w:val="auto"/>
              </w:rPr>
            </w:pPr>
            <w:r>
              <w:rPr>
                <w:rFonts w:ascii="Arial" w:cs="Arial" w:eastAsia="Arial" w:hAnsi="Arial"/>
                <w:sz w:val="20"/>
                <w:szCs w:val="20"/>
                <w:color w:val="3E3935"/>
              </w:rPr>
              <w:t>$191,003</w:t>
            </w:r>
          </w:p>
        </w:tc>
        <w:tc>
          <w:tcPr>
            <w:tcW w:w="2900" w:type="dxa"/>
            <w:vAlign w:val="bottom"/>
          </w:tcPr>
          <w:p>
            <w:pPr>
              <w:jc w:val="right"/>
              <w:ind w:right="1102"/>
              <w:spacing w:after="0"/>
              <w:rPr>
                <w:sz w:val="20"/>
                <w:szCs w:val="20"/>
                <w:color w:val="auto"/>
              </w:rPr>
            </w:pPr>
            <w:r>
              <w:rPr>
                <w:rFonts w:ascii="Arial" w:cs="Arial" w:eastAsia="Arial" w:hAnsi="Arial"/>
                <w:sz w:val="20"/>
                <w:szCs w:val="20"/>
                <w:color w:val="3E3935"/>
              </w:rPr>
              <w:t>$10,261</w:t>
            </w:r>
          </w:p>
        </w:tc>
        <w:tc>
          <w:tcPr>
            <w:tcW w:w="1300" w:type="dxa"/>
            <w:vAlign w:val="bottom"/>
          </w:tcPr>
          <w:p>
            <w:pPr>
              <w:jc w:val="right"/>
              <w:spacing w:after="0"/>
              <w:rPr>
                <w:sz w:val="20"/>
                <w:szCs w:val="20"/>
                <w:color w:val="auto"/>
              </w:rPr>
            </w:pPr>
            <w:r>
              <w:rPr>
                <w:rFonts w:ascii="Arial" w:cs="Arial" w:eastAsia="Arial" w:hAnsi="Arial"/>
                <w:sz w:val="20"/>
                <w:szCs w:val="20"/>
                <w:color w:val="3E3935"/>
              </w:rPr>
              <w:t>$371,056</w:t>
            </w:r>
          </w:p>
        </w:tc>
      </w:tr>
      <w:tr>
        <w:trPr>
          <w:trHeight w:val="62"/>
        </w:trPr>
        <w:tc>
          <w:tcPr>
            <w:tcW w:w="2100" w:type="dxa"/>
            <w:vAlign w:val="bottom"/>
            <w:tcBorders>
              <w:bottom w:val="single" w:sz="8" w:color="0071CE"/>
            </w:tcBorders>
          </w:tcPr>
          <w:p>
            <w:pPr>
              <w:spacing w:after="0"/>
              <w:rPr>
                <w:sz w:val="5"/>
                <w:szCs w:val="5"/>
                <w:color w:val="auto"/>
              </w:rPr>
            </w:pPr>
          </w:p>
        </w:tc>
        <w:tc>
          <w:tcPr>
            <w:tcW w:w="2020" w:type="dxa"/>
            <w:vAlign w:val="bottom"/>
            <w:tcBorders>
              <w:bottom w:val="single" w:sz="8" w:color="0071CE"/>
            </w:tcBorders>
          </w:tcPr>
          <w:p>
            <w:pPr>
              <w:spacing w:after="0"/>
              <w:rPr>
                <w:sz w:val="5"/>
                <w:szCs w:val="5"/>
                <w:color w:val="auto"/>
              </w:rPr>
            </w:pPr>
          </w:p>
        </w:tc>
        <w:tc>
          <w:tcPr>
            <w:tcW w:w="2600" w:type="dxa"/>
            <w:vAlign w:val="bottom"/>
            <w:tcBorders>
              <w:bottom w:val="single" w:sz="8" w:color="0071CE"/>
            </w:tcBorders>
          </w:tcPr>
          <w:p>
            <w:pPr>
              <w:spacing w:after="0"/>
              <w:rPr>
                <w:sz w:val="5"/>
                <w:szCs w:val="5"/>
                <w:color w:val="auto"/>
              </w:rPr>
            </w:pPr>
          </w:p>
        </w:tc>
        <w:tc>
          <w:tcPr>
            <w:tcW w:w="2900" w:type="dxa"/>
            <w:vAlign w:val="bottom"/>
            <w:tcBorders>
              <w:bottom w:val="single" w:sz="8" w:color="0071CE"/>
            </w:tcBorders>
          </w:tcPr>
          <w:p>
            <w:pPr>
              <w:spacing w:after="0"/>
              <w:rPr>
                <w:sz w:val="5"/>
                <w:szCs w:val="5"/>
                <w:color w:val="auto"/>
              </w:rPr>
            </w:pPr>
          </w:p>
        </w:tc>
        <w:tc>
          <w:tcPr>
            <w:tcW w:w="1300" w:type="dxa"/>
            <w:vAlign w:val="bottom"/>
            <w:tcBorders>
              <w:bottom w:val="single" w:sz="8" w:color="0071CE"/>
            </w:tcBorders>
          </w:tcPr>
          <w:p>
            <w:pPr>
              <w:spacing w:after="0"/>
              <w:rPr>
                <w:sz w:val="5"/>
                <w:szCs w:val="5"/>
                <w:color w:val="auto"/>
              </w:rPr>
            </w:pPr>
          </w:p>
        </w:tc>
      </w:tr>
    </w:tbl>
    <w:p>
      <w:pPr>
        <w:spacing w:after="0" w:line="102" w:lineRule="exact"/>
        <w:rPr>
          <w:sz w:val="20"/>
          <w:szCs w:val="20"/>
          <w:color w:val="auto"/>
        </w:rPr>
      </w:pPr>
    </w:p>
    <w:p>
      <w:pPr>
        <w:jc w:val="both"/>
        <w:ind w:left="600" w:hanging="433"/>
        <w:spacing w:after="0" w:line="237" w:lineRule="auto"/>
        <w:tabs>
          <w:tab w:leader="none" w:pos="600" w:val="left"/>
        </w:tabs>
        <w:numPr>
          <w:ilvl w:val="0"/>
          <w:numId w:val="7"/>
        </w:numPr>
        <w:rPr>
          <w:rFonts w:ascii="Arial" w:cs="Arial" w:eastAsia="Arial" w:hAnsi="Arial"/>
          <w:sz w:val="18"/>
          <w:szCs w:val="18"/>
          <w:i w:val="1"/>
          <w:iCs w:val="1"/>
          <w:color w:val="3E3935"/>
        </w:rPr>
      </w:pPr>
      <w:r>
        <w:rPr>
          <w:rFonts w:ascii="Arial" w:cs="Arial" w:eastAsia="Arial" w:hAnsi="Arial"/>
          <w:sz w:val="18"/>
          <w:szCs w:val="18"/>
          <w:i w:val="1"/>
          <w:iCs w:val="1"/>
          <w:color w:val="3E3935"/>
        </w:rPr>
        <w:t>As described above, a Director may elect to defer all or a portion of his or her annual cash retainer into a DSU. This column reflects director compensation eligible to be paid in cash, which consists of 50% of the annual Board retainer and any applicable fees for Committee Chairs, the Independent Lead Director, and in the case of Mr. Wenig, for service on the Cruise LLC Board of Directors. As described above, due to the COVID-19 pandemic, the Board retainer was reduced for a portion of 2020. Each of the following directors elected to receive DSUs in lieu of such amounts eligible to be paid in cash in the following amounts: Mr. Bush — $139,792; Mr. Jimenez — $159,792; Ms. Mendillo — $139,792; Ms. Russo — $89,896; Mr. Solso — $239,792; Ms. Stephenson — $79,896; and Mr. Wenig — $169,792.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88265</wp:posOffset>
            </wp:positionV>
            <wp:extent cx="5927725" cy="101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24"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13</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600" w:hanging="433"/>
        <w:spacing w:after="0" w:line="242" w:lineRule="auto"/>
        <w:tabs>
          <w:tab w:leader="none" w:pos="600" w:val="left"/>
        </w:tabs>
        <w:numPr>
          <w:ilvl w:val="0"/>
          <w:numId w:val="8"/>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aggregate grant date fair value of DSUs granted in 2020, which does not include any cash fees that directors voluntarily elected to receive as DSUs. Grant date fair value is calculated by multiplying the number of DSUs granted by the closing price of GM common stock on December 31, 2020, which was $41.64. The holders of DSUs also receive dividend equivalents, which are reinvested in additional DSUs based on the market price of the common stock on the date the dividends are paid.</w:t>
      </w:r>
    </w:p>
    <w:p>
      <w:pPr>
        <w:spacing w:after="0" w:line="8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8"/>
        </w:numPr>
        <w:rPr>
          <w:rFonts w:ascii="Arial" w:cs="Arial" w:eastAsia="Arial" w:hAnsi="Arial"/>
          <w:sz w:val="18"/>
          <w:szCs w:val="18"/>
          <w:i w:val="1"/>
          <w:iCs w:val="1"/>
          <w:color w:val="3E3935"/>
        </w:rPr>
      </w:pPr>
      <w:r>
        <w:rPr>
          <w:rFonts w:ascii="Arial" w:cs="Arial" w:eastAsia="Arial" w:hAnsi="Arial"/>
          <w:sz w:val="18"/>
          <w:szCs w:val="18"/>
          <w:i w:val="1"/>
          <w:iCs w:val="1"/>
          <w:color w:val="3E3935"/>
        </w:rPr>
        <w:t>The following table provides more information on the type and amount of benefits included in the All Other Compensation column.</w:t>
      </w:r>
    </w:p>
    <w:p>
      <w:pPr>
        <w:sectPr>
          <w:pgSz w:w="11900" w:h="16838" w:orient="portrait"/>
          <w:cols w:equalWidth="0" w:num="1">
            <w:col w:w="11080"/>
          </w:cols>
          <w:pgMar w:left="320" w:top="456" w:right="499" w:bottom="1440" w:gutter="0" w:footer="0" w:header="0"/>
        </w:sectPr>
      </w:pP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580" w:type="dxa"/>
            <w:vAlign w:val="bottom"/>
            <w:tcBorders>
              <w:top w:val="single" w:sz="8" w:color="00C1DE"/>
            </w:tcBorders>
          </w:tcPr>
          <w:p>
            <w:pPr>
              <w:spacing w:after="0"/>
              <w:rPr>
                <w:sz w:val="18"/>
                <w:szCs w:val="18"/>
                <w:color w:val="auto"/>
              </w:rPr>
            </w:pPr>
          </w:p>
        </w:tc>
        <w:tc>
          <w:tcPr>
            <w:tcW w:w="1500" w:type="dxa"/>
            <w:vAlign w:val="bottom"/>
            <w:tcBorders>
              <w:top w:val="single" w:sz="8" w:color="00C1DE"/>
            </w:tcBorders>
          </w:tcPr>
          <w:p>
            <w:pPr>
              <w:jc w:val="right"/>
              <w:ind w:right="122"/>
              <w:spacing w:after="0" w:line="213" w:lineRule="exact"/>
              <w:rPr>
                <w:sz w:val="20"/>
                <w:szCs w:val="20"/>
                <w:color w:val="auto"/>
              </w:rPr>
            </w:pPr>
            <w:r>
              <w:rPr>
                <w:rFonts w:ascii="Arial" w:cs="Arial" w:eastAsia="Arial" w:hAnsi="Arial"/>
                <w:sz w:val="20"/>
                <w:szCs w:val="20"/>
                <w:b w:val="1"/>
                <w:bCs w:val="1"/>
                <w:color w:val="00C1DE"/>
              </w:rPr>
              <w:t>Company</w:t>
            </w:r>
          </w:p>
        </w:tc>
        <w:tc>
          <w:tcPr>
            <w:tcW w:w="880" w:type="dxa"/>
            <w:vAlign w:val="bottom"/>
            <w:tcBorders>
              <w:top w:val="single" w:sz="8" w:color="00C1DE"/>
            </w:tcBorders>
          </w:tcPr>
          <w:p>
            <w:pPr>
              <w:spacing w:after="0"/>
              <w:rPr>
                <w:sz w:val="18"/>
                <w:szCs w:val="18"/>
                <w:color w:val="auto"/>
              </w:rPr>
            </w:pPr>
          </w:p>
        </w:tc>
        <w:tc>
          <w:tcPr>
            <w:tcW w:w="920" w:type="dxa"/>
            <w:vAlign w:val="bottom"/>
            <w:tcBorders>
              <w:top w:val="single" w:sz="8" w:color="00C1DE"/>
            </w:tcBorders>
          </w:tcPr>
          <w:p>
            <w:pPr>
              <w:spacing w:after="0"/>
              <w:rPr>
                <w:sz w:val="18"/>
                <w:szCs w:val="18"/>
                <w:color w:val="auto"/>
              </w:rPr>
            </w:pPr>
          </w:p>
        </w:tc>
      </w:tr>
      <w:tr>
        <w:trPr>
          <w:trHeight w:val="214"/>
        </w:trPr>
        <w:tc>
          <w:tcPr>
            <w:tcW w:w="1580" w:type="dxa"/>
            <w:vAlign w:val="bottom"/>
          </w:tcPr>
          <w:p>
            <w:pPr>
              <w:spacing w:after="0"/>
              <w:rPr>
                <w:sz w:val="18"/>
                <w:szCs w:val="18"/>
                <w:color w:val="auto"/>
              </w:rPr>
            </w:pPr>
          </w:p>
        </w:tc>
        <w:tc>
          <w:tcPr>
            <w:tcW w:w="1500" w:type="dxa"/>
            <w:vAlign w:val="bottom"/>
          </w:tcPr>
          <w:p>
            <w:pPr>
              <w:jc w:val="right"/>
              <w:ind w:right="122"/>
              <w:spacing w:after="0" w:line="214" w:lineRule="exact"/>
              <w:rPr>
                <w:sz w:val="20"/>
                <w:szCs w:val="20"/>
                <w:color w:val="auto"/>
              </w:rPr>
            </w:pPr>
            <w:r>
              <w:rPr>
                <w:rFonts w:ascii="Arial" w:cs="Arial" w:eastAsia="Arial" w:hAnsi="Arial"/>
                <w:sz w:val="20"/>
                <w:szCs w:val="20"/>
                <w:b w:val="1"/>
                <w:bCs w:val="1"/>
                <w:color w:val="00C1DE"/>
              </w:rPr>
              <w:t>Vehicle</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1580" w:type="dxa"/>
            <w:vAlign w:val="bottom"/>
          </w:tcPr>
          <w:p>
            <w:pPr>
              <w:spacing w:after="0"/>
              <w:rPr>
                <w:sz w:val="18"/>
                <w:szCs w:val="18"/>
                <w:color w:val="auto"/>
              </w:rPr>
            </w:pPr>
          </w:p>
        </w:tc>
        <w:tc>
          <w:tcPr>
            <w:tcW w:w="1500" w:type="dxa"/>
            <w:vAlign w:val="bottom"/>
          </w:tcPr>
          <w:p>
            <w:pPr>
              <w:jc w:val="right"/>
              <w:ind w:right="122"/>
              <w:spacing w:after="0" w:line="214" w:lineRule="exact"/>
              <w:rPr>
                <w:sz w:val="20"/>
                <w:szCs w:val="20"/>
                <w:color w:val="auto"/>
              </w:rPr>
            </w:pPr>
            <w:r>
              <w:rPr>
                <w:rFonts w:ascii="Arial" w:cs="Arial" w:eastAsia="Arial" w:hAnsi="Arial"/>
                <w:sz w:val="20"/>
                <w:szCs w:val="20"/>
                <w:b w:val="1"/>
                <w:bCs w:val="1"/>
                <w:color w:val="00C1DE"/>
              </w:rPr>
              <w:t>Program</w:t>
            </w:r>
          </w:p>
        </w:tc>
        <w:tc>
          <w:tcPr>
            <w:tcW w:w="880" w:type="dxa"/>
            <w:vAlign w:val="bottom"/>
          </w:tcPr>
          <w:p>
            <w:pPr>
              <w:jc w:val="right"/>
              <w:ind w:right="22"/>
              <w:spacing w:after="0" w:line="214" w:lineRule="exact"/>
              <w:rPr>
                <w:sz w:val="20"/>
                <w:szCs w:val="20"/>
                <w:color w:val="auto"/>
              </w:rPr>
            </w:pPr>
            <w:r>
              <w:rPr>
                <w:rFonts w:ascii="Arial" w:cs="Arial" w:eastAsia="Arial" w:hAnsi="Arial"/>
                <w:sz w:val="20"/>
                <w:szCs w:val="20"/>
                <w:b w:val="1"/>
                <w:bCs w:val="1"/>
                <w:color w:val="00C1DE"/>
              </w:rPr>
              <w:t>Other</w:t>
            </w:r>
          </w:p>
        </w:tc>
        <w:tc>
          <w:tcPr>
            <w:tcW w:w="920" w:type="dxa"/>
            <w:vAlign w:val="bottom"/>
          </w:tcPr>
          <w:p>
            <w:pPr>
              <w:spacing w:after="0"/>
              <w:rPr>
                <w:sz w:val="18"/>
                <w:szCs w:val="18"/>
                <w:color w:val="auto"/>
              </w:rPr>
            </w:pPr>
          </w:p>
        </w:tc>
      </w:tr>
      <w:tr>
        <w:trPr>
          <w:trHeight w:val="277"/>
        </w:trPr>
        <w:tc>
          <w:tcPr>
            <w:tcW w:w="158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Director</w:t>
            </w:r>
          </w:p>
        </w:tc>
        <w:tc>
          <w:tcPr>
            <w:tcW w:w="1500" w:type="dxa"/>
            <w:vAlign w:val="bottom"/>
            <w:tcBorders>
              <w:bottom w:val="single" w:sz="8" w:color="00C1DE"/>
            </w:tcBorders>
          </w:tcPr>
          <w:p>
            <w:pPr>
              <w:jc w:val="right"/>
              <w:ind w:right="122"/>
              <w:spacing w:after="0"/>
              <w:rPr>
                <w:sz w:val="20"/>
                <w:szCs w:val="20"/>
                <w:color w:val="auto"/>
              </w:rPr>
            </w:pPr>
            <w:r>
              <w:rPr>
                <w:rFonts w:ascii="Arial" w:cs="Arial" w:eastAsia="Arial" w:hAnsi="Arial"/>
                <w:sz w:val="20"/>
                <w:szCs w:val="20"/>
                <w:b w:val="1"/>
                <w:bCs w:val="1"/>
                <w:color w:val="00C1DE"/>
              </w:rPr>
              <w:t>(a)</w:t>
            </w:r>
          </w:p>
        </w:tc>
        <w:tc>
          <w:tcPr>
            <w:tcW w:w="880" w:type="dxa"/>
            <w:vAlign w:val="bottom"/>
            <w:tcBorders>
              <w:bottom w:val="single" w:sz="8" w:color="00C1DE"/>
            </w:tcBorders>
          </w:tcPr>
          <w:p>
            <w:pPr>
              <w:jc w:val="right"/>
              <w:ind w:right="22"/>
              <w:spacing w:after="0"/>
              <w:rPr>
                <w:sz w:val="20"/>
                <w:szCs w:val="20"/>
                <w:color w:val="auto"/>
              </w:rPr>
            </w:pPr>
            <w:r>
              <w:rPr>
                <w:rFonts w:ascii="Arial" w:cs="Arial" w:eastAsia="Arial" w:hAnsi="Arial"/>
                <w:sz w:val="20"/>
                <w:szCs w:val="20"/>
                <w:b w:val="1"/>
                <w:bCs w:val="1"/>
                <w:color w:val="00C1DE"/>
              </w:rPr>
              <w:t>(b)</w:t>
            </w:r>
          </w:p>
        </w:tc>
        <w:tc>
          <w:tcPr>
            <w:tcW w:w="92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Total</w:t>
            </w:r>
          </w:p>
        </w:tc>
      </w:tr>
      <w:tr>
        <w:trPr>
          <w:trHeight w:val="297"/>
        </w:trPr>
        <w:tc>
          <w:tcPr>
            <w:tcW w:w="1580" w:type="dxa"/>
            <w:vAlign w:val="bottom"/>
          </w:tcPr>
          <w:p>
            <w:pPr>
              <w:ind w:left="100"/>
              <w:spacing w:after="0"/>
              <w:rPr>
                <w:sz w:val="20"/>
                <w:szCs w:val="20"/>
                <w:color w:val="auto"/>
              </w:rPr>
            </w:pPr>
            <w:r>
              <w:rPr>
                <w:rFonts w:ascii="Arial" w:cs="Arial" w:eastAsia="Arial" w:hAnsi="Arial"/>
                <w:sz w:val="20"/>
                <w:szCs w:val="20"/>
                <w:color w:val="3E3935"/>
              </w:rPr>
              <w:t>Mr. Bush</w:t>
            </w:r>
          </w:p>
        </w:tc>
        <w:tc>
          <w:tcPr>
            <w:tcW w:w="1500" w:type="dxa"/>
            <w:vAlign w:val="bottom"/>
          </w:tcPr>
          <w:p>
            <w:pPr>
              <w:jc w:val="right"/>
              <w:ind w:right="122"/>
              <w:spacing w:after="0"/>
              <w:rPr>
                <w:sz w:val="20"/>
                <w:szCs w:val="20"/>
                <w:color w:val="auto"/>
              </w:rPr>
            </w:pPr>
            <w:r>
              <w:rPr>
                <w:rFonts w:ascii="Arial" w:cs="Arial" w:eastAsia="Arial" w:hAnsi="Arial"/>
                <w:sz w:val="20"/>
                <w:szCs w:val="20"/>
                <w:color w:val="3E3935"/>
              </w:rPr>
              <w:t>$12,021</w:t>
            </w:r>
          </w:p>
        </w:tc>
        <w:tc>
          <w:tcPr>
            <w:tcW w:w="88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20" w:type="dxa"/>
            <w:vAlign w:val="bottom"/>
          </w:tcPr>
          <w:p>
            <w:pPr>
              <w:jc w:val="right"/>
              <w:spacing w:after="0"/>
              <w:rPr>
                <w:sz w:val="20"/>
                <w:szCs w:val="20"/>
                <w:color w:val="auto"/>
              </w:rPr>
            </w:pPr>
            <w:r>
              <w:rPr>
                <w:rFonts w:ascii="Arial" w:cs="Arial" w:eastAsia="Arial" w:hAnsi="Arial"/>
                <w:sz w:val="20"/>
                <w:szCs w:val="20"/>
                <w:color w:val="3E3935"/>
              </w:rPr>
              <w:t>$12,261</w:t>
            </w:r>
          </w:p>
        </w:tc>
      </w:tr>
      <w:tr>
        <w:trPr>
          <w:trHeight w:val="62"/>
        </w:trPr>
        <w:tc>
          <w:tcPr>
            <w:tcW w:w="158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c>
          <w:tcPr>
            <w:tcW w:w="880" w:type="dxa"/>
            <w:vAlign w:val="bottom"/>
            <w:tcBorders>
              <w:bottom w:val="single" w:sz="8" w:color="3E3935"/>
            </w:tcBorders>
          </w:tcPr>
          <w:p>
            <w:pPr>
              <w:spacing w:after="0"/>
              <w:rPr>
                <w:sz w:val="5"/>
                <w:szCs w:val="5"/>
                <w:color w:val="auto"/>
              </w:rPr>
            </w:pPr>
          </w:p>
        </w:tc>
        <w:tc>
          <w:tcPr>
            <w:tcW w:w="920" w:type="dxa"/>
            <w:vAlign w:val="bottom"/>
            <w:tcBorders>
              <w:bottom w:val="single" w:sz="8" w:color="3E3935"/>
            </w:tcBorders>
          </w:tcPr>
          <w:p>
            <w:pPr>
              <w:spacing w:after="0"/>
              <w:rPr>
                <w:sz w:val="5"/>
                <w:szCs w:val="5"/>
                <w:color w:val="auto"/>
              </w:rPr>
            </w:pPr>
          </w:p>
        </w:tc>
      </w:tr>
      <w:tr>
        <w:trPr>
          <w:trHeight w:val="292"/>
        </w:trPr>
        <w:tc>
          <w:tcPr>
            <w:tcW w:w="1580" w:type="dxa"/>
            <w:vAlign w:val="bottom"/>
          </w:tcPr>
          <w:p>
            <w:pPr>
              <w:ind w:left="100"/>
              <w:spacing w:after="0"/>
              <w:rPr>
                <w:sz w:val="20"/>
                <w:szCs w:val="20"/>
                <w:color w:val="auto"/>
              </w:rPr>
            </w:pPr>
            <w:r>
              <w:rPr>
                <w:rFonts w:ascii="Arial" w:cs="Arial" w:eastAsia="Arial" w:hAnsi="Arial"/>
                <w:sz w:val="20"/>
                <w:szCs w:val="20"/>
                <w:color w:val="3E3935"/>
              </w:rPr>
              <w:t>Ms. Gooden</w:t>
            </w:r>
          </w:p>
        </w:tc>
        <w:tc>
          <w:tcPr>
            <w:tcW w:w="1500" w:type="dxa"/>
            <w:vAlign w:val="bottom"/>
          </w:tcPr>
          <w:p>
            <w:pPr>
              <w:jc w:val="right"/>
              <w:ind w:right="122"/>
              <w:spacing w:after="0"/>
              <w:rPr>
                <w:sz w:val="20"/>
                <w:szCs w:val="20"/>
                <w:color w:val="auto"/>
              </w:rPr>
            </w:pPr>
            <w:r>
              <w:rPr>
                <w:rFonts w:ascii="Arial" w:cs="Arial" w:eastAsia="Arial" w:hAnsi="Arial"/>
                <w:sz w:val="20"/>
                <w:szCs w:val="20"/>
                <w:color w:val="3E3935"/>
              </w:rPr>
              <w:t>$22,750</w:t>
            </w:r>
          </w:p>
        </w:tc>
        <w:tc>
          <w:tcPr>
            <w:tcW w:w="88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20" w:type="dxa"/>
            <w:vAlign w:val="bottom"/>
          </w:tcPr>
          <w:p>
            <w:pPr>
              <w:jc w:val="right"/>
              <w:spacing w:after="0"/>
              <w:rPr>
                <w:sz w:val="20"/>
                <w:szCs w:val="20"/>
                <w:color w:val="auto"/>
              </w:rPr>
            </w:pPr>
            <w:r>
              <w:rPr>
                <w:rFonts w:ascii="Arial" w:cs="Arial" w:eastAsia="Arial" w:hAnsi="Arial"/>
                <w:sz w:val="20"/>
                <w:szCs w:val="20"/>
                <w:color w:val="3E3935"/>
              </w:rPr>
              <w:t>$22,990</w:t>
            </w:r>
          </w:p>
        </w:tc>
      </w:tr>
      <w:tr>
        <w:trPr>
          <w:trHeight w:val="62"/>
        </w:trPr>
        <w:tc>
          <w:tcPr>
            <w:tcW w:w="158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c>
          <w:tcPr>
            <w:tcW w:w="880" w:type="dxa"/>
            <w:vAlign w:val="bottom"/>
            <w:tcBorders>
              <w:bottom w:val="single" w:sz="8" w:color="3E3935"/>
            </w:tcBorders>
          </w:tcPr>
          <w:p>
            <w:pPr>
              <w:spacing w:after="0"/>
              <w:rPr>
                <w:sz w:val="5"/>
                <w:szCs w:val="5"/>
                <w:color w:val="auto"/>
              </w:rPr>
            </w:pPr>
          </w:p>
        </w:tc>
        <w:tc>
          <w:tcPr>
            <w:tcW w:w="920" w:type="dxa"/>
            <w:vAlign w:val="bottom"/>
            <w:tcBorders>
              <w:bottom w:val="single" w:sz="8" w:color="3E3935"/>
            </w:tcBorders>
          </w:tcPr>
          <w:p>
            <w:pPr>
              <w:spacing w:after="0"/>
              <w:rPr>
                <w:sz w:val="5"/>
                <w:szCs w:val="5"/>
                <w:color w:val="auto"/>
              </w:rPr>
            </w:pPr>
          </w:p>
        </w:tc>
      </w:tr>
      <w:tr>
        <w:trPr>
          <w:trHeight w:val="292"/>
        </w:trPr>
        <w:tc>
          <w:tcPr>
            <w:tcW w:w="1580" w:type="dxa"/>
            <w:vAlign w:val="bottom"/>
          </w:tcPr>
          <w:p>
            <w:pPr>
              <w:ind w:left="100"/>
              <w:spacing w:after="0"/>
              <w:rPr>
                <w:sz w:val="20"/>
                <w:szCs w:val="20"/>
                <w:color w:val="auto"/>
              </w:rPr>
            </w:pPr>
            <w:r>
              <w:rPr>
                <w:rFonts w:ascii="Arial" w:cs="Arial" w:eastAsia="Arial" w:hAnsi="Arial"/>
                <w:sz w:val="20"/>
                <w:szCs w:val="20"/>
                <w:color w:val="3E3935"/>
              </w:rPr>
              <w:t>Mr. Jimenez</w:t>
            </w:r>
          </w:p>
        </w:tc>
        <w:tc>
          <w:tcPr>
            <w:tcW w:w="1500" w:type="dxa"/>
            <w:vAlign w:val="bottom"/>
          </w:tcPr>
          <w:p>
            <w:pPr>
              <w:jc w:val="right"/>
              <w:ind w:right="122"/>
              <w:spacing w:after="0"/>
              <w:rPr>
                <w:sz w:val="20"/>
                <w:szCs w:val="20"/>
                <w:color w:val="auto"/>
              </w:rPr>
            </w:pPr>
            <w:r>
              <w:rPr>
                <w:rFonts w:ascii="Arial" w:cs="Arial" w:eastAsia="Arial" w:hAnsi="Arial"/>
                <w:sz w:val="20"/>
                <w:szCs w:val="20"/>
                <w:color w:val="3E3935"/>
              </w:rPr>
              <w:t>$31,604</w:t>
            </w:r>
          </w:p>
        </w:tc>
        <w:tc>
          <w:tcPr>
            <w:tcW w:w="88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20" w:type="dxa"/>
            <w:vAlign w:val="bottom"/>
          </w:tcPr>
          <w:p>
            <w:pPr>
              <w:jc w:val="right"/>
              <w:spacing w:after="0"/>
              <w:rPr>
                <w:sz w:val="20"/>
                <w:szCs w:val="20"/>
                <w:color w:val="auto"/>
              </w:rPr>
            </w:pPr>
            <w:r>
              <w:rPr>
                <w:rFonts w:ascii="Arial" w:cs="Arial" w:eastAsia="Arial" w:hAnsi="Arial"/>
                <w:sz w:val="20"/>
                <w:szCs w:val="20"/>
                <w:color w:val="3E3935"/>
              </w:rPr>
              <w:t>$31,844</w:t>
            </w:r>
          </w:p>
        </w:tc>
      </w:tr>
      <w:tr>
        <w:trPr>
          <w:trHeight w:val="62"/>
        </w:trPr>
        <w:tc>
          <w:tcPr>
            <w:tcW w:w="158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c>
          <w:tcPr>
            <w:tcW w:w="880" w:type="dxa"/>
            <w:vAlign w:val="bottom"/>
            <w:tcBorders>
              <w:bottom w:val="single" w:sz="8" w:color="3E3935"/>
            </w:tcBorders>
          </w:tcPr>
          <w:p>
            <w:pPr>
              <w:spacing w:after="0"/>
              <w:rPr>
                <w:sz w:val="5"/>
                <w:szCs w:val="5"/>
                <w:color w:val="auto"/>
              </w:rPr>
            </w:pPr>
          </w:p>
        </w:tc>
        <w:tc>
          <w:tcPr>
            <w:tcW w:w="920" w:type="dxa"/>
            <w:vAlign w:val="bottom"/>
            <w:tcBorders>
              <w:bottom w:val="single" w:sz="8" w:color="3E3935"/>
            </w:tcBorders>
          </w:tcPr>
          <w:p>
            <w:pPr>
              <w:spacing w:after="0"/>
              <w:rPr>
                <w:sz w:val="5"/>
                <w:szCs w:val="5"/>
                <w:color w:val="auto"/>
              </w:rPr>
            </w:pPr>
          </w:p>
        </w:tc>
      </w:tr>
      <w:tr>
        <w:trPr>
          <w:trHeight w:val="292"/>
        </w:trPr>
        <w:tc>
          <w:tcPr>
            <w:tcW w:w="1580" w:type="dxa"/>
            <w:vAlign w:val="bottom"/>
          </w:tcPr>
          <w:p>
            <w:pPr>
              <w:ind w:left="100"/>
              <w:spacing w:after="0"/>
              <w:rPr>
                <w:sz w:val="20"/>
                <w:szCs w:val="20"/>
                <w:color w:val="auto"/>
              </w:rPr>
            </w:pPr>
            <w:r>
              <w:rPr>
                <w:rFonts w:ascii="Arial" w:cs="Arial" w:eastAsia="Arial" w:hAnsi="Arial"/>
                <w:sz w:val="20"/>
                <w:szCs w:val="20"/>
                <w:color w:val="3E3935"/>
              </w:rPr>
              <w:t>Ms. Mendillo</w:t>
            </w:r>
          </w:p>
        </w:tc>
        <w:tc>
          <w:tcPr>
            <w:tcW w:w="1500" w:type="dxa"/>
            <w:vAlign w:val="bottom"/>
          </w:tcPr>
          <w:p>
            <w:pPr>
              <w:jc w:val="right"/>
              <w:ind w:right="122"/>
              <w:spacing w:after="0"/>
              <w:rPr>
                <w:sz w:val="20"/>
                <w:szCs w:val="20"/>
                <w:color w:val="auto"/>
              </w:rPr>
            </w:pPr>
            <w:r>
              <w:rPr>
                <w:rFonts w:ascii="Arial" w:cs="Arial" w:eastAsia="Arial" w:hAnsi="Arial"/>
                <w:sz w:val="20"/>
                <w:szCs w:val="20"/>
                <w:color w:val="3E3935"/>
              </w:rPr>
              <w:t>$11,250</w:t>
            </w:r>
          </w:p>
        </w:tc>
        <w:tc>
          <w:tcPr>
            <w:tcW w:w="88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20" w:type="dxa"/>
            <w:vAlign w:val="bottom"/>
          </w:tcPr>
          <w:p>
            <w:pPr>
              <w:jc w:val="right"/>
              <w:spacing w:after="0"/>
              <w:rPr>
                <w:sz w:val="20"/>
                <w:szCs w:val="20"/>
                <w:color w:val="auto"/>
              </w:rPr>
            </w:pPr>
            <w:r>
              <w:rPr>
                <w:rFonts w:ascii="Arial" w:cs="Arial" w:eastAsia="Arial" w:hAnsi="Arial"/>
                <w:sz w:val="20"/>
                <w:szCs w:val="20"/>
                <w:color w:val="3E3935"/>
              </w:rPr>
              <w:t>$11,490</w:t>
            </w:r>
          </w:p>
        </w:tc>
      </w:tr>
      <w:tr>
        <w:trPr>
          <w:trHeight w:val="62"/>
        </w:trPr>
        <w:tc>
          <w:tcPr>
            <w:tcW w:w="1580" w:type="dxa"/>
            <w:vAlign w:val="bottom"/>
            <w:tcBorders>
              <w:bottom w:val="single" w:sz="8" w:color="3E3935"/>
            </w:tcBorders>
          </w:tcPr>
          <w:p>
            <w:pPr>
              <w:spacing w:after="0"/>
              <w:rPr>
                <w:sz w:val="5"/>
                <w:szCs w:val="5"/>
                <w:color w:val="auto"/>
              </w:rPr>
            </w:pPr>
          </w:p>
        </w:tc>
        <w:tc>
          <w:tcPr>
            <w:tcW w:w="1500" w:type="dxa"/>
            <w:vAlign w:val="bottom"/>
            <w:tcBorders>
              <w:bottom w:val="single" w:sz="8" w:color="3E3935"/>
            </w:tcBorders>
          </w:tcPr>
          <w:p>
            <w:pPr>
              <w:spacing w:after="0"/>
              <w:rPr>
                <w:sz w:val="5"/>
                <w:szCs w:val="5"/>
                <w:color w:val="auto"/>
              </w:rPr>
            </w:pPr>
          </w:p>
        </w:tc>
        <w:tc>
          <w:tcPr>
            <w:tcW w:w="880" w:type="dxa"/>
            <w:vAlign w:val="bottom"/>
            <w:tcBorders>
              <w:bottom w:val="single" w:sz="8" w:color="3E3935"/>
            </w:tcBorders>
          </w:tcPr>
          <w:p>
            <w:pPr>
              <w:spacing w:after="0"/>
              <w:rPr>
                <w:sz w:val="5"/>
                <w:szCs w:val="5"/>
                <w:color w:val="auto"/>
              </w:rPr>
            </w:pPr>
          </w:p>
        </w:tc>
        <w:tc>
          <w:tcPr>
            <w:tcW w:w="920" w:type="dxa"/>
            <w:vAlign w:val="bottom"/>
            <w:tcBorders>
              <w:bottom w:val="single" w:sz="8" w:color="3E3935"/>
            </w:tcBorders>
          </w:tcPr>
          <w:p>
            <w:pPr>
              <w:spacing w:after="0"/>
              <w:rPr>
                <w:sz w:val="5"/>
                <w:szCs w:val="5"/>
                <w:color w:val="auto"/>
              </w:rPr>
            </w:pPr>
          </w:p>
        </w:tc>
      </w:tr>
      <w:tr>
        <w:trPr>
          <w:trHeight w:val="292"/>
        </w:trPr>
        <w:tc>
          <w:tcPr>
            <w:tcW w:w="1580" w:type="dxa"/>
            <w:vAlign w:val="bottom"/>
          </w:tcPr>
          <w:p>
            <w:pPr>
              <w:ind w:left="100"/>
              <w:spacing w:after="0"/>
              <w:rPr>
                <w:sz w:val="20"/>
                <w:szCs w:val="20"/>
                <w:color w:val="auto"/>
              </w:rPr>
            </w:pPr>
            <w:r>
              <w:rPr>
                <w:rFonts w:ascii="Arial" w:cs="Arial" w:eastAsia="Arial" w:hAnsi="Arial"/>
                <w:sz w:val="20"/>
                <w:szCs w:val="20"/>
                <w:color w:val="3E3935"/>
              </w:rPr>
              <w:t>Ms. Miscik</w:t>
            </w:r>
          </w:p>
        </w:tc>
        <w:tc>
          <w:tcPr>
            <w:tcW w:w="1500" w:type="dxa"/>
            <w:vAlign w:val="bottom"/>
          </w:tcPr>
          <w:p>
            <w:pPr>
              <w:jc w:val="right"/>
              <w:ind w:right="122"/>
              <w:spacing w:after="0"/>
              <w:rPr>
                <w:sz w:val="20"/>
                <w:szCs w:val="20"/>
                <w:color w:val="auto"/>
              </w:rPr>
            </w:pPr>
            <w:r>
              <w:rPr>
                <w:rFonts w:ascii="Arial" w:cs="Arial" w:eastAsia="Arial" w:hAnsi="Arial"/>
                <w:sz w:val="20"/>
                <w:szCs w:val="20"/>
                <w:color w:val="3E3935"/>
              </w:rPr>
              <w:t>$30,625</w:t>
            </w:r>
          </w:p>
        </w:tc>
        <w:tc>
          <w:tcPr>
            <w:tcW w:w="88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20" w:type="dxa"/>
            <w:vAlign w:val="bottom"/>
          </w:tcPr>
          <w:p>
            <w:pPr>
              <w:jc w:val="right"/>
              <w:spacing w:after="0"/>
              <w:rPr>
                <w:sz w:val="20"/>
                <w:szCs w:val="20"/>
                <w:color w:val="auto"/>
              </w:rPr>
            </w:pPr>
            <w:r>
              <w:rPr>
                <w:rFonts w:ascii="Arial" w:cs="Arial" w:eastAsia="Arial" w:hAnsi="Arial"/>
                <w:sz w:val="20"/>
                <w:szCs w:val="20"/>
                <w:color w:val="3E3935"/>
              </w:rPr>
              <w:t>$30,865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099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40" w:type="dxa"/>
            <w:vAlign w:val="bottom"/>
            <w:tcBorders>
              <w:top w:val="single" w:sz="8" w:color="00C1DE"/>
            </w:tcBorders>
          </w:tcPr>
          <w:p>
            <w:pPr>
              <w:spacing w:after="0"/>
              <w:rPr>
                <w:sz w:val="18"/>
                <w:szCs w:val="18"/>
                <w:color w:val="auto"/>
              </w:rPr>
            </w:pPr>
          </w:p>
        </w:tc>
        <w:tc>
          <w:tcPr>
            <w:tcW w:w="1460" w:type="dxa"/>
            <w:vAlign w:val="bottom"/>
            <w:tcBorders>
              <w:top w:val="single" w:sz="8" w:color="00C1DE"/>
            </w:tcBorders>
          </w:tcPr>
          <w:p>
            <w:pPr>
              <w:jc w:val="right"/>
              <w:ind w:right="142"/>
              <w:spacing w:after="0" w:line="213" w:lineRule="exact"/>
              <w:rPr>
                <w:sz w:val="20"/>
                <w:szCs w:val="20"/>
                <w:color w:val="auto"/>
              </w:rPr>
            </w:pPr>
            <w:r>
              <w:rPr>
                <w:rFonts w:ascii="Arial" w:cs="Arial" w:eastAsia="Arial" w:hAnsi="Arial"/>
                <w:sz w:val="20"/>
                <w:szCs w:val="20"/>
                <w:b w:val="1"/>
                <w:bCs w:val="1"/>
                <w:color w:val="00C1DE"/>
              </w:rPr>
              <w:t>Company</w:t>
            </w:r>
          </w:p>
        </w:tc>
        <w:tc>
          <w:tcPr>
            <w:tcW w:w="860" w:type="dxa"/>
            <w:vAlign w:val="bottom"/>
            <w:tcBorders>
              <w:top w:val="single" w:sz="8" w:color="00C1DE"/>
            </w:tcBorders>
          </w:tcPr>
          <w:p>
            <w:pPr>
              <w:spacing w:after="0"/>
              <w:rPr>
                <w:sz w:val="18"/>
                <w:szCs w:val="18"/>
                <w:color w:val="auto"/>
              </w:rPr>
            </w:pPr>
          </w:p>
        </w:tc>
        <w:tc>
          <w:tcPr>
            <w:tcW w:w="940" w:type="dxa"/>
            <w:vAlign w:val="bottom"/>
            <w:tcBorders>
              <w:top w:val="single" w:sz="8" w:color="00C1DE"/>
            </w:tcBorders>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146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C1DE"/>
              </w:rPr>
              <w:t>Vehicle</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2040" w:type="dxa"/>
            <w:vAlign w:val="bottom"/>
          </w:tcPr>
          <w:p>
            <w:pPr>
              <w:spacing w:after="0"/>
              <w:rPr>
                <w:sz w:val="18"/>
                <w:szCs w:val="18"/>
                <w:color w:val="auto"/>
              </w:rPr>
            </w:pPr>
          </w:p>
        </w:tc>
        <w:tc>
          <w:tcPr>
            <w:tcW w:w="146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C1DE"/>
              </w:rPr>
              <w:t>Program</w:t>
            </w:r>
          </w:p>
        </w:tc>
        <w:tc>
          <w:tcPr>
            <w:tcW w:w="860" w:type="dxa"/>
            <w:vAlign w:val="bottom"/>
          </w:tcPr>
          <w:p>
            <w:pPr>
              <w:jc w:val="right"/>
              <w:ind w:right="22"/>
              <w:spacing w:after="0" w:line="214" w:lineRule="exact"/>
              <w:rPr>
                <w:sz w:val="20"/>
                <w:szCs w:val="20"/>
                <w:color w:val="auto"/>
              </w:rPr>
            </w:pPr>
            <w:r>
              <w:rPr>
                <w:rFonts w:ascii="Arial" w:cs="Arial" w:eastAsia="Arial" w:hAnsi="Arial"/>
                <w:sz w:val="20"/>
                <w:szCs w:val="20"/>
                <w:b w:val="1"/>
                <w:bCs w:val="1"/>
                <w:color w:val="00C1DE"/>
              </w:rPr>
              <w:t>Other</w:t>
            </w:r>
          </w:p>
        </w:tc>
        <w:tc>
          <w:tcPr>
            <w:tcW w:w="940" w:type="dxa"/>
            <w:vAlign w:val="bottom"/>
          </w:tcPr>
          <w:p>
            <w:pPr>
              <w:spacing w:after="0"/>
              <w:rPr>
                <w:sz w:val="18"/>
                <w:szCs w:val="18"/>
                <w:color w:val="auto"/>
              </w:rPr>
            </w:pPr>
          </w:p>
        </w:tc>
      </w:tr>
      <w:tr>
        <w:trPr>
          <w:trHeight w:val="277"/>
        </w:trPr>
        <w:tc>
          <w:tcPr>
            <w:tcW w:w="2040" w:type="dxa"/>
            <w:vAlign w:val="bottom"/>
            <w:tcBorders>
              <w:bottom w:val="single" w:sz="8" w:color="00C1DE"/>
            </w:tcBorders>
          </w:tcPr>
          <w:p>
            <w:pPr>
              <w:ind w:left="200"/>
              <w:spacing w:after="0"/>
              <w:rPr>
                <w:sz w:val="20"/>
                <w:szCs w:val="20"/>
                <w:color w:val="auto"/>
              </w:rPr>
            </w:pPr>
            <w:r>
              <w:rPr>
                <w:rFonts w:ascii="Arial" w:cs="Arial" w:eastAsia="Arial" w:hAnsi="Arial"/>
                <w:sz w:val="20"/>
                <w:szCs w:val="20"/>
                <w:b w:val="1"/>
                <w:bCs w:val="1"/>
                <w:color w:val="00C1DE"/>
              </w:rPr>
              <w:t>Director</w:t>
            </w:r>
          </w:p>
        </w:tc>
        <w:tc>
          <w:tcPr>
            <w:tcW w:w="1460" w:type="dxa"/>
            <w:vAlign w:val="bottom"/>
            <w:tcBorders>
              <w:bottom w:val="single" w:sz="8" w:color="00C1DE"/>
            </w:tcBorders>
          </w:tcPr>
          <w:p>
            <w:pPr>
              <w:jc w:val="right"/>
              <w:ind w:right="142"/>
              <w:spacing w:after="0"/>
              <w:rPr>
                <w:sz w:val="20"/>
                <w:szCs w:val="20"/>
                <w:color w:val="auto"/>
              </w:rPr>
            </w:pPr>
            <w:r>
              <w:rPr>
                <w:rFonts w:ascii="Arial" w:cs="Arial" w:eastAsia="Arial" w:hAnsi="Arial"/>
                <w:sz w:val="20"/>
                <w:szCs w:val="20"/>
                <w:b w:val="1"/>
                <w:bCs w:val="1"/>
                <w:color w:val="00C1DE"/>
              </w:rPr>
              <w:t>(a)</w:t>
            </w:r>
          </w:p>
        </w:tc>
        <w:tc>
          <w:tcPr>
            <w:tcW w:w="860" w:type="dxa"/>
            <w:vAlign w:val="bottom"/>
            <w:tcBorders>
              <w:bottom w:val="single" w:sz="8" w:color="00C1DE"/>
            </w:tcBorders>
          </w:tcPr>
          <w:p>
            <w:pPr>
              <w:jc w:val="right"/>
              <w:ind w:right="22"/>
              <w:spacing w:after="0"/>
              <w:rPr>
                <w:sz w:val="20"/>
                <w:szCs w:val="20"/>
                <w:color w:val="auto"/>
              </w:rPr>
            </w:pPr>
            <w:r>
              <w:rPr>
                <w:rFonts w:ascii="Arial" w:cs="Arial" w:eastAsia="Arial" w:hAnsi="Arial"/>
                <w:sz w:val="20"/>
                <w:szCs w:val="20"/>
                <w:b w:val="1"/>
                <w:bCs w:val="1"/>
                <w:color w:val="00C1DE"/>
              </w:rPr>
              <w:t>(b)</w:t>
            </w:r>
          </w:p>
        </w:tc>
        <w:tc>
          <w:tcPr>
            <w:tcW w:w="940" w:type="dxa"/>
            <w:vAlign w:val="bottom"/>
            <w:tcBorders>
              <w:bottom w:val="single" w:sz="8" w:color="00C1DE"/>
            </w:tcBorders>
          </w:tcPr>
          <w:p>
            <w:pPr>
              <w:jc w:val="right"/>
              <w:ind w:right="2"/>
              <w:spacing w:after="0"/>
              <w:rPr>
                <w:sz w:val="20"/>
                <w:szCs w:val="20"/>
                <w:color w:val="auto"/>
              </w:rPr>
            </w:pPr>
            <w:r>
              <w:rPr>
                <w:rFonts w:ascii="Arial" w:cs="Arial" w:eastAsia="Arial" w:hAnsi="Arial"/>
                <w:sz w:val="20"/>
                <w:szCs w:val="20"/>
                <w:b w:val="1"/>
                <w:bCs w:val="1"/>
                <w:color w:val="00C1DE"/>
              </w:rPr>
              <w:t>Total</w:t>
            </w:r>
          </w:p>
        </w:tc>
      </w:tr>
      <w:tr>
        <w:trPr>
          <w:trHeight w:val="297"/>
        </w:trPr>
        <w:tc>
          <w:tcPr>
            <w:tcW w:w="2040" w:type="dxa"/>
            <w:vAlign w:val="bottom"/>
          </w:tcPr>
          <w:p>
            <w:pPr>
              <w:ind w:left="300"/>
              <w:spacing w:after="0"/>
              <w:rPr>
                <w:sz w:val="20"/>
                <w:szCs w:val="20"/>
                <w:color w:val="auto"/>
              </w:rPr>
            </w:pPr>
            <w:r>
              <w:rPr>
                <w:rFonts w:ascii="Arial" w:cs="Arial" w:eastAsia="Arial" w:hAnsi="Arial"/>
                <w:sz w:val="20"/>
                <w:szCs w:val="20"/>
                <w:color w:val="3E3935"/>
              </w:rPr>
              <w:t>Ms. Russo</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$24,833</w:t>
            </w:r>
          </w:p>
        </w:tc>
        <w:tc>
          <w:tcPr>
            <w:tcW w:w="86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40" w:type="dxa"/>
            <w:vAlign w:val="bottom"/>
          </w:tcPr>
          <w:p>
            <w:pPr>
              <w:jc w:val="right"/>
              <w:ind w:right="2"/>
              <w:spacing w:after="0"/>
              <w:rPr>
                <w:sz w:val="20"/>
                <w:szCs w:val="20"/>
                <w:color w:val="auto"/>
              </w:rPr>
            </w:pPr>
            <w:r>
              <w:rPr>
                <w:rFonts w:ascii="Arial" w:cs="Arial" w:eastAsia="Arial" w:hAnsi="Arial"/>
                <w:sz w:val="20"/>
                <w:szCs w:val="20"/>
                <w:color w:val="3E3935"/>
              </w:rPr>
              <w:t>$25,073</w:t>
            </w:r>
          </w:p>
        </w:tc>
      </w:tr>
      <w:tr>
        <w:trPr>
          <w:trHeight w:val="62"/>
        </w:trPr>
        <w:tc>
          <w:tcPr>
            <w:tcW w:w="2040" w:type="dxa"/>
            <w:vAlign w:val="bottom"/>
            <w:tcBorders>
              <w:bottom w:val="single" w:sz="8" w:color="3E3935"/>
            </w:tcBorders>
          </w:tcPr>
          <w:p>
            <w:pPr>
              <w:spacing w:after="0"/>
              <w:rPr>
                <w:sz w:val="5"/>
                <w:szCs w:val="5"/>
                <w:color w:val="auto"/>
              </w:rPr>
            </w:pPr>
          </w:p>
        </w:tc>
        <w:tc>
          <w:tcPr>
            <w:tcW w:w="1460" w:type="dxa"/>
            <w:vAlign w:val="bottom"/>
            <w:tcBorders>
              <w:bottom w:val="single" w:sz="8" w:color="3E3935"/>
            </w:tcBorders>
          </w:tcPr>
          <w:p>
            <w:pPr>
              <w:spacing w:after="0"/>
              <w:rPr>
                <w:sz w:val="5"/>
                <w:szCs w:val="5"/>
                <w:color w:val="auto"/>
              </w:rPr>
            </w:pPr>
          </w:p>
        </w:tc>
        <w:tc>
          <w:tcPr>
            <w:tcW w:w="86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r>
      <w:tr>
        <w:trPr>
          <w:trHeight w:val="292"/>
        </w:trPr>
        <w:tc>
          <w:tcPr>
            <w:tcW w:w="2040" w:type="dxa"/>
            <w:vAlign w:val="bottom"/>
          </w:tcPr>
          <w:p>
            <w:pPr>
              <w:ind w:left="300"/>
              <w:spacing w:after="0"/>
              <w:rPr>
                <w:sz w:val="20"/>
                <w:szCs w:val="20"/>
                <w:color w:val="auto"/>
              </w:rPr>
            </w:pPr>
            <w:r>
              <w:rPr>
                <w:rFonts w:ascii="Arial" w:cs="Arial" w:eastAsia="Arial" w:hAnsi="Arial"/>
                <w:sz w:val="20"/>
                <w:szCs w:val="20"/>
                <w:color w:val="3E3935"/>
              </w:rPr>
              <w:t>Mr. Schoewe</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$43,417</w:t>
            </w:r>
          </w:p>
        </w:tc>
        <w:tc>
          <w:tcPr>
            <w:tcW w:w="86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40" w:type="dxa"/>
            <w:vAlign w:val="bottom"/>
          </w:tcPr>
          <w:p>
            <w:pPr>
              <w:jc w:val="right"/>
              <w:ind w:right="2"/>
              <w:spacing w:after="0"/>
              <w:rPr>
                <w:sz w:val="20"/>
                <w:szCs w:val="20"/>
                <w:color w:val="auto"/>
              </w:rPr>
            </w:pPr>
            <w:r>
              <w:rPr>
                <w:rFonts w:ascii="Arial" w:cs="Arial" w:eastAsia="Arial" w:hAnsi="Arial"/>
                <w:sz w:val="20"/>
                <w:szCs w:val="20"/>
                <w:color w:val="3E3935"/>
              </w:rPr>
              <w:t>$43,657</w:t>
            </w:r>
          </w:p>
        </w:tc>
      </w:tr>
      <w:tr>
        <w:trPr>
          <w:trHeight w:val="62"/>
        </w:trPr>
        <w:tc>
          <w:tcPr>
            <w:tcW w:w="2040" w:type="dxa"/>
            <w:vAlign w:val="bottom"/>
            <w:tcBorders>
              <w:bottom w:val="single" w:sz="8" w:color="3E3935"/>
            </w:tcBorders>
          </w:tcPr>
          <w:p>
            <w:pPr>
              <w:spacing w:after="0"/>
              <w:rPr>
                <w:sz w:val="5"/>
                <w:szCs w:val="5"/>
                <w:color w:val="auto"/>
              </w:rPr>
            </w:pPr>
          </w:p>
        </w:tc>
        <w:tc>
          <w:tcPr>
            <w:tcW w:w="1460" w:type="dxa"/>
            <w:vAlign w:val="bottom"/>
            <w:tcBorders>
              <w:bottom w:val="single" w:sz="8" w:color="3E3935"/>
            </w:tcBorders>
          </w:tcPr>
          <w:p>
            <w:pPr>
              <w:spacing w:after="0"/>
              <w:rPr>
                <w:sz w:val="5"/>
                <w:szCs w:val="5"/>
                <w:color w:val="auto"/>
              </w:rPr>
            </w:pPr>
          </w:p>
        </w:tc>
        <w:tc>
          <w:tcPr>
            <w:tcW w:w="86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r>
      <w:tr>
        <w:trPr>
          <w:trHeight w:val="292"/>
        </w:trPr>
        <w:tc>
          <w:tcPr>
            <w:tcW w:w="2040" w:type="dxa"/>
            <w:vAlign w:val="bottom"/>
          </w:tcPr>
          <w:p>
            <w:pPr>
              <w:ind w:left="300"/>
              <w:spacing w:after="0"/>
              <w:rPr>
                <w:sz w:val="20"/>
                <w:szCs w:val="20"/>
                <w:color w:val="auto"/>
              </w:rPr>
            </w:pPr>
            <w:r>
              <w:rPr>
                <w:rFonts w:ascii="Arial" w:cs="Arial" w:eastAsia="Arial" w:hAnsi="Arial"/>
                <w:sz w:val="20"/>
                <w:szCs w:val="20"/>
                <w:color w:val="3E3935"/>
              </w:rPr>
              <w:t>Mr. Solso</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$36,333</w:t>
            </w:r>
          </w:p>
        </w:tc>
        <w:tc>
          <w:tcPr>
            <w:tcW w:w="86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40" w:type="dxa"/>
            <w:vAlign w:val="bottom"/>
          </w:tcPr>
          <w:p>
            <w:pPr>
              <w:jc w:val="right"/>
              <w:ind w:right="2"/>
              <w:spacing w:after="0"/>
              <w:rPr>
                <w:sz w:val="20"/>
                <w:szCs w:val="20"/>
                <w:color w:val="auto"/>
              </w:rPr>
            </w:pPr>
            <w:r>
              <w:rPr>
                <w:rFonts w:ascii="Arial" w:cs="Arial" w:eastAsia="Arial" w:hAnsi="Arial"/>
                <w:sz w:val="20"/>
                <w:szCs w:val="20"/>
                <w:color w:val="3E3935"/>
              </w:rPr>
              <w:t>$36,573</w:t>
            </w:r>
          </w:p>
        </w:tc>
      </w:tr>
      <w:tr>
        <w:trPr>
          <w:trHeight w:val="62"/>
        </w:trPr>
        <w:tc>
          <w:tcPr>
            <w:tcW w:w="2040" w:type="dxa"/>
            <w:vAlign w:val="bottom"/>
            <w:tcBorders>
              <w:bottom w:val="single" w:sz="8" w:color="3E3935"/>
            </w:tcBorders>
          </w:tcPr>
          <w:p>
            <w:pPr>
              <w:spacing w:after="0"/>
              <w:rPr>
                <w:sz w:val="5"/>
                <w:szCs w:val="5"/>
                <w:color w:val="auto"/>
              </w:rPr>
            </w:pPr>
          </w:p>
        </w:tc>
        <w:tc>
          <w:tcPr>
            <w:tcW w:w="1460" w:type="dxa"/>
            <w:vAlign w:val="bottom"/>
            <w:tcBorders>
              <w:bottom w:val="single" w:sz="8" w:color="3E3935"/>
            </w:tcBorders>
          </w:tcPr>
          <w:p>
            <w:pPr>
              <w:spacing w:after="0"/>
              <w:rPr>
                <w:sz w:val="5"/>
                <w:szCs w:val="5"/>
                <w:color w:val="auto"/>
              </w:rPr>
            </w:pPr>
          </w:p>
        </w:tc>
        <w:tc>
          <w:tcPr>
            <w:tcW w:w="86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r>
      <w:tr>
        <w:trPr>
          <w:trHeight w:val="292"/>
        </w:trPr>
        <w:tc>
          <w:tcPr>
            <w:tcW w:w="2040" w:type="dxa"/>
            <w:vAlign w:val="bottom"/>
          </w:tcPr>
          <w:p>
            <w:pPr>
              <w:ind w:left="300"/>
              <w:spacing w:after="0"/>
              <w:rPr>
                <w:sz w:val="20"/>
                <w:szCs w:val="20"/>
                <w:color w:val="auto"/>
              </w:rPr>
            </w:pPr>
            <w:r>
              <w:rPr>
                <w:rFonts w:ascii="Arial" w:cs="Arial" w:eastAsia="Arial" w:hAnsi="Arial"/>
                <w:sz w:val="20"/>
                <w:szCs w:val="20"/>
                <w:color w:val="3E3935"/>
              </w:rPr>
              <w:t>Ms. Stephenson</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$12,763</w:t>
            </w:r>
          </w:p>
        </w:tc>
        <w:tc>
          <w:tcPr>
            <w:tcW w:w="86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40" w:type="dxa"/>
            <w:vAlign w:val="bottom"/>
          </w:tcPr>
          <w:p>
            <w:pPr>
              <w:jc w:val="right"/>
              <w:ind w:right="2"/>
              <w:spacing w:after="0"/>
              <w:rPr>
                <w:sz w:val="20"/>
                <w:szCs w:val="20"/>
                <w:color w:val="auto"/>
              </w:rPr>
            </w:pPr>
            <w:r>
              <w:rPr>
                <w:rFonts w:ascii="Arial" w:cs="Arial" w:eastAsia="Arial" w:hAnsi="Arial"/>
                <w:sz w:val="20"/>
                <w:szCs w:val="20"/>
                <w:color w:val="3E3935"/>
              </w:rPr>
              <w:t>$13,003</w:t>
            </w:r>
          </w:p>
        </w:tc>
      </w:tr>
      <w:tr>
        <w:trPr>
          <w:trHeight w:val="62"/>
        </w:trPr>
        <w:tc>
          <w:tcPr>
            <w:tcW w:w="2040" w:type="dxa"/>
            <w:vAlign w:val="bottom"/>
            <w:tcBorders>
              <w:bottom w:val="single" w:sz="8" w:color="3E3935"/>
            </w:tcBorders>
          </w:tcPr>
          <w:p>
            <w:pPr>
              <w:spacing w:after="0"/>
              <w:rPr>
                <w:sz w:val="5"/>
                <w:szCs w:val="5"/>
                <w:color w:val="auto"/>
              </w:rPr>
            </w:pPr>
          </w:p>
        </w:tc>
        <w:tc>
          <w:tcPr>
            <w:tcW w:w="1460" w:type="dxa"/>
            <w:vAlign w:val="bottom"/>
            <w:tcBorders>
              <w:bottom w:val="single" w:sz="8" w:color="3E3935"/>
            </w:tcBorders>
          </w:tcPr>
          <w:p>
            <w:pPr>
              <w:spacing w:after="0"/>
              <w:rPr>
                <w:sz w:val="5"/>
                <w:szCs w:val="5"/>
                <w:color w:val="auto"/>
              </w:rPr>
            </w:pPr>
          </w:p>
        </w:tc>
        <w:tc>
          <w:tcPr>
            <w:tcW w:w="86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r>
      <w:tr>
        <w:trPr>
          <w:trHeight w:val="292"/>
        </w:trPr>
        <w:tc>
          <w:tcPr>
            <w:tcW w:w="2040" w:type="dxa"/>
            <w:vAlign w:val="bottom"/>
          </w:tcPr>
          <w:p>
            <w:pPr>
              <w:ind w:left="300"/>
              <w:spacing w:after="0"/>
              <w:rPr>
                <w:sz w:val="20"/>
                <w:szCs w:val="20"/>
                <w:color w:val="auto"/>
              </w:rPr>
            </w:pPr>
            <w:r>
              <w:rPr>
                <w:rFonts w:ascii="Arial" w:cs="Arial" w:eastAsia="Arial" w:hAnsi="Arial"/>
                <w:sz w:val="20"/>
                <w:szCs w:val="20"/>
                <w:color w:val="3E3935"/>
              </w:rPr>
              <w:t>Mr. Wenig</w:t>
            </w:r>
          </w:p>
        </w:tc>
        <w:tc>
          <w:tcPr>
            <w:tcW w:w="1460" w:type="dxa"/>
            <w:vAlign w:val="bottom"/>
          </w:tcPr>
          <w:p>
            <w:pPr>
              <w:jc w:val="right"/>
              <w:ind w:right="142"/>
              <w:spacing w:after="0"/>
              <w:rPr>
                <w:sz w:val="20"/>
                <w:szCs w:val="20"/>
                <w:color w:val="auto"/>
              </w:rPr>
            </w:pPr>
            <w:r>
              <w:rPr>
                <w:rFonts w:ascii="Arial" w:cs="Arial" w:eastAsia="Arial" w:hAnsi="Arial"/>
                <w:sz w:val="20"/>
                <w:szCs w:val="20"/>
                <w:color w:val="3E3935"/>
              </w:rPr>
              <w:t>$10,021</w:t>
            </w:r>
          </w:p>
        </w:tc>
        <w:tc>
          <w:tcPr>
            <w:tcW w:w="860" w:type="dxa"/>
            <w:vAlign w:val="bottom"/>
          </w:tcPr>
          <w:p>
            <w:pPr>
              <w:jc w:val="right"/>
              <w:ind w:right="22"/>
              <w:spacing w:after="0"/>
              <w:rPr>
                <w:sz w:val="20"/>
                <w:szCs w:val="20"/>
                <w:color w:val="auto"/>
              </w:rPr>
            </w:pPr>
            <w:r>
              <w:rPr>
                <w:rFonts w:ascii="Arial" w:cs="Arial" w:eastAsia="Arial" w:hAnsi="Arial"/>
                <w:sz w:val="20"/>
                <w:szCs w:val="20"/>
                <w:color w:val="3E3935"/>
              </w:rPr>
              <w:t>$240</w:t>
            </w:r>
          </w:p>
        </w:tc>
        <w:tc>
          <w:tcPr>
            <w:tcW w:w="940" w:type="dxa"/>
            <w:vAlign w:val="bottom"/>
          </w:tcPr>
          <w:p>
            <w:pPr>
              <w:jc w:val="right"/>
              <w:ind w:right="2"/>
              <w:spacing w:after="0"/>
              <w:rPr>
                <w:sz w:val="20"/>
                <w:szCs w:val="20"/>
                <w:color w:val="auto"/>
              </w:rPr>
            </w:pPr>
            <w:r>
              <w:rPr>
                <w:rFonts w:ascii="Arial" w:cs="Arial" w:eastAsia="Arial" w:hAnsi="Arial"/>
                <w:sz w:val="20"/>
                <w:szCs w:val="20"/>
                <w:color w:val="3E3935"/>
              </w:rPr>
              <w:t>$10,261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3712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060" w:space="720"/>
            <w:col w:w="5300"/>
          </w:cols>
          <w:pgMar w:left="320" w:top="456" w:right="499" w:bottom="1440" w:gutter="0" w:footer="0" w:header="0"/>
          <w:type w:val="continuous"/>
        </w:sectPr>
      </w:pPr>
    </w:p>
    <w:p>
      <w:pPr>
        <w:ind w:left="1140" w:right="140" w:hanging="545"/>
        <w:spacing w:after="0" w:line="239" w:lineRule="auto"/>
        <w:tabs>
          <w:tab w:leader="none" w:pos="1140" w:val="left"/>
        </w:tabs>
        <w:numPr>
          <w:ilvl w:val="0"/>
          <w:numId w:val="9"/>
        </w:numPr>
        <w:rPr>
          <w:rFonts w:ascii="Arial" w:cs="Arial" w:eastAsia="Arial" w:hAnsi="Arial"/>
          <w:sz w:val="18"/>
          <w:szCs w:val="18"/>
          <w:i w:val="1"/>
          <w:iCs w:val="1"/>
          <w:color w:val="3E3935"/>
        </w:rPr>
      </w:pPr>
      <w:r>
        <w:rPr>
          <w:rFonts w:ascii="Arial" w:cs="Arial" w:eastAsia="Arial" w:hAnsi="Arial"/>
          <w:sz w:val="18"/>
          <w:szCs w:val="18"/>
          <w:i w:val="1"/>
          <w:iCs w:val="1"/>
          <w:color w:val="3E3935"/>
        </w:rPr>
        <w:t>The 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director.</w:t>
      </w:r>
    </w:p>
    <w:p>
      <w:pPr>
        <w:spacing w:after="0" w:line="52" w:lineRule="exact"/>
        <w:rPr>
          <w:rFonts w:ascii="Arial" w:cs="Arial" w:eastAsia="Arial" w:hAnsi="Arial"/>
          <w:sz w:val="18"/>
          <w:szCs w:val="18"/>
          <w:i w:val="1"/>
          <w:iCs w:val="1"/>
          <w:color w:val="3E3935"/>
        </w:rPr>
      </w:pPr>
    </w:p>
    <w:p>
      <w:pPr>
        <w:ind w:left="1140" w:right="720" w:hanging="545"/>
        <w:spacing w:after="0" w:line="260" w:lineRule="auto"/>
        <w:tabs>
          <w:tab w:leader="none" w:pos="1140" w:val="left"/>
        </w:tabs>
        <w:numPr>
          <w:ilvl w:val="0"/>
          <w:numId w:val="9"/>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the cost of premiums for providing personal accident insurance (annual premium cost of $240 is prorated, as applicable, for the period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75565</wp:posOffset>
            </wp:positionV>
            <wp:extent cx="5927725" cy="101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14</w:t>
      </w:r>
    </w:p>
    <w:p>
      <w:pPr>
        <w:sectPr>
          <w:pgSz w:w="11900" w:h="16838" w:orient="portrait"/>
          <w:cols w:equalWidth="0" w:num="1">
            <w:col w:w="11080"/>
          </w:cols>
          <w:pgMar w:left="320" w:top="456" w:right="49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CORPORATE GOVERNANCE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The Board of Directors</w:t>
      </w:r>
    </w:p>
    <w:p>
      <w:pPr>
        <w:spacing w:after="0" w:line="202" w:lineRule="exact"/>
        <w:rPr>
          <w:sz w:val="20"/>
          <w:szCs w:val="20"/>
          <w:color w:val="auto"/>
        </w:rPr>
      </w:pPr>
    </w:p>
    <w:p>
      <w:pPr>
        <w:jc w:val="both"/>
        <w:ind w:left="160" w:right="160"/>
        <w:spacing w:after="0" w:line="225" w:lineRule="auto"/>
        <w:rPr>
          <w:sz w:val="20"/>
          <w:szCs w:val="20"/>
          <w:color w:val="auto"/>
        </w:rPr>
      </w:pPr>
      <w:r>
        <w:rPr>
          <w:rFonts w:ascii="Arial" w:cs="Arial" w:eastAsia="Arial" w:hAnsi="Arial"/>
          <w:sz w:val="20"/>
          <w:szCs w:val="20"/>
          <w:color w:val="3E3935"/>
        </w:rPr>
        <w:t>GM is governed by a Board of Directors and Committees of the Board that meet throughout the year. The Board is elected by shareholders to oversee and provide guidance on the Company’s business and affairs. It is the ultimate decision-making body of the Company except for those matters reserved for shareholders by law or pursuant to the Company’s governance instruments. Among other things, the Board oversees Company strategy and execution of the strategic plan. In addition, it oversees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3E3935"/>
        </w:rPr>
        <w:t>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200" w:lineRule="exact"/>
        <w:rPr>
          <w:sz w:val="20"/>
          <w:szCs w:val="20"/>
          <w:color w:val="auto"/>
        </w:rPr>
      </w:pPr>
    </w:p>
    <w:p>
      <w:pPr>
        <w:sectPr>
          <w:pgSz w:w="11900" w:h="16838" w:orient="portrait"/>
          <w:cols w:equalWidth="0" w:num="2">
            <w:col w:w="5560" w:space="180"/>
            <w:col w:w="5340"/>
          </w:cols>
          <w:pgMar w:left="320" w:top="456" w:right="499" w:bottom="1440" w:gutter="0" w:footer="0" w:header="0"/>
          <w:type w:val="continuous"/>
        </w:sectPr>
      </w:pPr>
    </w:p>
    <w:p>
      <w:pPr>
        <w:spacing w:after="0" w:line="271" w:lineRule="exact"/>
        <w:rPr>
          <w:sz w:val="20"/>
          <w:szCs w:val="20"/>
          <w:color w:val="auto"/>
        </w:rPr>
      </w:pPr>
    </w:p>
    <w:p>
      <w:pPr>
        <w:ind w:left="700" w:hanging="533"/>
        <w:spacing w:after="0"/>
        <w:tabs>
          <w:tab w:leader="none" w:pos="700" w:val="left"/>
        </w:tabs>
        <w:numPr>
          <w:ilvl w:val="0"/>
          <w:numId w:val="10"/>
        </w:numPr>
        <w:rPr>
          <w:rFonts w:ascii="Arial" w:cs="Arial" w:eastAsia="Arial" w:hAnsi="Arial"/>
          <w:sz w:val="21"/>
          <w:szCs w:val="21"/>
          <w:color w:val="0071CE"/>
        </w:rPr>
      </w:pPr>
      <w:r>
        <w:rPr>
          <w:rFonts w:ascii="Arial" w:cs="Arial" w:eastAsia="Arial" w:hAnsi="Arial"/>
          <w:sz w:val="25"/>
          <w:szCs w:val="25"/>
          <w:color w:val="3E3935"/>
        </w:rPr>
        <w:t>Board Size</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Board sets the number of directors from time to time by a resolution adopted by a majority of the Board. The Governance Committee reassesses the suitability of the Board’s size at least annually. The Board has the flexibility to increase or decrease the size of the Board as circumstances warrant, although the Company’s Certificate of Incorporation limits the total number of directors to 17. There are currently 13 members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Board. If all of the Board’s nominees are elected, the Board will be composed of 12 members immediately following the Annual Meeting because Mr. Solso will not stand for re-election. If any nominee is unable to serve as a director or if any director leaves the Board between annual meetings, the Board, by resolution, may reduce the number of directors or elect an individual to fill the resulting vacancy.</w:t>
      </w:r>
    </w:p>
    <w:p>
      <w:pPr>
        <w:spacing w:after="0" w:line="41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53" w:lineRule="exact"/>
        <w:rPr>
          <w:sz w:val="20"/>
          <w:szCs w:val="20"/>
          <w:color w:val="auto"/>
        </w:rPr>
      </w:pPr>
    </w:p>
    <w:p>
      <w:pPr>
        <w:ind w:left="700" w:hanging="533"/>
        <w:spacing w:after="0"/>
        <w:tabs>
          <w:tab w:leader="none" w:pos="700" w:val="left"/>
        </w:tabs>
        <w:numPr>
          <w:ilvl w:val="0"/>
          <w:numId w:val="11"/>
        </w:numPr>
        <w:rPr>
          <w:rFonts w:ascii="Arial" w:cs="Arial" w:eastAsia="Arial" w:hAnsi="Arial"/>
          <w:sz w:val="21"/>
          <w:szCs w:val="21"/>
          <w:color w:val="0071CE"/>
        </w:rPr>
      </w:pPr>
      <w:r>
        <w:rPr>
          <w:rFonts w:ascii="Arial" w:cs="Arial" w:eastAsia="Arial" w:hAnsi="Arial"/>
          <w:sz w:val="25"/>
          <w:szCs w:val="25"/>
          <w:color w:val="3E3935"/>
        </w:rPr>
        <w:t>Director Independence</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GM’s Bylaws and Corporate Governance Guidelines define our standards for director independence and reflect applicable NYSE and SEC requirements. At least two-thirds of our directors are and must be independent under these standards. In addition, all members of the Audit Committee and the Executive Compensation Committee must meet heightened independence standards under applicable NYSE and SEC rules.</w:t>
      </w:r>
    </w:p>
    <w:p>
      <w:pPr>
        <w:spacing w:after="0" w:line="126"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Governance Committee annually assesses the independence of each director and makes recommendations to the Board. For a director to be “independent,” the Board must determine that the director has no material relationship with the Company other than his or her service as a director.</w:t>
      </w:r>
    </w:p>
    <w:p>
      <w:pPr>
        <w:spacing w:after="0" w:line="126"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In recommending to the Board that it determine each director is independent, the Governance Committee considered whether there were any other facts or circumstances that might impair a director’s independence. The Governance Committee also considered that GM, in the ordinary course of business, during the last three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3E3935"/>
        </w:rPr>
        <w:t>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12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Consistent with these standards, the Board has reviewed all relationships between the Company and each director and considered all relevant quantitative and qualitative criteria. The Board has affirmatively determined that all directors were independent during 2020 and all current members are independent, except Ms. Barra, who serves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532130</wp:posOffset>
            </wp:positionV>
            <wp:extent cx="5927725" cy="101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15</w:t>
      </w:r>
    </w:p>
    <w:p>
      <w:pPr>
        <w:sectPr>
          <w:pgSz w:w="11900" w:h="16838" w:orient="portrait"/>
          <w:cols w:equalWidth="0" w:num="2">
            <w:col w:w="5400" w:space="340"/>
            <w:col w:w="5340"/>
          </w:cols>
          <w:pgMar w:left="320" w:top="456"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Board Leadership Structure and Composition</w:t>
      </w:r>
    </w:p>
    <w:p>
      <w:pPr>
        <w:sectPr>
          <w:pgSz w:w="11900" w:h="16838" w:orient="portrait"/>
          <w:cols w:equalWidth="0" w:num="1">
            <w:col w:w="11080"/>
          </w:cols>
          <w:pgMar w:left="320" w:top="456" w:right="499" w:bottom="1440" w:gutter="0" w:footer="0" w:header="0"/>
        </w:sectPr>
      </w:pPr>
    </w:p>
    <w:p>
      <w:pPr>
        <w:spacing w:after="0" w:line="213"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The Board has the flexibility to decide when the positions of Chairman and CEO should be combined or separated and whether a GM executive or an independent director should be Chairman. This allows the Board to choose the leadership structure that it believes will best serve the interests of our shareholders at any particular time. In January 2016, the Board recombined the positions of Chairman and CEO under the leadership of Ms. Barra and designated Mr. Solso as Independent Lead Director. Prior to that time, Mr. Solso served as the Board’s non-executive chairman.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Since then, each year the Board has voted to elect Ms. Barra as Chairman of the Board. The Board believes that Ms. Barra’s in-depth knowledge of GM’s business and vision for the future bring focused leadership to the Board and, therefore, combining the role of Chairman and CEO and electing a strong Independent Lead Director results in the optimal Board leadership structure for GM at this time.</w:t>
      </w:r>
    </w:p>
    <w:p>
      <w:pPr>
        <w:spacing w:after="0" w:line="1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Mr. Solso will not stand for re-election, and Ms. Russo will succeed him as the Independent Lead Director upon his retirement.</w:t>
      </w:r>
    </w:p>
    <w:p>
      <w:pPr>
        <w:spacing w:after="0" w:line="26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9" w:lineRule="exact"/>
        <w:rPr>
          <w:sz w:val="20"/>
          <w:szCs w:val="20"/>
          <w:color w:val="auto"/>
        </w:rPr>
      </w:pPr>
    </w:p>
    <w:p>
      <w:pPr>
        <w:ind w:left="700" w:hanging="533"/>
        <w:spacing w:after="0"/>
        <w:tabs>
          <w:tab w:leader="none" w:pos="700" w:val="left"/>
        </w:tabs>
        <w:numPr>
          <w:ilvl w:val="0"/>
          <w:numId w:val="12"/>
        </w:numPr>
        <w:rPr>
          <w:rFonts w:ascii="Arial" w:cs="Arial" w:eastAsia="Arial" w:hAnsi="Arial"/>
          <w:sz w:val="21"/>
          <w:szCs w:val="21"/>
          <w:color w:val="0071CE"/>
        </w:rPr>
      </w:pPr>
      <w:r>
        <w:rPr>
          <w:rFonts w:ascii="Arial" w:cs="Arial" w:eastAsia="Arial" w:hAnsi="Arial"/>
          <w:sz w:val="25"/>
          <w:szCs w:val="25"/>
          <w:color w:val="3E3935"/>
        </w:rPr>
        <w:t>The Role of the Independent Lead Director</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role of the Independent Lead Director is to provide strong, independent leadership to the Board and assist the other independent directors to oversee and shape the partnership between management and the Board. Below is a summary of the key duties and responsibilities of GM’s Independent Lead Director.</w:t>
      </w:r>
    </w:p>
    <w:p>
      <w:pPr>
        <w:sectPr>
          <w:pgSz w:w="11900" w:h="16838" w:orient="portrait"/>
          <w:cols w:equalWidth="0" w:num="1">
            <w:col w:w="11080"/>
          </w:cols>
          <w:pgMar w:left="320" w:top="456" w:right="499" w:bottom="1440" w:gutter="0" w:footer="0" w:header="0"/>
          <w:type w:val="continuous"/>
        </w:sectPr>
      </w:pPr>
    </w:p>
    <w:p>
      <w:pPr>
        <w:spacing w:after="0" w:line="195" w:lineRule="exact"/>
        <w:rPr>
          <w:sz w:val="20"/>
          <w:szCs w:val="20"/>
          <w:color w:val="auto"/>
        </w:rPr>
      </w:pPr>
    </w:p>
    <w:p>
      <w:pPr>
        <w:jc w:val="both"/>
        <w:ind w:left="520" w:hanging="209"/>
        <w:spacing w:after="0" w:line="216" w:lineRule="auto"/>
        <w:tabs>
          <w:tab w:leader="none" w:pos="498" w:val="left"/>
        </w:tabs>
        <w:numPr>
          <w:ilvl w:val="0"/>
          <w:numId w:val="13"/>
        </w:numPr>
        <w:rPr>
          <w:rFonts w:ascii="Arial" w:cs="Arial" w:eastAsia="Arial" w:hAnsi="Arial"/>
          <w:sz w:val="27"/>
          <w:szCs w:val="27"/>
          <w:color w:val="00C1DE"/>
        </w:rPr>
      </w:pPr>
      <w:r>
        <w:rPr>
          <w:rFonts w:ascii="Arial" w:cs="Arial" w:eastAsia="Arial" w:hAnsi="Arial"/>
          <w:sz w:val="20"/>
          <w:szCs w:val="20"/>
          <w:color w:val="3E3935"/>
        </w:rPr>
        <w:t>Presiding over all Board meetings when the Chairman is not present, including executive sessions of non-management directors, and advising the Chairman of any actions taken;</w:t>
      </w:r>
    </w:p>
    <w:p>
      <w:pPr>
        <w:spacing w:after="0" w:line="169" w:lineRule="exact"/>
        <w:rPr>
          <w:rFonts w:ascii="Arial" w:cs="Arial" w:eastAsia="Arial" w:hAnsi="Arial"/>
          <w:sz w:val="27"/>
          <w:szCs w:val="27"/>
          <w:color w:val="00C1DE"/>
        </w:rPr>
      </w:pPr>
    </w:p>
    <w:p>
      <w:pPr>
        <w:jc w:val="both"/>
        <w:ind w:left="520" w:hanging="209"/>
        <w:spacing w:after="0" w:line="214" w:lineRule="auto"/>
        <w:tabs>
          <w:tab w:leader="none" w:pos="498" w:val="left"/>
        </w:tabs>
        <w:numPr>
          <w:ilvl w:val="0"/>
          <w:numId w:val="13"/>
        </w:numPr>
        <w:rPr>
          <w:rFonts w:ascii="Arial" w:cs="Arial" w:eastAsia="Arial" w:hAnsi="Arial"/>
          <w:sz w:val="27"/>
          <w:szCs w:val="27"/>
          <w:color w:val="00C1DE"/>
        </w:rPr>
      </w:pPr>
      <w:r>
        <w:rPr>
          <w:rFonts w:ascii="Arial" w:cs="Arial" w:eastAsia="Arial" w:hAnsi="Arial"/>
          <w:sz w:val="20"/>
          <w:szCs w:val="20"/>
          <w:color w:val="3E3935"/>
        </w:rPr>
        <w:t>Providing Board leadership if circumstances arise in which the Chairman actually has, potentially has, or is perceived to have a conflict of interest;</w:t>
      </w:r>
    </w:p>
    <w:p>
      <w:pPr>
        <w:spacing w:after="0" w:line="168" w:lineRule="exact"/>
        <w:rPr>
          <w:rFonts w:ascii="Arial" w:cs="Arial" w:eastAsia="Arial" w:hAnsi="Arial"/>
          <w:sz w:val="27"/>
          <w:szCs w:val="27"/>
          <w:color w:val="00C1DE"/>
        </w:rPr>
      </w:pPr>
    </w:p>
    <w:p>
      <w:pPr>
        <w:jc w:val="both"/>
        <w:ind w:left="520" w:hanging="209"/>
        <w:spacing w:after="0" w:line="216" w:lineRule="auto"/>
        <w:tabs>
          <w:tab w:leader="none" w:pos="498" w:val="left"/>
        </w:tabs>
        <w:numPr>
          <w:ilvl w:val="0"/>
          <w:numId w:val="13"/>
        </w:numPr>
        <w:rPr>
          <w:rFonts w:ascii="Arial" w:cs="Arial" w:eastAsia="Arial" w:hAnsi="Arial"/>
          <w:sz w:val="27"/>
          <w:szCs w:val="27"/>
          <w:color w:val="00C1DE"/>
        </w:rPr>
      </w:pPr>
      <w:r>
        <w:rPr>
          <w:rFonts w:ascii="Arial" w:cs="Arial" w:eastAsia="Arial" w:hAnsi="Arial"/>
          <w:sz w:val="20"/>
          <w:szCs w:val="20"/>
          <w:color w:val="3E3935"/>
        </w:rPr>
        <w:t>Calling executive sessions for non-management directors, relaying feedback from these sessions to the Chairman, and implementing decisions made by the non-management directors;</w:t>
      </w:r>
    </w:p>
    <w:p>
      <w:pPr>
        <w:spacing w:after="0" w:line="169" w:lineRule="exact"/>
        <w:rPr>
          <w:rFonts w:ascii="Arial" w:cs="Arial" w:eastAsia="Arial" w:hAnsi="Arial"/>
          <w:sz w:val="27"/>
          <w:szCs w:val="27"/>
          <w:color w:val="00C1DE"/>
        </w:rPr>
      </w:pPr>
    </w:p>
    <w:p>
      <w:pPr>
        <w:jc w:val="both"/>
        <w:ind w:left="520" w:hanging="209"/>
        <w:spacing w:after="0" w:line="216" w:lineRule="auto"/>
        <w:tabs>
          <w:tab w:leader="none" w:pos="498" w:val="left"/>
        </w:tabs>
        <w:numPr>
          <w:ilvl w:val="0"/>
          <w:numId w:val="13"/>
        </w:numPr>
        <w:rPr>
          <w:rFonts w:ascii="Arial" w:cs="Arial" w:eastAsia="Arial" w:hAnsi="Arial"/>
          <w:sz w:val="27"/>
          <w:szCs w:val="27"/>
          <w:color w:val="00C1DE"/>
        </w:rPr>
      </w:pPr>
      <w:r>
        <w:rPr>
          <w:rFonts w:ascii="Arial" w:cs="Arial" w:eastAsia="Arial" w:hAnsi="Arial"/>
          <w:sz w:val="20"/>
          <w:szCs w:val="20"/>
          <w:color w:val="3E3935"/>
        </w:rPr>
        <w:t>Leading non-management directors in the annual evaluation of the CEO’s performance, communicating the results of that evaluation to the CEO, and overseeing CEO succession planning;</w:t>
      </w:r>
    </w:p>
    <w:p>
      <w:pPr>
        <w:spacing w:after="0" w:line="169" w:lineRule="exact"/>
        <w:rPr>
          <w:rFonts w:ascii="Arial" w:cs="Arial" w:eastAsia="Arial" w:hAnsi="Arial"/>
          <w:sz w:val="27"/>
          <w:szCs w:val="27"/>
          <w:color w:val="00C1DE"/>
        </w:rPr>
      </w:pPr>
    </w:p>
    <w:p>
      <w:pPr>
        <w:ind w:left="520" w:right="20" w:hanging="209"/>
        <w:spacing w:after="0" w:line="211" w:lineRule="auto"/>
        <w:tabs>
          <w:tab w:leader="none" w:pos="487" w:val="left"/>
        </w:tabs>
        <w:numPr>
          <w:ilvl w:val="0"/>
          <w:numId w:val="13"/>
        </w:numPr>
        <w:rPr>
          <w:rFonts w:ascii="Arial" w:cs="Arial" w:eastAsia="Arial" w:hAnsi="Arial"/>
          <w:sz w:val="27"/>
          <w:szCs w:val="27"/>
          <w:color w:val="00C1DE"/>
        </w:rPr>
      </w:pPr>
      <w:r>
        <w:rPr>
          <w:rFonts w:ascii="Arial" w:cs="Arial" w:eastAsia="Arial" w:hAnsi="Arial"/>
          <w:sz w:val="20"/>
          <w:szCs w:val="20"/>
          <w:color w:val="3E3935"/>
        </w:rPr>
        <w:t>Approving Board meeting agendas to ensure sufficient time for discussion of all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-2922905</wp:posOffset>
            </wp:positionV>
            <wp:extent cx="6929755" cy="32016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3201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left="212" w:right="180" w:hanging="212"/>
        <w:spacing w:after="0" w:line="214" w:lineRule="auto"/>
        <w:tabs>
          <w:tab w:leader="none" w:pos="180" w:val="left"/>
        </w:tabs>
        <w:numPr>
          <w:ilvl w:val="0"/>
          <w:numId w:val="14"/>
        </w:numPr>
        <w:rPr>
          <w:rFonts w:ascii="Arial" w:cs="Arial" w:eastAsia="Arial" w:hAnsi="Arial"/>
          <w:sz w:val="27"/>
          <w:szCs w:val="27"/>
          <w:color w:val="00C1DE"/>
        </w:rPr>
      </w:pPr>
      <w:r>
        <w:rPr>
          <w:rFonts w:ascii="Arial" w:cs="Arial" w:eastAsia="Arial" w:hAnsi="Arial"/>
          <w:sz w:val="20"/>
          <w:szCs w:val="20"/>
          <w:color w:val="3E3935"/>
        </w:rPr>
        <w:t>Advising on the scope, quality, quantity, and timeliness of the flow of information between management and the Board;</w:t>
      </w:r>
    </w:p>
    <w:p>
      <w:pPr>
        <w:spacing w:after="0" w:line="168" w:lineRule="exact"/>
        <w:rPr>
          <w:rFonts w:ascii="Arial" w:cs="Arial" w:eastAsia="Arial" w:hAnsi="Arial"/>
          <w:sz w:val="27"/>
          <w:szCs w:val="27"/>
          <w:color w:val="00C1DE"/>
        </w:rPr>
      </w:pPr>
    </w:p>
    <w:p>
      <w:pPr>
        <w:jc w:val="both"/>
        <w:ind w:left="212" w:right="180" w:hanging="212"/>
        <w:spacing w:after="0" w:line="218" w:lineRule="auto"/>
        <w:tabs>
          <w:tab w:leader="none" w:pos="190" w:val="left"/>
        </w:tabs>
        <w:numPr>
          <w:ilvl w:val="0"/>
          <w:numId w:val="14"/>
        </w:numPr>
        <w:rPr>
          <w:rFonts w:ascii="Arial" w:cs="Arial" w:eastAsia="Arial" w:hAnsi="Arial"/>
          <w:sz w:val="27"/>
          <w:szCs w:val="27"/>
          <w:color w:val="00C1DE"/>
        </w:rPr>
      </w:pPr>
      <w:r>
        <w:rPr>
          <w:rFonts w:ascii="Arial" w:cs="Arial" w:eastAsia="Arial" w:hAnsi="Arial"/>
          <w:sz w:val="20"/>
          <w:szCs w:val="20"/>
          <w:color w:val="3E3935"/>
        </w:rPr>
        <w:t>Serving as a liaison between non-management directors and the Chairman when requested to do so (although all non-management directors have direct and complete access to the Chairman at any time that they deem necessary or appropriate);</w:t>
      </w:r>
    </w:p>
    <w:p>
      <w:pPr>
        <w:spacing w:after="0" w:line="166" w:lineRule="exact"/>
        <w:rPr>
          <w:rFonts w:ascii="Arial" w:cs="Arial" w:eastAsia="Arial" w:hAnsi="Arial"/>
          <w:sz w:val="27"/>
          <w:szCs w:val="27"/>
          <w:color w:val="00C1DE"/>
        </w:rPr>
      </w:pPr>
    </w:p>
    <w:p>
      <w:pPr>
        <w:jc w:val="both"/>
        <w:ind w:left="212" w:right="180" w:hanging="212"/>
        <w:spacing w:after="0" w:line="216" w:lineRule="auto"/>
        <w:tabs>
          <w:tab w:leader="none" w:pos="190" w:val="left"/>
        </w:tabs>
        <w:numPr>
          <w:ilvl w:val="0"/>
          <w:numId w:val="14"/>
        </w:numPr>
        <w:rPr>
          <w:rFonts w:ascii="Arial" w:cs="Arial" w:eastAsia="Arial" w:hAnsi="Arial"/>
          <w:sz w:val="27"/>
          <w:szCs w:val="27"/>
          <w:color w:val="00C1DE"/>
        </w:rPr>
      </w:pPr>
      <w:r>
        <w:rPr>
          <w:rFonts w:ascii="Arial" w:cs="Arial" w:eastAsia="Arial" w:hAnsi="Arial"/>
          <w:sz w:val="20"/>
          <w:szCs w:val="20"/>
          <w:color w:val="3E3935"/>
        </w:rPr>
        <w:t>Interviewing, along with the Chair of the Governance Committee, all director candidates and making recommendations to the Governance Committee and the Board;</w:t>
      </w:r>
    </w:p>
    <w:p>
      <w:pPr>
        <w:spacing w:after="0" w:line="169" w:lineRule="exact"/>
        <w:rPr>
          <w:rFonts w:ascii="Arial" w:cs="Arial" w:eastAsia="Arial" w:hAnsi="Arial"/>
          <w:sz w:val="27"/>
          <w:szCs w:val="27"/>
          <w:color w:val="00C1DE"/>
        </w:rPr>
      </w:pPr>
    </w:p>
    <w:p>
      <w:pPr>
        <w:jc w:val="both"/>
        <w:ind w:left="212" w:right="180" w:hanging="212"/>
        <w:spacing w:after="0" w:line="214" w:lineRule="auto"/>
        <w:tabs>
          <w:tab w:leader="none" w:pos="190" w:val="left"/>
        </w:tabs>
        <w:numPr>
          <w:ilvl w:val="0"/>
          <w:numId w:val="14"/>
        </w:numPr>
        <w:rPr>
          <w:rFonts w:ascii="Arial" w:cs="Arial" w:eastAsia="Arial" w:hAnsi="Arial"/>
          <w:sz w:val="27"/>
          <w:szCs w:val="27"/>
          <w:color w:val="00C1DE"/>
        </w:rPr>
      </w:pPr>
      <w:r>
        <w:rPr>
          <w:rFonts w:ascii="Arial" w:cs="Arial" w:eastAsia="Arial" w:hAnsi="Arial"/>
          <w:sz w:val="20"/>
          <w:szCs w:val="20"/>
          <w:color w:val="3E3935"/>
        </w:rPr>
        <w:t>Being available to advise the Board Committee Chairs in fulfilling their designated roles and responsibilities to the Board; and</w:t>
      </w:r>
    </w:p>
    <w:p>
      <w:pPr>
        <w:spacing w:after="0" w:line="105" w:lineRule="exact"/>
        <w:rPr>
          <w:rFonts w:ascii="Arial" w:cs="Arial" w:eastAsia="Arial" w:hAnsi="Arial"/>
          <w:sz w:val="27"/>
          <w:szCs w:val="27"/>
          <w:color w:val="00C1DE"/>
        </w:rPr>
      </w:pPr>
    </w:p>
    <w:p>
      <w:pPr>
        <w:ind w:left="192" w:hanging="192"/>
        <w:spacing w:after="0"/>
        <w:tabs>
          <w:tab w:leader="none" w:pos="192" w:val="left"/>
        </w:tabs>
        <w:numPr>
          <w:ilvl w:val="0"/>
          <w:numId w:val="14"/>
        </w:numPr>
        <w:rPr>
          <w:rFonts w:ascii="Arial" w:cs="Arial" w:eastAsia="Arial" w:hAnsi="Arial"/>
          <w:sz w:val="26"/>
          <w:szCs w:val="26"/>
          <w:color w:val="00C1DE"/>
        </w:rPr>
      </w:pPr>
      <w:r>
        <w:rPr>
          <w:rFonts w:ascii="Arial" w:cs="Arial" w:eastAsia="Arial" w:hAnsi="Arial"/>
          <w:sz w:val="19"/>
          <w:szCs w:val="19"/>
          <w:color w:val="3E3935"/>
        </w:rPr>
        <w:t>Engaging, when requested to do so, with shareholders.</w:t>
      </w:r>
    </w:p>
    <w:p>
      <w:pPr>
        <w:spacing w:after="0" w:line="439" w:lineRule="exact"/>
        <w:rPr>
          <w:sz w:val="20"/>
          <w:szCs w:val="20"/>
          <w:color w:val="auto"/>
        </w:rPr>
      </w:pPr>
    </w:p>
    <w:p>
      <w:pPr>
        <w:sectPr>
          <w:pgSz w:w="11900" w:h="16838" w:orient="portrait"/>
          <w:cols w:equalWidth="0" w:num="2">
            <w:col w:w="5460" w:space="428"/>
            <w:col w:w="5192"/>
          </w:cols>
          <w:pgMar w:left="320" w:top="456" w:right="499" w:bottom="1440" w:gutter="0" w:footer="0" w:header="0"/>
          <w:type w:val="continuous"/>
        </w:sectPr>
      </w:pPr>
    </w:p>
    <w:p>
      <w:pPr>
        <w:spacing w:after="0" w:line="82"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16</w:t>
      </w:r>
    </w:p>
    <w:p>
      <w:pPr>
        <w:sectPr>
          <w:pgSz w:w="11900" w:h="16838" w:orient="portrait"/>
          <w:cols w:equalWidth="0" w:num="1">
            <w:col w:w="11080"/>
          </w:cols>
          <w:pgMar w:left="320" w:top="45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5"/>
        </w:numPr>
        <w:rPr>
          <w:rFonts w:ascii="Arial" w:cs="Arial" w:eastAsia="Arial" w:hAnsi="Arial"/>
          <w:sz w:val="20"/>
          <w:szCs w:val="20"/>
          <w:color w:val="0071CE"/>
        </w:rPr>
      </w:pPr>
      <w:r>
        <w:rPr>
          <w:rFonts w:ascii="Arial" w:cs="Arial" w:eastAsia="Arial" w:hAnsi="Arial"/>
          <w:sz w:val="24"/>
          <w:szCs w:val="24"/>
          <w:color w:val="3E3935"/>
        </w:rPr>
        <w:t>Board Membership Criteria, Refreshment, and Succession Planning</w:t>
      </w:r>
    </w:p>
    <w:p>
      <w:pPr>
        <w:sectPr>
          <w:pgSz w:w="11900" w:h="16838" w:orient="portrait"/>
          <w:cols w:equalWidth="0" w:num="1">
            <w:col w:w="11080"/>
          </w:cols>
          <w:pgMar w:left="320" w:top="456" w:right="499" w:bottom="1440" w:gutter="0" w:footer="0" w:header="0"/>
        </w:sectPr>
      </w:pPr>
    </w:p>
    <w:p>
      <w:pPr>
        <w:spacing w:after="0" w:line="214"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3E3935"/>
        </w:rPr>
        <w:t>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that GM will face in the future.</w:t>
      </w:r>
    </w:p>
    <w:p>
      <w:pPr>
        <w:spacing w:after="0" w:line="128"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In evaluating potential director candidates, the Governance Committee considers, among other factors, the criteria on page 4 of this Proxy Statement in the skills and qualifications matrix for current directors and any additional characteristics that it believes one or more directors should possess based on an assessment of the needs of the Board at that time. In every case, director candidates must be able to contribute significantly to the Board’s discussion and decision-making on the broad array of complex issues facing GM. The Governance Committee also engages a reputable, qualified search firm that uses our skills matrix to inform the search and help identify and evaluate potential candidates. In addition, GM’s Corporate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Governance Guidelines include the general policy that non-employee directors will not stand for election after reaching age 72.</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9"/>
          <w:szCs w:val="19"/>
          <w:color w:val="3E3935"/>
        </w:rPr>
        <w:t>Last summer, the Governance Committee accelerated its Board succession plan by developing a five-year roadmap that will serve the Company and its shareholders in preparation for the departure of Mr. Solso, who will not be standing for re-election at the Annual Meeting, and other current director’s approaching the Company’s retirement age. The Governance Committee believes its succession plan will help it replace departing skills, but also identify the new skills sets required as the Company’s strategy evolves. As a result of this work, in March, the Governance Committee nominated, and the Board elected, Mr. Tatum and Ms. Whitman to serve on our Board. The Governance Committee made these nominations by employing the process described below and taking into account, among other factors, shareholders’ interest in board refreshment, enhancing the Board’s diversity, adding directors with experience in technology and customer experience, and replacing other skills lost by the departure of Mr. Solso. The Board believes the new directors will help ensure a smooth transition over the next several years and bolster its expertise as GM continues to execute its EV and growth strategy.</w:t>
      </w:r>
    </w:p>
    <w:p>
      <w:pPr>
        <w:spacing w:after="0" w:line="34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7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071CE"/>
        </w:rPr>
        <w:t>Director Recruitment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172720</wp:posOffset>
            </wp:positionV>
            <wp:extent cx="5995670" cy="2131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95670"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0071CE"/>
        </w:rPr>
        <w:t>17</w:t>
      </w:r>
    </w:p>
    <w:p>
      <w:pPr>
        <w:sectPr>
          <w:pgSz w:w="11900" w:h="16838" w:orient="portrait"/>
          <w:cols w:equalWidth="0" w:num="1">
            <w:col w:w="11080"/>
          </w:cols>
          <w:pgMar w:left="320" w:top="456" w:right="4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071CE"/>
        </w:rPr>
        <w:t>Candidate Recommendations</w:t>
      </w:r>
    </w:p>
    <w:p>
      <w:pPr>
        <w:spacing w:after="0" w:line="22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Governance Committee will consider director candidates recommended by shareholders. The Governance Committee will review the qualifications and experience of each recommended candidate using the same criteria for candidates proposed by Board members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Board Committees</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The Board of Directors has six standing Committees: Audit, Compensation, Executive, Finance, Governance, and Risk and Cybersecurity. The key responsibilities, recent activities, and focus areas of each Committee, together with their current membership and the number of meetings held in 2020, are set forth on pages 19 to 21 of this Proxy Statement. Each Committee Chair meets regularly with management during the year to discuss Committee business, shape agendas, and facilitate efficient meetings.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communicate its decision to the candidate or the person who made the recommendation. Shareholder nominations must be submitted to the Company by the deadlines found on page 96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-1367155</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508635</wp:posOffset>
            </wp:positionV>
            <wp:extent cx="5825490" cy="654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5490"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 xml:space="preserve">Chairman, Ms. Barra, attends all Committee meetings to serve as a resource and identify topics requiring the full Board’s attention. The Board has determined that each member of the Audit, Compensation, Finance, Governance, and Risk and Cybersecurity Committees is independent according to NYSE listing standards and our Corporate Governance Guidelines. Each Committee’s charter is available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623"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270" w:lineRule="exact"/>
        <w:rPr>
          <w:sz w:val="20"/>
          <w:szCs w:val="20"/>
          <w:color w:val="auto"/>
        </w:rPr>
      </w:pPr>
    </w:p>
    <w:p>
      <w:pPr>
        <w:ind w:left="700" w:hanging="533"/>
        <w:spacing w:after="0"/>
        <w:tabs>
          <w:tab w:leader="none" w:pos="700" w:val="left"/>
        </w:tabs>
        <w:numPr>
          <w:ilvl w:val="0"/>
          <w:numId w:val="16"/>
        </w:numPr>
        <w:rPr>
          <w:rFonts w:ascii="Arial" w:cs="Arial" w:eastAsia="Arial" w:hAnsi="Arial"/>
          <w:sz w:val="20"/>
          <w:szCs w:val="20"/>
          <w:color w:val="0071CE"/>
        </w:rPr>
      </w:pPr>
      <w:r>
        <w:rPr>
          <w:rFonts w:ascii="Arial" w:cs="Arial" w:eastAsia="Arial" w:hAnsi="Arial"/>
          <w:sz w:val="24"/>
          <w:szCs w:val="24"/>
          <w:color w:val="3E3935"/>
        </w:rPr>
        <w:t>Board and Committee Meetings and Attendance</w:t>
      </w:r>
    </w:p>
    <w:p>
      <w:pPr>
        <w:sectPr>
          <w:pgSz w:w="11900" w:h="16838" w:orient="portrait"/>
          <w:cols w:equalWidth="0" w:num="1">
            <w:col w:w="11080"/>
          </w:cols>
          <w:pgMar w:left="320" w:top="456" w:right="499" w:bottom="1440" w:gutter="0" w:footer="0" w:header="0"/>
          <w:type w:val="continuous"/>
        </w:sectPr>
      </w:pPr>
    </w:p>
    <w:p>
      <w:pPr>
        <w:spacing w:after="0" w:line="214"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In 2020, the Board held 11 meetings, and average director attendance at Board and Committee meetings was 99%. Each director standing for re-election attended at least 95% of the total meetings of the Board and Committees on which he or she served in 2020. In addition, the Board conducted five special informational sessions throughout the year to receive briefings on the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3E3935"/>
        </w:rPr>
        <w:t>COVID-19 pandemic and other strategic initiatives, including progress updates on the Company’s EV acceleration plans.</w:t>
      </w:r>
    </w:p>
    <w:p>
      <w:pPr>
        <w:spacing w:after="0" w:line="1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Directors are encouraged to attend our Annual Meeting of Shareholders, which is held in conjunction with a regularly scheduled Board meeting. All directors then in office attended the 2020 Annual Meeting.</w:t>
      </w:r>
    </w:p>
    <w:p>
      <w:pPr>
        <w:spacing w:after="0" w:line="26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8" w:lineRule="exact"/>
        <w:rPr>
          <w:sz w:val="20"/>
          <w:szCs w:val="20"/>
          <w:color w:val="auto"/>
        </w:rPr>
      </w:pPr>
    </w:p>
    <w:p>
      <w:pPr>
        <w:ind w:left="700" w:hanging="533"/>
        <w:spacing w:after="0"/>
        <w:tabs>
          <w:tab w:leader="none" w:pos="700" w:val="left"/>
        </w:tabs>
        <w:numPr>
          <w:ilvl w:val="0"/>
          <w:numId w:val="17"/>
        </w:numPr>
        <w:rPr>
          <w:rFonts w:ascii="Arial" w:cs="Arial" w:eastAsia="Arial" w:hAnsi="Arial"/>
          <w:sz w:val="21"/>
          <w:szCs w:val="21"/>
          <w:color w:val="0071CE"/>
        </w:rPr>
      </w:pPr>
      <w:r>
        <w:rPr>
          <w:rFonts w:ascii="Arial" w:cs="Arial" w:eastAsia="Arial" w:hAnsi="Arial"/>
          <w:sz w:val="25"/>
          <w:szCs w:val="25"/>
          <w:color w:val="3E3935"/>
        </w:rPr>
        <w:t>Executive Sessions</w:t>
      </w:r>
    </w:p>
    <w:p>
      <w:pPr>
        <w:spacing w:after="0" w:line="202"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Independent directors have an opportunity to meet in executive session without management present as part of each regularly scheduled Board and Committee meeting. Executive sessions are chaired by our Independent Lead Director or the respective Committee Chair.</w:t>
      </w:r>
    </w:p>
    <w:p>
      <w:pPr>
        <w:spacing w:after="0" w:line="116"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During executive sessions of the Board, the independent directors may review CEO performance, compensation, and succession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116"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3E3935"/>
        </w:rPr>
        <w:t>The non-management directors of the Board, all of whom are independent, met in executive session six times in 2020.</w:t>
      </w:r>
    </w:p>
    <w:p>
      <w:pPr>
        <w:spacing w:after="0" w:line="4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7" w:lineRule="exact"/>
        <w:rPr>
          <w:sz w:val="20"/>
          <w:szCs w:val="20"/>
          <w:color w:val="auto"/>
        </w:rPr>
      </w:pPr>
    </w:p>
    <w:p>
      <w:pPr>
        <w:ind w:left="700" w:hanging="533"/>
        <w:spacing w:after="0"/>
        <w:tabs>
          <w:tab w:leader="none" w:pos="700" w:val="left"/>
        </w:tabs>
        <w:numPr>
          <w:ilvl w:val="0"/>
          <w:numId w:val="18"/>
        </w:numPr>
        <w:rPr>
          <w:rFonts w:ascii="Arial" w:cs="Arial" w:eastAsia="Arial" w:hAnsi="Arial"/>
          <w:sz w:val="21"/>
          <w:szCs w:val="21"/>
          <w:color w:val="0071CE"/>
        </w:rPr>
      </w:pPr>
      <w:r>
        <w:rPr>
          <w:rFonts w:ascii="Arial" w:cs="Arial" w:eastAsia="Arial" w:hAnsi="Arial"/>
          <w:sz w:val="25"/>
          <w:szCs w:val="25"/>
          <w:color w:val="3E3935"/>
        </w:rPr>
        <w:t>Access to Outside Advisors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9"/>
          <w:szCs w:val="19"/>
          <w:color w:val="3E3935"/>
        </w:rPr>
        <w:t>The Board and each Board Committee can select and retain</w:t>
      </w:r>
    </w:p>
    <w:p>
      <w:pPr>
        <w:ind w:left="160"/>
        <w:spacing w:after="0"/>
        <w:rPr>
          <w:sz w:val="20"/>
          <w:szCs w:val="20"/>
          <w:color w:val="auto"/>
        </w:rPr>
      </w:pPr>
      <w:r>
        <w:rPr>
          <w:rFonts w:ascii="Arial" w:cs="Arial" w:eastAsia="Arial" w:hAnsi="Arial"/>
          <w:sz w:val="20"/>
          <w:szCs w:val="20"/>
          <w:color w:val="3E3935"/>
        </w:rPr>
        <w:t>the service of outside advisors at the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179070</wp:posOffset>
            </wp:positionV>
            <wp:extent cx="5927725" cy="101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18</w:t>
      </w:r>
    </w:p>
    <w:p>
      <w:pPr>
        <w:sectPr>
          <w:pgSz w:w="11900" w:h="16838" w:orient="portrait"/>
          <w:cols w:equalWidth="0" w:num="1">
            <w:col w:w="11080"/>
          </w:cols>
          <w:pgMar w:left="320" w:top="456" w:right="4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339"/>
        </w:trPr>
        <w:tc>
          <w:tcPr>
            <w:tcW w:w="2120" w:type="dxa"/>
            <w:vAlign w:val="bottom"/>
            <w:shd w:val="clear" w:color="auto" w:fill="0071CE"/>
          </w:tcPr>
          <w:p>
            <w:pPr>
              <w:spacing w:after="0"/>
              <w:rPr>
                <w:sz w:val="24"/>
                <w:szCs w:val="24"/>
                <w:color w:val="auto"/>
              </w:rPr>
            </w:pPr>
          </w:p>
        </w:tc>
        <w:tc>
          <w:tcPr>
            <w:tcW w:w="3140" w:type="dxa"/>
            <w:vAlign w:val="bottom"/>
            <w:shd w:val="clear" w:color="auto" w:fill="0071CE"/>
          </w:tcPr>
          <w:p>
            <w:pPr>
              <w:ind w:left="200"/>
              <w:spacing w:after="0"/>
              <w:rPr>
                <w:sz w:val="20"/>
                <w:szCs w:val="20"/>
                <w:color w:val="auto"/>
              </w:rPr>
            </w:pPr>
            <w:r>
              <w:rPr>
                <w:rFonts w:ascii="Arial" w:cs="Arial" w:eastAsia="Arial" w:hAnsi="Arial"/>
                <w:sz w:val="20"/>
                <w:szCs w:val="20"/>
                <w:b w:val="1"/>
                <w:bCs w:val="1"/>
                <w:color w:val="FFFFFF"/>
              </w:rPr>
              <w:t>AUDIT</w:t>
            </w:r>
          </w:p>
        </w:tc>
      </w:tr>
      <w:tr>
        <w:trPr>
          <w:trHeight w:val="89"/>
        </w:trPr>
        <w:tc>
          <w:tcPr>
            <w:tcW w:w="2120" w:type="dxa"/>
            <w:vAlign w:val="bottom"/>
            <w:shd w:val="clear" w:color="auto" w:fill="0071CE"/>
          </w:tcPr>
          <w:p>
            <w:pPr>
              <w:spacing w:after="0"/>
              <w:rPr>
                <w:sz w:val="7"/>
                <w:szCs w:val="7"/>
                <w:color w:val="auto"/>
              </w:rPr>
            </w:pPr>
          </w:p>
        </w:tc>
        <w:tc>
          <w:tcPr>
            <w:tcW w:w="3140" w:type="dxa"/>
            <w:vAlign w:val="bottom"/>
            <w:shd w:val="clear" w:color="auto" w:fill="0071CE"/>
          </w:tcPr>
          <w:p>
            <w:pPr>
              <w:spacing w:after="0"/>
              <w:rPr>
                <w:sz w:val="7"/>
                <w:szCs w:val="7"/>
                <w:color w:val="auto"/>
              </w:rPr>
            </w:pPr>
          </w:p>
        </w:tc>
      </w:tr>
      <w:tr>
        <w:trPr>
          <w:trHeight w:val="491"/>
        </w:trPr>
        <w:tc>
          <w:tcPr>
            <w:tcW w:w="212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Thomas M. Schoewe</w:t>
            </w:r>
          </w:p>
        </w:tc>
      </w:tr>
      <w:tr>
        <w:trPr>
          <w:trHeight w:val="214"/>
        </w:trPr>
        <w:tc>
          <w:tcPr>
            <w:tcW w:w="2120" w:type="dxa"/>
            <w:vAlign w:val="bottom"/>
          </w:tcPr>
          <w:p>
            <w:pPr>
              <w:spacing w:after="0"/>
              <w:rPr>
                <w:sz w:val="18"/>
                <w:szCs w:val="18"/>
                <w:color w:val="auto"/>
              </w:rPr>
            </w:pPr>
          </w:p>
        </w:tc>
        <w:tc>
          <w:tcPr>
            <w:tcW w:w="3140" w:type="dxa"/>
            <w:vAlign w:val="bottom"/>
          </w:tcPr>
          <w:p>
            <w:pPr>
              <w:ind w:left="180"/>
              <w:spacing w:after="0" w:line="214" w:lineRule="exact"/>
              <w:rPr>
                <w:sz w:val="20"/>
                <w:szCs w:val="20"/>
                <w:color w:val="auto"/>
              </w:rPr>
            </w:pPr>
            <w:r>
              <w:rPr>
                <w:rFonts w:ascii="Arial" w:cs="Arial" w:eastAsia="Arial" w:hAnsi="Arial"/>
                <w:sz w:val="20"/>
                <w:szCs w:val="20"/>
                <w:color w:val="3E3935"/>
              </w:rPr>
              <w:t>(Chair), Wesley G. Bush, Linda</w:t>
            </w:r>
          </w:p>
        </w:tc>
      </w:tr>
      <w:tr>
        <w:trPr>
          <w:trHeight w:val="235"/>
        </w:trPr>
        <w:tc>
          <w:tcPr>
            <w:tcW w:w="212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Arial" w:cs="Arial" w:eastAsia="Arial" w:hAnsi="Arial"/>
                <w:sz w:val="20"/>
                <w:szCs w:val="20"/>
                <w:color w:val="3E3935"/>
              </w:rPr>
              <w:t>R. Gooden, and Jane L. Mendillo</w:t>
            </w:r>
          </w:p>
        </w:tc>
      </w:tr>
      <w:tr>
        <w:trPr>
          <w:trHeight w:val="369"/>
        </w:trPr>
        <w:tc>
          <w:tcPr>
            <w:tcW w:w="2120" w:type="dxa"/>
            <w:vAlign w:val="bottom"/>
          </w:tcPr>
          <w:p>
            <w:pPr>
              <w:spacing w:after="0"/>
              <w:rPr>
                <w:sz w:val="20"/>
                <w:szCs w:val="20"/>
                <w:color w:val="auto"/>
              </w:rPr>
            </w:pPr>
            <w:r>
              <w:rPr>
                <w:rFonts w:ascii="Arial" w:cs="Arial" w:eastAsia="Arial" w:hAnsi="Arial"/>
                <w:sz w:val="20"/>
                <w:szCs w:val="20"/>
                <w:b w:val="1"/>
                <w:bCs w:val="1"/>
                <w:color w:val="0071CE"/>
              </w:rPr>
              <w:t>Thomas M. Schoewe</w:t>
            </w:r>
          </w:p>
        </w:tc>
        <w:tc>
          <w:tcPr>
            <w:tcW w:w="3140" w:type="dxa"/>
            <w:vAlign w:val="bottom"/>
          </w:tcPr>
          <w:p>
            <w:pPr>
              <w:spacing w:after="0"/>
              <w:rPr>
                <w:sz w:val="24"/>
                <w:szCs w:val="24"/>
                <w:color w:val="auto"/>
              </w:rPr>
            </w:pPr>
          </w:p>
        </w:tc>
      </w:tr>
      <w:tr>
        <w:trPr>
          <w:trHeight w:val="259"/>
        </w:trPr>
        <w:tc>
          <w:tcPr>
            <w:tcW w:w="212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3140" w:type="dxa"/>
            <w:vAlign w:val="bottom"/>
          </w:tcPr>
          <w:p>
            <w:pPr>
              <w:ind w:left="180"/>
              <w:spacing w:after="0"/>
              <w:rPr>
                <w:sz w:val="20"/>
                <w:szCs w:val="20"/>
                <w:color w:val="auto"/>
              </w:rPr>
            </w:pPr>
            <w:r>
              <w:rPr>
                <w:rFonts w:ascii="Arial" w:cs="Arial" w:eastAsia="Arial" w:hAnsi="Arial"/>
                <w:sz w:val="20"/>
                <w:szCs w:val="20"/>
                <w:b w:val="1"/>
                <w:bCs w:val="1"/>
                <w:i w:val="1"/>
                <w:iCs w:val="1"/>
                <w:color w:val="00C1DE"/>
              </w:rPr>
              <w:t>Meetings held in 2020: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329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2930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-944880</wp:posOffset>
            </wp:positionV>
            <wp:extent cx="662305" cy="662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21" w:lineRule="exact"/>
        <w:rPr>
          <w:sz w:val="20"/>
          <w:szCs w:val="20"/>
          <w:color w:val="auto"/>
        </w:rPr>
      </w:pPr>
    </w:p>
    <w:p>
      <w:pPr>
        <w:jc w:val="both"/>
        <w:ind w:left="380" w:right="20" w:hanging="213"/>
        <w:spacing w:after="0" w:line="249" w:lineRule="auto"/>
        <w:tabs>
          <w:tab w:leader="none" w:pos="446" w:val="left"/>
        </w:tabs>
        <w:numPr>
          <w:ilvl w:val="0"/>
          <w:numId w:val="19"/>
        </w:numPr>
        <w:rPr>
          <w:rFonts w:ascii="Arial" w:cs="Arial" w:eastAsia="Arial" w:hAnsi="Arial"/>
          <w:sz w:val="20"/>
          <w:szCs w:val="20"/>
          <w:color w:val="00C1DE"/>
        </w:rPr>
      </w:pPr>
      <w:r>
        <w:rPr>
          <w:rFonts w:ascii="Arial" w:cs="Arial" w:eastAsia="Arial" w:hAnsi="Arial"/>
          <w:sz w:val="20"/>
          <w:szCs w:val="20"/>
          <w:color w:val="3E3935"/>
        </w:rPr>
        <w:t>Monitors the effectiveness of GM’s financial reporting processes and systems, as well as disclosure and internal controls;</w:t>
      </w:r>
    </w:p>
    <w:p>
      <w:pPr>
        <w:spacing w:after="0" w:line="6" w:lineRule="exact"/>
        <w:rPr>
          <w:rFonts w:ascii="Arial" w:cs="Arial" w:eastAsia="Arial" w:hAnsi="Arial"/>
          <w:sz w:val="20"/>
          <w:szCs w:val="20"/>
          <w:color w:val="00C1DE"/>
        </w:rPr>
      </w:pPr>
    </w:p>
    <w:p>
      <w:pPr>
        <w:ind w:left="380" w:right="20" w:hanging="213"/>
        <w:spacing w:after="0" w:line="248" w:lineRule="auto"/>
        <w:tabs>
          <w:tab w:leader="none" w:pos="365" w:val="left"/>
        </w:tabs>
        <w:numPr>
          <w:ilvl w:val="0"/>
          <w:numId w:val="19"/>
        </w:numPr>
        <w:rPr>
          <w:rFonts w:ascii="Arial" w:cs="Arial" w:eastAsia="Arial" w:hAnsi="Arial"/>
          <w:sz w:val="20"/>
          <w:szCs w:val="20"/>
          <w:color w:val="00C1DE"/>
        </w:rPr>
      </w:pPr>
      <w:r>
        <w:rPr>
          <w:rFonts w:ascii="Arial" w:cs="Arial" w:eastAsia="Arial" w:hAnsi="Arial"/>
          <w:sz w:val="20"/>
          <w:szCs w:val="20"/>
          <w:color w:val="3E3935"/>
        </w:rPr>
        <w:t>Selects and engages GM’s external auditors and reviews and evaluates the audit process;</w:t>
      </w:r>
    </w:p>
    <w:p>
      <w:pPr>
        <w:spacing w:after="0" w:line="6" w:lineRule="exact"/>
        <w:rPr>
          <w:rFonts w:ascii="Arial" w:cs="Arial" w:eastAsia="Arial" w:hAnsi="Arial"/>
          <w:sz w:val="20"/>
          <w:szCs w:val="20"/>
          <w:color w:val="00C1DE"/>
        </w:rPr>
      </w:pPr>
    </w:p>
    <w:p>
      <w:pPr>
        <w:ind w:left="380" w:right="20" w:hanging="213"/>
        <w:spacing w:after="0" w:line="248" w:lineRule="auto"/>
        <w:tabs>
          <w:tab w:leader="none" w:pos="351" w:val="left"/>
        </w:tabs>
        <w:numPr>
          <w:ilvl w:val="0"/>
          <w:numId w:val="19"/>
        </w:numPr>
        <w:rPr>
          <w:rFonts w:ascii="Arial" w:cs="Arial" w:eastAsia="Arial" w:hAnsi="Arial"/>
          <w:sz w:val="20"/>
          <w:szCs w:val="20"/>
          <w:color w:val="00C1DE"/>
        </w:rPr>
      </w:pPr>
      <w:r>
        <w:rPr>
          <w:rFonts w:ascii="Arial" w:cs="Arial" w:eastAsia="Arial" w:hAnsi="Arial"/>
          <w:sz w:val="20"/>
          <w:szCs w:val="20"/>
          <w:color w:val="3E3935"/>
        </w:rPr>
        <w:t>Reviews and evaluates the scope and performance of the internal audit function;</w:t>
      </w:r>
    </w:p>
    <w:p>
      <w:pPr>
        <w:spacing w:after="0" w:line="6" w:lineRule="exact"/>
        <w:rPr>
          <w:rFonts w:ascii="Arial" w:cs="Arial" w:eastAsia="Arial" w:hAnsi="Arial"/>
          <w:sz w:val="20"/>
          <w:szCs w:val="20"/>
          <w:color w:val="00C1DE"/>
        </w:rPr>
      </w:pPr>
    </w:p>
    <w:p>
      <w:pPr>
        <w:jc w:val="both"/>
        <w:ind w:left="380" w:right="20" w:hanging="213"/>
        <w:spacing w:after="0" w:line="249" w:lineRule="auto"/>
        <w:tabs>
          <w:tab w:leader="none" w:pos="378" w:val="left"/>
        </w:tabs>
        <w:numPr>
          <w:ilvl w:val="0"/>
          <w:numId w:val="19"/>
        </w:numPr>
        <w:rPr>
          <w:rFonts w:ascii="Arial" w:cs="Arial" w:eastAsia="Arial" w:hAnsi="Arial"/>
          <w:sz w:val="20"/>
          <w:szCs w:val="20"/>
          <w:color w:val="00C1DE"/>
        </w:rPr>
      </w:pPr>
      <w:r>
        <w:rPr>
          <w:rFonts w:ascii="Arial" w:cs="Arial" w:eastAsia="Arial" w:hAnsi="Arial"/>
          <w:sz w:val="20"/>
          <w:szCs w:val="20"/>
          <w:color w:val="3E3935"/>
        </w:rPr>
        <w:t>Facilitates ongoing communications about GM’s financial position and affairs between the Board and the external auditors, GM’s financial and senior management, and GM’s internal audit staff;</w:t>
      </w:r>
    </w:p>
    <w:p>
      <w:pPr>
        <w:spacing w:after="0" w:line="8" w:lineRule="exact"/>
        <w:rPr>
          <w:rFonts w:ascii="Arial" w:cs="Arial" w:eastAsia="Arial" w:hAnsi="Arial"/>
          <w:sz w:val="20"/>
          <w:szCs w:val="20"/>
          <w:color w:val="00C1DE"/>
        </w:rPr>
      </w:pPr>
    </w:p>
    <w:p>
      <w:pPr>
        <w:ind w:left="380" w:right="20" w:hanging="213"/>
        <w:spacing w:after="0" w:line="248" w:lineRule="auto"/>
        <w:tabs>
          <w:tab w:leader="none" w:pos="405" w:val="left"/>
        </w:tabs>
        <w:numPr>
          <w:ilvl w:val="0"/>
          <w:numId w:val="19"/>
        </w:numPr>
        <w:rPr>
          <w:rFonts w:ascii="Arial" w:cs="Arial" w:eastAsia="Arial" w:hAnsi="Arial"/>
          <w:sz w:val="20"/>
          <w:szCs w:val="20"/>
          <w:color w:val="00C1DE"/>
        </w:rPr>
      </w:pPr>
      <w:r>
        <w:rPr>
          <w:rFonts w:ascii="Arial" w:cs="Arial" w:eastAsia="Arial" w:hAnsi="Arial"/>
          <w:sz w:val="20"/>
          <w:szCs w:val="20"/>
          <w:color w:val="3E3935"/>
        </w:rPr>
        <w:t>Reviews GM’s policies and procedures regarding ethics and compliance; and</w:t>
      </w:r>
    </w:p>
    <w:p>
      <w:pPr>
        <w:spacing w:after="0" w:line="6" w:lineRule="exact"/>
        <w:rPr>
          <w:rFonts w:ascii="Arial" w:cs="Arial" w:eastAsia="Arial" w:hAnsi="Arial"/>
          <w:sz w:val="20"/>
          <w:szCs w:val="20"/>
          <w:color w:val="00C1DE"/>
        </w:rPr>
      </w:pPr>
    </w:p>
    <w:p>
      <w:pPr>
        <w:ind w:left="380" w:right="20" w:hanging="213"/>
        <w:spacing w:after="0" w:line="256" w:lineRule="auto"/>
        <w:tabs>
          <w:tab w:leader="none" w:pos="378" w:val="left"/>
        </w:tabs>
        <w:numPr>
          <w:ilvl w:val="0"/>
          <w:numId w:val="19"/>
        </w:numPr>
        <w:rPr>
          <w:rFonts w:ascii="Arial" w:cs="Arial" w:eastAsia="Arial" w:hAnsi="Arial"/>
          <w:sz w:val="20"/>
          <w:szCs w:val="20"/>
          <w:color w:val="00C1DE"/>
        </w:rPr>
      </w:pPr>
      <w:r>
        <w:rPr>
          <w:rFonts w:ascii="Arial" w:cs="Arial" w:eastAsia="Arial" w:hAnsi="Arial"/>
          <w:sz w:val="20"/>
          <w:szCs w:val="20"/>
          <w:color w:val="3E3935"/>
        </w:rPr>
        <w:t>Oversees the preparation of the Audit Committee Report and related disclosures for the annual Proxy Statement.</w:t>
      </w:r>
    </w:p>
    <w:p>
      <w:pPr>
        <w:spacing w:after="0" w:line="138" w:lineRule="exact"/>
        <w:rPr>
          <w:sz w:val="20"/>
          <w:szCs w:val="20"/>
          <w:color w:val="auto"/>
        </w:rPr>
      </w:pPr>
    </w:p>
    <w:p>
      <w:pPr>
        <w:jc w:val="both"/>
        <w:ind w:left="160" w:right="20"/>
        <w:spacing w:after="0" w:line="226" w:lineRule="auto"/>
        <w:rPr>
          <w:sz w:val="20"/>
          <w:szCs w:val="20"/>
          <w:color w:val="auto"/>
        </w:rPr>
      </w:pPr>
      <w:r>
        <w:rPr>
          <w:rFonts w:ascii="Arial" w:cs="Arial" w:eastAsia="Arial" w:hAnsi="Arial"/>
          <w:sz w:val="20"/>
          <w:szCs w:val="20"/>
          <w:color w:val="3E3935"/>
        </w:rPr>
        <w:t>The Board has determined that all members of the Audit Committee meet heightened independence and qualification criteria and are financially literate in accordance with the NYSE Corporate Governance Standards and SEC rules, and that Mr. Bush, Ms. Gooden, Ms. Mendillo, and Mr. Schoewe are each qualified as an “audit committee financial expert” as defined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100965</wp:posOffset>
            </wp:positionV>
            <wp:extent cx="2929890" cy="16052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29890" cy="1605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249"/>
        <w:spacing w:after="0"/>
        <w:rPr>
          <w:sz w:val="20"/>
          <w:szCs w:val="20"/>
          <w:color w:val="auto"/>
        </w:rPr>
      </w:pPr>
      <w:r>
        <w:rPr>
          <w:rFonts w:ascii="Arial" w:cs="Arial" w:eastAsia="Arial" w:hAnsi="Arial"/>
          <w:sz w:val="20"/>
          <w:szCs w:val="20"/>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-730885</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-195580</wp:posOffset>
            </wp:positionV>
            <wp:extent cx="3388360" cy="984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88360" cy="984885"/>
                    </a:xfrm>
                    <a:prstGeom prst="rect">
                      <a:avLst/>
                    </a:prstGeom>
                    <a:noFill/>
                  </pic:spPr>
                </pic:pic>
              </a:graphicData>
            </a:graphic>
          </wp:anchor>
        </w:drawing>
      </w:r>
    </w:p>
    <w:p>
      <w:pPr>
        <w:spacing w:after="0" w:line="352" w:lineRule="exact"/>
        <w:rPr>
          <w:sz w:val="20"/>
          <w:szCs w:val="20"/>
          <w:color w:val="auto"/>
        </w:rPr>
      </w:pPr>
    </w:p>
    <w:p>
      <w:pPr>
        <w:ind w:left="2289"/>
        <w:spacing w:after="0"/>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Carol M. Stephenson</w:t>
      </w:r>
    </w:p>
    <w:p>
      <w:pPr>
        <w:ind w:left="2289"/>
        <w:spacing w:after="0" w:line="231" w:lineRule="auto"/>
        <w:rPr>
          <w:sz w:val="20"/>
          <w:szCs w:val="20"/>
          <w:color w:val="auto"/>
        </w:rPr>
      </w:pPr>
      <w:r>
        <w:rPr>
          <w:rFonts w:ascii="Arial" w:cs="Arial" w:eastAsia="Arial" w:hAnsi="Arial"/>
          <w:sz w:val="20"/>
          <w:szCs w:val="20"/>
          <w:color w:val="3E3935"/>
        </w:rPr>
        <w:t>(Chair), Wesley G. Bush, Joseph</w:t>
      </w:r>
    </w:p>
    <w:p>
      <w:pPr>
        <w:spacing w:after="0" w:line="1" w:lineRule="exact"/>
        <w:rPr>
          <w:sz w:val="20"/>
          <w:szCs w:val="20"/>
          <w:color w:val="auto"/>
        </w:rPr>
      </w:pPr>
    </w:p>
    <w:p>
      <w:pPr>
        <w:ind w:left="2289"/>
        <w:spacing w:after="0"/>
        <w:rPr>
          <w:sz w:val="20"/>
          <w:szCs w:val="20"/>
          <w:color w:val="auto"/>
        </w:rPr>
      </w:pPr>
      <w:r>
        <w:rPr>
          <w:rFonts w:ascii="Arial" w:cs="Arial" w:eastAsia="Arial" w:hAnsi="Arial"/>
          <w:sz w:val="20"/>
          <w:szCs w:val="20"/>
          <w:color w:val="3E3935"/>
        </w:rPr>
        <w:t>Jimenez, and Patricia F. Russo</w:t>
      </w:r>
    </w:p>
    <w:p>
      <w:pPr>
        <w:spacing w:after="0" w:line="16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0071CE"/>
        </w:rPr>
        <w:t>Carol M. Stephenson</w:t>
      </w:r>
    </w:p>
    <w:p>
      <w:pPr>
        <w:spacing w:after="0" w:line="8" w:lineRule="exact"/>
        <w:rPr>
          <w:sz w:val="20"/>
          <w:szCs w:val="20"/>
          <w:color w:val="auto"/>
        </w:rPr>
      </w:pPr>
    </w:p>
    <w:p>
      <w:pPr>
        <w:ind w:left="9"/>
        <w:spacing w:after="0"/>
        <w:tabs>
          <w:tab w:leader="none" w:pos="2268" w:val="left"/>
        </w:tabs>
        <w:rPr>
          <w:sz w:val="20"/>
          <w:szCs w:val="20"/>
          <w:color w:val="auto"/>
        </w:rPr>
      </w:pPr>
      <w:r>
        <w:rPr>
          <w:rFonts w:ascii="Arial" w:cs="Arial" w:eastAsia="Arial" w:hAnsi="Arial"/>
          <w:sz w:val="20"/>
          <w:szCs w:val="20"/>
          <w:b w:val="1"/>
          <w:bCs w:val="1"/>
          <w:color w:val="0071CE"/>
        </w:rPr>
        <w:t>Chair</w:t>
      </w:r>
      <w:r>
        <w:rPr>
          <w:sz w:val="20"/>
          <w:szCs w:val="20"/>
          <w:color w:val="auto"/>
        </w:rPr>
        <w:tab/>
      </w:r>
      <w:r>
        <w:rPr>
          <w:rFonts w:ascii="Arial" w:cs="Arial" w:eastAsia="Arial" w:hAnsi="Arial"/>
          <w:sz w:val="20"/>
          <w:szCs w:val="20"/>
          <w:b w:val="1"/>
          <w:bCs w:val="1"/>
          <w:i w:val="1"/>
          <w:iCs w:val="1"/>
          <w:color w:val="00C1DE"/>
        </w:rPr>
        <w:t>Meetings held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43180</wp:posOffset>
            </wp:positionV>
            <wp:extent cx="33883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14" w:lineRule="exact"/>
        <w:rPr>
          <w:sz w:val="20"/>
          <w:szCs w:val="20"/>
          <w:color w:val="auto"/>
        </w:rPr>
      </w:pPr>
    </w:p>
    <w:p>
      <w:pPr>
        <w:ind w:left="9"/>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21" w:lineRule="exact"/>
        <w:rPr>
          <w:sz w:val="20"/>
          <w:szCs w:val="20"/>
          <w:color w:val="auto"/>
        </w:rPr>
      </w:pPr>
    </w:p>
    <w:p>
      <w:pPr>
        <w:ind w:left="209" w:right="20" w:hanging="209"/>
        <w:spacing w:after="0" w:line="248" w:lineRule="auto"/>
        <w:tabs>
          <w:tab w:leader="none" w:pos="180" w:val="left"/>
        </w:tabs>
        <w:numPr>
          <w:ilvl w:val="0"/>
          <w:numId w:val="20"/>
        </w:numPr>
        <w:rPr>
          <w:rFonts w:ascii="Arial" w:cs="Arial" w:eastAsia="Arial" w:hAnsi="Arial"/>
          <w:sz w:val="20"/>
          <w:szCs w:val="20"/>
          <w:color w:val="00C1DE"/>
        </w:rPr>
      </w:pPr>
      <w:r>
        <w:rPr>
          <w:rFonts w:ascii="Arial" w:cs="Arial" w:eastAsia="Arial" w:hAnsi="Arial"/>
          <w:sz w:val="20"/>
          <w:szCs w:val="20"/>
          <w:color w:val="3E3935"/>
        </w:rPr>
        <w:t>Reviews the Company’s executive compensation policies, practices, and programs;</w:t>
      </w:r>
    </w:p>
    <w:p>
      <w:pPr>
        <w:spacing w:after="0" w:line="6" w:lineRule="exact"/>
        <w:rPr>
          <w:rFonts w:ascii="Arial" w:cs="Arial" w:eastAsia="Arial" w:hAnsi="Arial"/>
          <w:sz w:val="20"/>
          <w:szCs w:val="20"/>
          <w:color w:val="00C1DE"/>
        </w:rPr>
      </w:pPr>
    </w:p>
    <w:p>
      <w:pPr>
        <w:jc w:val="both"/>
        <w:ind w:left="209" w:hanging="209"/>
        <w:spacing w:after="0" w:line="249" w:lineRule="auto"/>
        <w:tabs>
          <w:tab w:leader="none" w:pos="180" w:val="left"/>
        </w:tabs>
        <w:numPr>
          <w:ilvl w:val="0"/>
          <w:numId w:val="20"/>
        </w:numPr>
        <w:rPr>
          <w:rFonts w:ascii="Arial" w:cs="Arial" w:eastAsia="Arial" w:hAnsi="Arial"/>
          <w:sz w:val="20"/>
          <w:szCs w:val="20"/>
          <w:color w:val="00C1DE"/>
        </w:rPr>
      </w:pPr>
      <w:r>
        <w:rPr>
          <w:rFonts w:ascii="Arial" w:cs="Arial" w:eastAsia="Arial" w:hAnsi="Arial"/>
          <w:sz w:val="20"/>
          <w:szCs w:val="20"/>
          <w:color w:val="3E3935"/>
        </w:rPr>
        <w:t>Reviews and approves corporate goals and objectives for compensation, evaluates performance (along with the full Board), and determines compensation levels for the Chairman and CEO;</w:t>
      </w:r>
    </w:p>
    <w:p>
      <w:pPr>
        <w:spacing w:after="0" w:line="8" w:lineRule="exact"/>
        <w:rPr>
          <w:rFonts w:ascii="Arial" w:cs="Arial" w:eastAsia="Arial" w:hAnsi="Arial"/>
          <w:sz w:val="20"/>
          <w:szCs w:val="20"/>
          <w:color w:val="00C1DE"/>
        </w:rPr>
      </w:pPr>
    </w:p>
    <w:p>
      <w:pPr>
        <w:ind w:left="209" w:hanging="209"/>
        <w:spacing w:after="0" w:line="261" w:lineRule="auto"/>
        <w:tabs>
          <w:tab w:leader="none" w:pos="180" w:val="left"/>
        </w:tabs>
        <w:numPr>
          <w:ilvl w:val="0"/>
          <w:numId w:val="20"/>
        </w:numPr>
        <w:rPr>
          <w:rFonts w:ascii="Arial" w:cs="Arial" w:eastAsia="Arial" w:hAnsi="Arial"/>
          <w:sz w:val="19"/>
          <w:szCs w:val="19"/>
          <w:color w:val="00C1DE"/>
        </w:rPr>
      </w:pPr>
      <w:r>
        <w:rPr>
          <w:rFonts w:ascii="Arial" w:cs="Arial" w:eastAsia="Arial" w:hAnsi="Arial"/>
          <w:sz w:val="19"/>
          <w:szCs w:val="19"/>
          <w:color w:val="3E3935"/>
        </w:rPr>
        <w:t>Reviews and approves compensation of NEOs, executive officers, and other senior leaders under its purview;</w:t>
      </w:r>
    </w:p>
    <w:p>
      <w:pPr>
        <w:spacing w:after="0" w:line="6" w:lineRule="exact"/>
        <w:rPr>
          <w:rFonts w:ascii="Arial" w:cs="Arial" w:eastAsia="Arial" w:hAnsi="Arial"/>
          <w:sz w:val="19"/>
          <w:szCs w:val="19"/>
          <w:color w:val="00C1DE"/>
        </w:rPr>
      </w:pPr>
    </w:p>
    <w:p>
      <w:pPr>
        <w:jc w:val="both"/>
        <w:ind w:left="209" w:hanging="209"/>
        <w:spacing w:after="0" w:line="249" w:lineRule="auto"/>
        <w:tabs>
          <w:tab w:leader="none" w:pos="206" w:val="left"/>
        </w:tabs>
        <w:numPr>
          <w:ilvl w:val="0"/>
          <w:numId w:val="20"/>
        </w:numPr>
        <w:rPr>
          <w:rFonts w:ascii="Arial" w:cs="Arial" w:eastAsia="Arial" w:hAnsi="Arial"/>
          <w:sz w:val="20"/>
          <w:szCs w:val="20"/>
          <w:color w:val="00C1DE"/>
        </w:rPr>
      </w:pPr>
      <w:r>
        <w:rPr>
          <w:rFonts w:ascii="Arial" w:cs="Arial" w:eastAsia="Arial" w:hAnsi="Arial"/>
          <w:sz w:val="20"/>
          <w:szCs w:val="20"/>
          <w:color w:val="3E3935"/>
        </w:rPr>
        <w:t>Reviews compensation policies and practices so that the plans do not encourage unnecessary or excessive risks; and</w:t>
      </w:r>
    </w:p>
    <w:p>
      <w:pPr>
        <w:spacing w:after="0" w:line="6" w:lineRule="exact"/>
        <w:rPr>
          <w:rFonts w:ascii="Arial" w:cs="Arial" w:eastAsia="Arial" w:hAnsi="Arial"/>
          <w:sz w:val="20"/>
          <w:szCs w:val="20"/>
          <w:color w:val="00C1DE"/>
        </w:rPr>
      </w:pPr>
    </w:p>
    <w:p>
      <w:pPr>
        <w:ind w:left="209" w:hanging="209"/>
        <w:spacing w:after="0" w:line="256" w:lineRule="auto"/>
        <w:tabs>
          <w:tab w:leader="none" w:pos="328" w:val="left"/>
        </w:tabs>
        <w:numPr>
          <w:ilvl w:val="0"/>
          <w:numId w:val="20"/>
        </w:numPr>
        <w:rPr>
          <w:rFonts w:ascii="Arial" w:cs="Arial" w:eastAsia="Arial" w:hAnsi="Arial"/>
          <w:sz w:val="20"/>
          <w:szCs w:val="20"/>
          <w:color w:val="00C1DE"/>
        </w:rPr>
      </w:pPr>
      <w:r>
        <w:rPr>
          <w:rFonts w:ascii="Arial" w:cs="Arial" w:eastAsia="Arial" w:hAnsi="Arial"/>
          <w:sz w:val="20"/>
          <w:szCs w:val="20"/>
          <w:color w:val="3E3935"/>
        </w:rPr>
        <w:t>Reviews the Company’s compensation policies and practices that promote diversity and inclusion.</w:t>
      </w:r>
    </w:p>
    <w:p>
      <w:pPr>
        <w:spacing w:after="0" w:line="138" w:lineRule="exact"/>
        <w:rPr>
          <w:sz w:val="20"/>
          <w:szCs w:val="20"/>
          <w:color w:val="auto"/>
        </w:rPr>
      </w:pPr>
    </w:p>
    <w:p>
      <w:pPr>
        <w:jc w:val="both"/>
        <w:ind w:left="9"/>
        <w:spacing w:after="0" w:line="226" w:lineRule="auto"/>
        <w:rPr>
          <w:sz w:val="20"/>
          <w:szCs w:val="20"/>
          <w:color w:val="auto"/>
        </w:rPr>
      </w:pPr>
      <w:r>
        <w:rPr>
          <w:rFonts w:ascii="Arial" w:cs="Arial" w:eastAsia="Arial" w:hAnsi="Arial"/>
          <w:sz w:val="20"/>
          <w:szCs w:val="20"/>
          <w:color w:val="3E3935"/>
        </w:rPr>
        <w:t>The Board has determined that all members of the Compensation Committee meet heightened independence and qualification criteria in accordance with NYSE listing standards and SEC rules. The Compensation Committee’s charter permits the Committee to delegate its authority to members of management and also form and delegate authority to subcommittees consisting of one or more members when it deems it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269240</wp:posOffset>
            </wp:positionV>
            <wp:extent cx="2938145" cy="1137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38145" cy="113792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1967865</wp:posOffset>
            </wp:positionV>
            <wp:extent cx="5927725" cy="101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5420" w:space="431"/>
            <w:col w:w="5229"/>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19</w:t>
      </w:r>
    </w:p>
    <w:p>
      <w:pPr>
        <w:sectPr>
          <w:pgSz w:w="11900" w:h="16838" w:orient="portrait"/>
          <w:cols w:equalWidth="0" w:num="1">
            <w:col w:w="11080"/>
          </w:cols>
          <w:pgMar w:left="320" w:top="456"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3337560" cy="415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37560" cy="4159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662305" cy="662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3340" w:type="dxa"/>
            <w:vAlign w:val="bottom"/>
          </w:tcPr>
          <w:p>
            <w:pPr>
              <w:ind w:left="220"/>
              <w:spacing w:after="0"/>
              <w:rPr>
                <w:sz w:val="20"/>
                <w:szCs w:val="20"/>
                <w:color w:val="auto"/>
              </w:rPr>
            </w:pPr>
            <w:r>
              <w:rPr>
                <w:rFonts w:ascii="Arial" w:cs="Arial" w:eastAsia="Arial" w:hAnsi="Arial"/>
                <w:sz w:val="20"/>
                <w:szCs w:val="20"/>
                <w:b w:val="1"/>
                <w:bCs w:val="1"/>
                <w:i w:val="1"/>
                <w:iCs w:val="1"/>
                <w:color w:val="00C1DE"/>
                <w:w w:val="97"/>
              </w:rPr>
              <w:t xml:space="preserve">Members: </w:t>
            </w:r>
            <w:r>
              <w:rPr>
                <w:rFonts w:ascii="Arial" w:cs="Arial" w:eastAsia="Arial" w:hAnsi="Arial"/>
                <w:sz w:val="20"/>
                <w:szCs w:val="20"/>
                <w:color w:val="3E3935"/>
                <w:w w:val="97"/>
              </w:rPr>
              <w:t>Joseph Jimenez (Chair),</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3340" w:type="dxa"/>
            <w:vAlign w:val="bottom"/>
          </w:tcPr>
          <w:p>
            <w:pPr>
              <w:ind w:left="220"/>
              <w:spacing w:after="0" w:line="214" w:lineRule="exact"/>
              <w:rPr>
                <w:sz w:val="20"/>
                <w:szCs w:val="20"/>
                <w:color w:val="auto"/>
              </w:rPr>
            </w:pPr>
            <w:r>
              <w:rPr>
                <w:rFonts w:ascii="Arial" w:cs="Arial" w:eastAsia="Arial" w:hAnsi="Arial"/>
                <w:sz w:val="20"/>
                <w:szCs w:val="20"/>
                <w:color w:val="3E3935"/>
              </w:rPr>
              <w:t>Wesley G. Bush, Jane L. Mendillo,</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3340" w:type="dxa"/>
            <w:vAlign w:val="bottom"/>
          </w:tcPr>
          <w:p>
            <w:pPr>
              <w:ind w:left="220"/>
              <w:spacing w:after="0" w:line="214" w:lineRule="exact"/>
              <w:rPr>
                <w:sz w:val="20"/>
                <w:szCs w:val="20"/>
                <w:color w:val="auto"/>
              </w:rPr>
            </w:pPr>
            <w:r>
              <w:rPr>
                <w:rFonts w:ascii="Arial" w:cs="Arial" w:eastAsia="Arial" w:hAnsi="Arial"/>
                <w:sz w:val="20"/>
                <w:szCs w:val="20"/>
                <w:color w:val="3E3935"/>
              </w:rPr>
              <w:t>Judith A. Miscik, Patricia F. Russo,</w:t>
            </w:r>
          </w:p>
        </w:tc>
        <w:tc>
          <w:tcPr>
            <w:tcW w:w="0" w:type="dxa"/>
            <w:vAlign w:val="bottom"/>
          </w:tcPr>
          <w:p>
            <w:pPr>
              <w:spacing w:after="0"/>
              <w:rPr>
                <w:sz w:val="1"/>
                <w:szCs w:val="1"/>
                <w:color w:val="auto"/>
              </w:rPr>
            </w:pPr>
          </w:p>
        </w:tc>
      </w:tr>
      <w:tr>
        <w:trPr>
          <w:trHeight w:val="235"/>
        </w:trPr>
        <w:tc>
          <w:tcPr>
            <w:tcW w:w="1760" w:type="dxa"/>
            <w:vAlign w:val="bottom"/>
            <w:vMerge w:val="restart"/>
          </w:tcPr>
          <w:p>
            <w:pPr>
              <w:spacing w:after="0"/>
              <w:rPr>
                <w:sz w:val="20"/>
                <w:szCs w:val="20"/>
                <w:color w:val="auto"/>
              </w:rPr>
            </w:pPr>
            <w:r>
              <w:rPr>
                <w:rFonts w:ascii="Arial" w:cs="Arial" w:eastAsia="Arial" w:hAnsi="Arial"/>
                <w:sz w:val="20"/>
                <w:szCs w:val="20"/>
                <w:b w:val="1"/>
                <w:bCs w:val="1"/>
                <w:color w:val="0071CE"/>
              </w:rPr>
              <w:t>Joseph Jimenez</w:t>
            </w:r>
          </w:p>
        </w:tc>
        <w:tc>
          <w:tcPr>
            <w:tcW w:w="3340" w:type="dxa"/>
            <w:vAlign w:val="bottom"/>
          </w:tcPr>
          <w:p>
            <w:pPr>
              <w:ind w:left="220"/>
              <w:spacing w:after="0"/>
              <w:rPr>
                <w:sz w:val="20"/>
                <w:szCs w:val="20"/>
                <w:color w:val="auto"/>
              </w:rPr>
            </w:pPr>
            <w:r>
              <w:rPr>
                <w:rFonts w:ascii="Arial" w:cs="Arial" w:eastAsia="Arial" w:hAnsi="Arial"/>
                <w:sz w:val="20"/>
                <w:szCs w:val="20"/>
                <w:color w:val="3E3935"/>
              </w:rPr>
              <w:t>and Thomas M. Schoewe</w:t>
            </w:r>
          </w:p>
        </w:tc>
        <w:tc>
          <w:tcPr>
            <w:tcW w:w="0" w:type="dxa"/>
            <w:vAlign w:val="bottom"/>
          </w:tcPr>
          <w:p>
            <w:pPr>
              <w:spacing w:after="0"/>
              <w:rPr>
                <w:sz w:val="1"/>
                <w:szCs w:val="1"/>
                <w:color w:val="auto"/>
              </w:rPr>
            </w:pPr>
          </w:p>
        </w:tc>
      </w:tr>
      <w:tr>
        <w:trPr>
          <w:trHeight w:val="195"/>
        </w:trPr>
        <w:tc>
          <w:tcPr>
            <w:tcW w:w="1760" w:type="dxa"/>
            <w:vAlign w:val="bottom"/>
            <w:vMerge w:val="continue"/>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3340" w:type="dxa"/>
            <w:vAlign w:val="bottom"/>
          </w:tcPr>
          <w:p>
            <w:pPr>
              <w:ind w:left="220"/>
              <w:spacing w:after="0"/>
              <w:rPr>
                <w:sz w:val="20"/>
                <w:szCs w:val="20"/>
                <w:color w:val="auto"/>
              </w:rPr>
            </w:pPr>
            <w:r>
              <w:rPr>
                <w:rFonts w:ascii="Arial" w:cs="Arial" w:eastAsia="Arial" w:hAnsi="Arial"/>
                <w:sz w:val="20"/>
                <w:szCs w:val="20"/>
                <w:b w:val="1"/>
                <w:bCs w:val="1"/>
                <w:i w:val="1"/>
                <w:iCs w:val="1"/>
                <w:color w:val="00C1DE"/>
              </w:rPr>
              <w:t>Meetings held in 2020: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3375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21" w:lineRule="exact"/>
        <w:rPr>
          <w:sz w:val="20"/>
          <w:szCs w:val="20"/>
          <w:color w:val="auto"/>
        </w:rPr>
      </w:pPr>
    </w:p>
    <w:p>
      <w:pPr>
        <w:ind w:left="380" w:hanging="213"/>
        <w:spacing w:after="0" w:line="248" w:lineRule="auto"/>
        <w:tabs>
          <w:tab w:leader="none" w:pos="580" w:val="left"/>
        </w:tabs>
        <w:numPr>
          <w:ilvl w:val="0"/>
          <w:numId w:val="21"/>
        </w:numPr>
        <w:rPr>
          <w:rFonts w:ascii="Arial" w:cs="Arial" w:eastAsia="Arial" w:hAnsi="Arial"/>
          <w:sz w:val="20"/>
          <w:szCs w:val="20"/>
          <w:color w:val="00C1DE"/>
        </w:rPr>
      </w:pPr>
      <w:r>
        <w:rPr>
          <w:rFonts w:ascii="Arial" w:cs="Arial" w:eastAsia="Arial" w:hAnsi="Arial"/>
          <w:sz w:val="20"/>
          <w:szCs w:val="20"/>
          <w:color w:val="3E3935"/>
        </w:rPr>
        <w:t>Reviews financial policies, strategies, and capital structure;</w:t>
      </w:r>
    </w:p>
    <w:p>
      <w:pPr>
        <w:spacing w:after="0" w:line="6" w:lineRule="exact"/>
        <w:rPr>
          <w:rFonts w:ascii="Arial" w:cs="Arial" w:eastAsia="Arial" w:hAnsi="Arial"/>
          <w:sz w:val="20"/>
          <w:szCs w:val="20"/>
          <w:color w:val="00C1DE"/>
        </w:rPr>
      </w:pPr>
    </w:p>
    <w:p>
      <w:pPr>
        <w:jc w:val="both"/>
        <w:ind w:left="380" w:hanging="213"/>
        <w:spacing w:after="0" w:line="262" w:lineRule="auto"/>
        <w:tabs>
          <w:tab w:leader="none" w:pos="405" w:val="left"/>
        </w:tabs>
        <w:numPr>
          <w:ilvl w:val="0"/>
          <w:numId w:val="21"/>
        </w:numPr>
        <w:rPr>
          <w:rFonts w:ascii="Arial" w:cs="Arial" w:eastAsia="Arial" w:hAnsi="Arial"/>
          <w:sz w:val="19"/>
          <w:szCs w:val="19"/>
          <w:color w:val="00C1DE"/>
        </w:rPr>
      </w:pPr>
      <w:r>
        <w:rPr>
          <w:rFonts w:ascii="Arial" w:cs="Arial" w:eastAsia="Arial" w:hAnsi="Arial"/>
          <w:sz w:val="19"/>
          <w:szCs w:val="19"/>
          <w:color w:val="3E3935"/>
        </w:rPr>
        <w:t>Reviews the Company’s cash management policies and proposed capital plans, capital expenditures, dividend actions, stock repurchase programs, issuances of debt or equity securities, and credit facility and other borrowings;</w:t>
      </w:r>
    </w:p>
    <w:p>
      <w:pPr>
        <w:spacing w:after="0" w:line="8" w:lineRule="exact"/>
        <w:rPr>
          <w:rFonts w:ascii="Arial" w:cs="Arial" w:eastAsia="Arial" w:hAnsi="Arial"/>
          <w:sz w:val="19"/>
          <w:szCs w:val="19"/>
          <w:color w:val="00C1DE"/>
        </w:rPr>
      </w:pPr>
    </w:p>
    <w:p>
      <w:pPr>
        <w:jc w:val="both"/>
        <w:ind w:left="380" w:hanging="213"/>
        <w:spacing w:after="0" w:line="249" w:lineRule="auto"/>
        <w:tabs>
          <w:tab w:leader="none" w:pos="416" w:val="left"/>
        </w:tabs>
        <w:numPr>
          <w:ilvl w:val="0"/>
          <w:numId w:val="21"/>
        </w:numPr>
        <w:rPr>
          <w:rFonts w:ascii="Arial" w:cs="Arial" w:eastAsia="Arial" w:hAnsi="Arial"/>
          <w:sz w:val="20"/>
          <w:szCs w:val="20"/>
          <w:color w:val="00C1DE"/>
        </w:rPr>
      </w:pPr>
      <w:r>
        <w:rPr>
          <w:rFonts w:ascii="Arial" w:cs="Arial" w:eastAsia="Arial" w:hAnsi="Arial"/>
          <w:sz w:val="20"/>
          <w:szCs w:val="20"/>
          <w:color w:val="3E3935"/>
        </w:rPr>
        <w:t>Reviews any significant financial exposures and risks, including foreign exchange, interest rate, and commodities exposures, and the use of derivatives to hedge those exposures; and</w:t>
      </w:r>
    </w:p>
    <w:p>
      <w:pPr>
        <w:spacing w:after="0" w:line="8" w:lineRule="exact"/>
        <w:rPr>
          <w:rFonts w:ascii="Arial" w:cs="Arial" w:eastAsia="Arial" w:hAnsi="Arial"/>
          <w:sz w:val="20"/>
          <w:szCs w:val="20"/>
          <w:color w:val="00C1DE"/>
        </w:rPr>
      </w:pPr>
    </w:p>
    <w:p>
      <w:pPr>
        <w:jc w:val="both"/>
        <w:ind w:left="380" w:hanging="213"/>
        <w:spacing w:after="0" w:line="273" w:lineRule="auto"/>
        <w:tabs>
          <w:tab w:leader="none" w:pos="483" w:val="left"/>
        </w:tabs>
        <w:numPr>
          <w:ilvl w:val="0"/>
          <w:numId w:val="21"/>
        </w:numPr>
        <w:rPr>
          <w:rFonts w:ascii="Arial" w:cs="Arial" w:eastAsia="Arial" w:hAnsi="Arial"/>
          <w:sz w:val="19"/>
          <w:szCs w:val="19"/>
          <w:color w:val="00C1DE"/>
        </w:rPr>
      </w:pPr>
      <w:r>
        <w:rPr>
          <w:rFonts w:ascii="Arial" w:cs="Arial" w:eastAsia="Arial" w:hAnsi="Arial"/>
          <w:sz w:val="19"/>
          <w:szCs w:val="19"/>
          <w:color w:val="3E3935"/>
        </w:rPr>
        <w:t>Reviews the regulatory compliance, administration, financing, investment performance, risk and liability profile, and funding of the Company’s pension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200025</wp:posOffset>
            </wp:positionV>
            <wp:extent cx="2929890" cy="13925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29890" cy="1392555"/>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2127250</wp:posOffset>
            </wp:positionV>
            <wp:extent cx="5927725" cy="101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-195580</wp:posOffset>
            </wp:positionV>
            <wp:extent cx="3380105" cy="415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80105" cy="4159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FFFFFF"/>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662305" cy="662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314" w:lineRule="exact"/>
        <w:rPr>
          <w:sz w:val="20"/>
          <w:szCs w:val="20"/>
          <w:color w:val="auto"/>
        </w:rPr>
      </w:pPr>
    </w:p>
    <w:p>
      <w:pPr>
        <w:ind w:left="1960" w:right="20"/>
        <w:spacing w:after="0" w:line="239" w:lineRule="auto"/>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Patricia F. Russo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Jane L. Mendillo, Theodore M. Solso, and Carol M. Stephenson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0071CE"/>
        </w:rPr>
        <w:t>Patricia F. Russo</w:t>
      </w:r>
    </w:p>
    <w:p>
      <w:pPr>
        <w:spacing w:after="0" w:line="8"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0071CE"/>
        </w:rPr>
        <w:t>Chair</w:t>
      </w:r>
      <w:r>
        <w:rPr>
          <w:sz w:val="20"/>
          <w:szCs w:val="20"/>
          <w:color w:val="auto"/>
        </w:rPr>
        <w:tab/>
      </w:r>
      <w:r>
        <w:rPr>
          <w:rFonts w:ascii="Arial" w:cs="Arial" w:eastAsia="Arial" w:hAnsi="Arial"/>
          <w:sz w:val="20"/>
          <w:szCs w:val="20"/>
          <w:b w:val="1"/>
          <w:bCs w:val="1"/>
          <w:i w:val="1"/>
          <w:iCs w:val="1"/>
          <w:color w:val="00C1DE"/>
        </w:rPr>
        <w:t>Meetings held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43180</wp:posOffset>
            </wp:positionV>
            <wp:extent cx="33801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8" w:lineRule="exact"/>
        <w:rPr>
          <w:sz w:val="20"/>
          <w:szCs w:val="20"/>
          <w:color w:val="auto"/>
        </w:rPr>
      </w:pPr>
    </w:p>
    <w:p>
      <w:pPr>
        <w:jc w:val="both"/>
        <w:ind w:left="220" w:hanging="215"/>
        <w:spacing w:after="0" w:line="232" w:lineRule="auto"/>
        <w:tabs>
          <w:tab w:leader="none" w:pos="503" w:val="left"/>
        </w:tabs>
        <w:numPr>
          <w:ilvl w:val="0"/>
          <w:numId w:val="22"/>
        </w:numPr>
        <w:rPr>
          <w:rFonts w:ascii="Arial" w:cs="Arial" w:eastAsia="Arial" w:hAnsi="Arial"/>
          <w:sz w:val="20"/>
          <w:szCs w:val="20"/>
          <w:color w:val="00C1DE"/>
        </w:rPr>
      </w:pPr>
      <w:r>
        <w:rPr>
          <w:rFonts w:ascii="Arial" w:cs="Arial" w:eastAsia="Arial" w:hAnsi="Arial"/>
          <w:sz w:val="20"/>
          <w:szCs w:val="20"/>
          <w:color w:val="3E3935"/>
        </w:rPr>
        <w:t>Reviews the Company’s corporate governance framework, including all significant governance policies and procedures;</w:t>
      </w:r>
    </w:p>
    <w:p>
      <w:pPr>
        <w:spacing w:after="0" w:line="1" w:lineRule="exact"/>
        <w:rPr>
          <w:rFonts w:ascii="Arial" w:cs="Arial" w:eastAsia="Arial" w:hAnsi="Arial"/>
          <w:sz w:val="20"/>
          <w:szCs w:val="20"/>
          <w:color w:val="00C1DE"/>
        </w:rPr>
      </w:pPr>
    </w:p>
    <w:p>
      <w:pPr>
        <w:jc w:val="both"/>
        <w:ind w:left="220" w:right="20" w:hanging="215"/>
        <w:spacing w:after="0" w:line="249" w:lineRule="auto"/>
        <w:tabs>
          <w:tab w:leader="none" w:pos="299" w:val="left"/>
        </w:tabs>
        <w:numPr>
          <w:ilvl w:val="0"/>
          <w:numId w:val="22"/>
        </w:numPr>
        <w:rPr>
          <w:rFonts w:ascii="Arial" w:cs="Arial" w:eastAsia="Arial" w:hAnsi="Arial"/>
          <w:sz w:val="20"/>
          <w:szCs w:val="20"/>
          <w:color w:val="00C1DE"/>
        </w:rPr>
      </w:pPr>
      <w:r>
        <w:rPr>
          <w:rFonts w:ascii="Arial" w:cs="Arial" w:eastAsia="Arial" w:hAnsi="Arial"/>
          <w:sz w:val="20"/>
          <w:szCs w:val="20"/>
          <w:color w:val="3E3935"/>
        </w:rPr>
        <w:t>Monitors Company policies and strategies related to corporate responsibility, sustainability, and political contributions and lobbying activities;</w:t>
      </w:r>
    </w:p>
    <w:p>
      <w:pPr>
        <w:spacing w:after="0" w:line="6" w:lineRule="exact"/>
        <w:rPr>
          <w:rFonts w:ascii="Arial" w:cs="Arial" w:eastAsia="Arial" w:hAnsi="Arial"/>
          <w:sz w:val="20"/>
          <w:szCs w:val="20"/>
          <w:color w:val="00C1DE"/>
        </w:rPr>
      </w:pPr>
    </w:p>
    <w:p>
      <w:pPr>
        <w:ind w:left="220" w:hanging="215"/>
        <w:spacing w:after="0" w:line="248" w:lineRule="auto"/>
        <w:tabs>
          <w:tab w:leader="none" w:pos="245" w:val="left"/>
        </w:tabs>
        <w:numPr>
          <w:ilvl w:val="0"/>
          <w:numId w:val="22"/>
        </w:numPr>
        <w:rPr>
          <w:rFonts w:ascii="Arial" w:cs="Arial" w:eastAsia="Arial" w:hAnsi="Arial"/>
          <w:sz w:val="20"/>
          <w:szCs w:val="20"/>
          <w:color w:val="00C1DE"/>
        </w:rPr>
      </w:pPr>
      <w:r>
        <w:rPr>
          <w:rFonts w:ascii="Arial" w:cs="Arial" w:eastAsia="Arial" w:hAnsi="Arial"/>
          <w:sz w:val="20"/>
          <w:szCs w:val="20"/>
          <w:color w:val="3E3935"/>
        </w:rPr>
        <w:t>Reviews the appropriate composition of the Board and recommends director nominees;</w:t>
      </w:r>
    </w:p>
    <w:p>
      <w:pPr>
        <w:spacing w:after="0" w:line="6" w:lineRule="exact"/>
        <w:rPr>
          <w:rFonts w:ascii="Arial" w:cs="Arial" w:eastAsia="Arial" w:hAnsi="Arial"/>
          <w:sz w:val="20"/>
          <w:szCs w:val="20"/>
          <w:color w:val="00C1DE"/>
        </w:rPr>
      </w:pPr>
    </w:p>
    <w:p>
      <w:pPr>
        <w:ind w:left="220" w:hanging="215"/>
        <w:spacing w:after="0" w:line="248" w:lineRule="auto"/>
        <w:tabs>
          <w:tab w:leader="none" w:pos="271" w:val="left"/>
        </w:tabs>
        <w:numPr>
          <w:ilvl w:val="0"/>
          <w:numId w:val="22"/>
        </w:numPr>
        <w:rPr>
          <w:rFonts w:ascii="Arial" w:cs="Arial" w:eastAsia="Arial" w:hAnsi="Arial"/>
          <w:sz w:val="20"/>
          <w:szCs w:val="20"/>
          <w:color w:val="00C1DE"/>
        </w:rPr>
      </w:pPr>
      <w:r>
        <w:rPr>
          <w:rFonts w:ascii="Arial" w:cs="Arial" w:eastAsia="Arial" w:hAnsi="Arial"/>
          <w:sz w:val="20"/>
          <w:szCs w:val="20"/>
          <w:color w:val="3E3935"/>
        </w:rPr>
        <w:t>Monitors the self-evaluation process of the Board and Committees;</w:t>
      </w:r>
    </w:p>
    <w:p>
      <w:pPr>
        <w:spacing w:after="0" w:line="6" w:lineRule="exact"/>
        <w:rPr>
          <w:rFonts w:ascii="Arial" w:cs="Arial" w:eastAsia="Arial" w:hAnsi="Arial"/>
          <w:sz w:val="20"/>
          <w:szCs w:val="20"/>
          <w:color w:val="00C1DE"/>
        </w:rPr>
      </w:pPr>
    </w:p>
    <w:p>
      <w:pPr>
        <w:ind w:left="220" w:hanging="215"/>
        <w:spacing w:after="0" w:line="248" w:lineRule="auto"/>
        <w:tabs>
          <w:tab w:leader="none" w:pos="191" w:val="left"/>
        </w:tabs>
        <w:numPr>
          <w:ilvl w:val="0"/>
          <w:numId w:val="22"/>
        </w:numPr>
        <w:rPr>
          <w:rFonts w:ascii="Arial" w:cs="Arial" w:eastAsia="Arial" w:hAnsi="Arial"/>
          <w:sz w:val="20"/>
          <w:szCs w:val="20"/>
          <w:color w:val="00C1DE"/>
        </w:rPr>
      </w:pPr>
      <w:r>
        <w:rPr>
          <w:rFonts w:ascii="Arial" w:cs="Arial" w:eastAsia="Arial" w:hAnsi="Arial"/>
          <w:sz w:val="20"/>
          <w:szCs w:val="20"/>
          <w:color w:val="3E3935"/>
        </w:rPr>
        <w:t>Recommends compensation of non-employee directors to the Board; and</w:t>
      </w:r>
    </w:p>
    <w:p>
      <w:pPr>
        <w:spacing w:after="0" w:line="6" w:lineRule="exact"/>
        <w:rPr>
          <w:rFonts w:ascii="Arial" w:cs="Arial" w:eastAsia="Arial" w:hAnsi="Arial"/>
          <w:sz w:val="20"/>
          <w:szCs w:val="20"/>
          <w:color w:val="00C1DE"/>
        </w:rPr>
      </w:pPr>
    </w:p>
    <w:p>
      <w:pPr>
        <w:ind w:left="220" w:hanging="215"/>
        <w:spacing w:after="0" w:line="256" w:lineRule="auto"/>
        <w:tabs>
          <w:tab w:leader="none" w:pos="191" w:val="left"/>
        </w:tabs>
        <w:numPr>
          <w:ilvl w:val="0"/>
          <w:numId w:val="22"/>
        </w:numPr>
        <w:rPr>
          <w:rFonts w:ascii="Arial" w:cs="Arial" w:eastAsia="Arial" w:hAnsi="Arial"/>
          <w:sz w:val="20"/>
          <w:szCs w:val="20"/>
          <w:color w:val="00C1DE"/>
        </w:rPr>
      </w:pPr>
      <w:r>
        <w:rPr>
          <w:rFonts w:ascii="Arial" w:cs="Arial" w:eastAsia="Arial" w:hAnsi="Arial"/>
          <w:sz w:val="20"/>
          <w:szCs w:val="20"/>
          <w:color w:val="3E3935"/>
        </w:rPr>
        <w:t>Reviews and approves related party transactions and any potential Board conflicts of interest,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2929890" cy="1834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29890" cy="1834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40"/>
            <w:col w:w="522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20</w:t>
      </w:r>
    </w:p>
    <w:p>
      <w:pPr>
        <w:sectPr>
          <w:pgSz w:w="11900" w:h="16838" w:orient="portrait"/>
          <w:cols w:equalWidth="0" w:num="1">
            <w:col w:w="11080"/>
          </w:cols>
          <w:pgMar w:left="320" w:top="456" w:right="4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3337560" cy="271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37560" cy="271780"/>
                    </a:xfrm>
                    <a:prstGeom prst="rect">
                      <a:avLst/>
                    </a:prstGeom>
                    <a:noFill/>
                  </pic:spPr>
                </pic:pic>
              </a:graphicData>
            </a:graphic>
          </wp:anchor>
        </w:drawing>
      </w:r>
    </w:p>
    <w:p>
      <w:pPr>
        <w:spacing w:after="0" w:line="378"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FFFFFF"/>
        </w:rPr>
        <w:t>RISK AND CYBERSECURITY</w:t>
      </w:r>
    </w:p>
    <w:p>
      <w:pPr>
        <w:spacing w:after="0" w:line="171" w:lineRule="exact"/>
        <w:rPr>
          <w:sz w:val="20"/>
          <w:szCs w:val="20"/>
          <w:color w:val="auto"/>
        </w:rPr>
      </w:pPr>
    </w:p>
    <w:p>
      <w:pPr>
        <w:ind w:left="2040" w:right="200"/>
        <w:spacing w:after="0" w:line="235" w:lineRule="auto"/>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Linda R. Gooden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Joseph Jimenez, Judith A. Miscik, Thomas M. Schoewe, and Devin N. Wenig</w:t>
      </w:r>
    </w:p>
    <w:p>
      <w:pPr>
        <w:spacing w:after="0" w:line="31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Linda R. Gooden</w:t>
      </w:r>
    </w:p>
    <w:p>
      <w:pPr>
        <w:spacing w:after="0" w:line="8" w:lineRule="exact"/>
        <w:rPr>
          <w:sz w:val="20"/>
          <w:szCs w:val="20"/>
          <w:color w:val="auto"/>
        </w:rPr>
      </w:pPr>
    </w:p>
    <w:p>
      <w:pPr>
        <w:ind w:left="160"/>
        <w:spacing w:after="0"/>
        <w:tabs>
          <w:tab w:leader="none" w:pos="2020" w:val="left"/>
        </w:tabs>
        <w:rPr>
          <w:sz w:val="20"/>
          <w:szCs w:val="20"/>
          <w:color w:val="auto"/>
        </w:rPr>
      </w:pPr>
      <w:r>
        <w:rPr>
          <w:rFonts w:ascii="Arial" w:cs="Arial" w:eastAsia="Arial" w:hAnsi="Arial"/>
          <w:sz w:val="20"/>
          <w:szCs w:val="20"/>
          <w:b w:val="1"/>
          <w:bCs w:val="1"/>
          <w:color w:val="0071CE"/>
        </w:rPr>
        <w:t>Chair</w:t>
      </w:r>
      <w:r>
        <w:rPr>
          <w:sz w:val="20"/>
          <w:szCs w:val="20"/>
          <w:color w:val="auto"/>
        </w:rPr>
        <w:tab/>
      </w:r>
      <w:r>
        <w:rPr>
          <w:rFonts w:ascii="Arial" w:cs="Arial" w:eastAsia="Arial" w:hAnsi="Arial"/>
          <w:sz w:val="20"/>
          <w:szCs w:val="20"/>
          <w:b w:val="1"/>
          <w:bCs w:val="1"/>
          <w:i w:val="1"/>
          <w:iCs w:val="1"/>
          <w:color w:val="00C1DE"/>
        </w:rPr>
        <w:t>Meetings held in 2020: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33375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21" w:lineRule="exact"/>
        <w:rPr>
          <w:sz w:val="20"/>
          <w:szCs w:val="20"/>
          <w:color w:val="auto"/>
        </w:rPr>
      </w:pPr>
    </w:p>
    <w:p>
      <w:pPr>
        <w:ind w:left="380" w:hanging="213"/>
        <w:spacing w:after="0" w:line="248" w:lineRule="auto"/>
        <w:tabs>
          <w:tab w:leader="none" w:pos="419" w:val="left"/>
        </w:tabs>
        <w:numPr>
          <w:ilvl w:val="0"/>
          <w:numId w:val="23"/>
        </w:numPr>
        <w:rPr>
          <w:rFonts w:ascii="Arial" w:cs="Arial" w:eastAsia="Arial" w:hAnsi="Arial"/>
          <w:sz w:val="20"/>
          <w:szCs w:val="20"/>
          <w:color w:val="00C1DE"/>
        </w:rPr>
      </w:pPr>
      <w:r>
        <w:rPr>
          <w:rFonts w:ascii="Arial" w:cs="Arial" w:eastAsia="Arial" w:hAnsi="Arial"/>
          <w:sz w:val="20"/>
          <w:szCs w:val="20"/>
          <w:color w:val="3E3935"/>
        </w:rPr>
        <w:t>Reviews the Company’s key strategic, enterprise, and cybersecurity risks;</w:t>
      </w:r>
    </w:p>
    <w:p>
      <w:pPr>
        <w:spacing w:after="0" w:line="6" w:lineRule="exact"/>
        <w:rPr>
          <w:rFonts w:ascii="Arial" w:cs="Arial" w:eastAsia="Arial" w:hAnsi="Arial"/>
          <w:sz w:val="20"/>
          <w:szCs w:val="20"/>
          <w:color w:val="00C1DE"/>
        </w:rPr>
      </w:pPr>
    </w:p>
    <w:p>
      <w:pPr>
        <w:ind w:left="380" w:hanging="213"/>
        <w:spacing w:after="0" w:line="248" w:lineRule="auto"/>
        <w:tabs>
          <w:tab w:leader="none" w:pos="419" w:val="left"/>
        </w:tabs>
        <w:numPr>
          <w:ilvl w:val="0"/>
          <w:numId w:val="23"/>
        </w:numPr>
        <w:rPr>
          <w:rFonts w:ascii="Arial" w:cs="Arial" w:eastAsia="Arial" w:hAnsi="Arial"/>
          <w:sz w:val="20"/>
          <w:szCs w:val="20"/>
          <w:color w:val="00C1DE"/>
        </w:rPr>
      </w:pPr>
      <w:r>
        <w:rPr>
          <w:rFonts w:ascii="Arial" w:cs="Arial" w:eastAsia="Arial" w:hAnsi="Arial"/>
          <w:sz w:val="20"/>
          <w:szCs w:val="20"/>
          <w:color w:val="3E3935"/>
        </w:rPr>
        <w:t>Reviews privacy risk, including potential impact to the Company’s employees, customers, and stakeholders;</w:t>
      </w:r>
    </w:p>
    <w:p>
      <w:pPr>
        <w:spacing w:after="0" w:line="6" w:lineRule="exact"/>
        <w:rPr>
          <w:rFonts w:ascii="Arial" w:cs="Arial" w:eastAsia="Arial" w:hAnsi="Arial"/>
          <w:sz w:val="20"/>
          <w:szCs w:val="20"/>
          <w:color w:val="00C1DE"/>
        </w:rPr>
      </w:pPr>
    </w:p>
    <w:p>
      <w:pPr>
        <w:jc w:val="both"/>
        <w:ind w:left="380" w:hanging="213"/>
        <w:spacing w:after="0" w:line="249" w:lineRule="auto"/>
        <w:tabs>
          <w:tab w:leader="none" w:pos="351" w:val="left"/>
        </w:tabs>
        <w:numPr>
          <w:ilvl w:val="0"/>
          <w:numId w:val="23"/>
        </w:numPr>
        <w:rPr>
          <w:rFonts w:ascii="Arial" w:cs="Arial" w:eastAsia="Arial" w:hAnsi="Arial"/>
          <w:sz w:val="20"/>
          <w:szCs w:val="20"/>
          <w:color w:val="00C1DE"/>
        </w:rPr>
      </w:pPr>
      <w:r>
        <w:rPr>
          <w:rFonts w:ascii="Arial" w:cs="Arial" w:eastAsia="Arial" w:hAnsi="Arial"/>
          <w:sz w:val="20"/>
          <w:szCs w:val="20"/>
          <w:color w:val="3E3935"/>
        </w:rPr>
        <w:t>Reviews the Company’s risk management framework and management’s implementation of risk policies, procedures, and governance to assess their effectiveness;</w:t>
      </w:r>
    </w:p>
    <w:p>
      <w:pPr>
        <w:spacing w:after="0" w:line="8" w:lineRule="exact"/>
        <w:rPr>
          <w:rFonts w:ascii="Arial" w:cs="Arial" w:eastAsia="Arial" w:hAnsi="Arial"/>
          <w:sz w:val="20"/>
          <w:szCs w:val="20"/>
          <w:color w:val="00C1DE"/>
        </w:rPr>
      </w:pPr>
    </w:p>
    <w:p>
      <w:pPr>
        <w:jc w:val="both"/>
        <w:ind w:left="380" w:hanging="213"/>
        <w:spacing w:after="0" w:line="250" w:lineRule="auto"/>
        <w:tabs>
          <w:tab w:leader="none" w:pos="526" w:val="left"/>
        </w:tabs>
        <w:numPr>
          <w:ilvl w:val="0"/>
          <w:numId w:val="23"/>
        </w:numPr>
        <w:rPr>
          <w:rFonts w:ascii="Arial" w:cs="Arial" w:eastAsia="Arial" w:hAnsi="Arial"/>
          <w:sz w:val="20"/>
          <w:szCs w:val="20"/>
          <w:color w:val="00C1DE"/>
        </w:rPr>
      </w:pPr>
      <w:r>
        <w:rPr>
          <w:rFonts w:ascii="Arial" w:cs="Arial" w:eastAsia="Arial" w:hAnsi="Arial"/>
          <w:sz w:val="20"/>
          <w:szCs w:val="20"/>
          <w:color w:val="3E3935"/>
        </w:rPr>
        <w:t>Reviews management’s evaluation of strategic and operating risks, including risk concentrations, mitigating measures, and the types and levels of risk that are acceptable in the pursuit and protection of shareholder value; and</w:t>
      </w:r>
    </w:p>
    <w:p>
      <w:pPr>
        <w:spacing w:after="0" w:line="5" w:lineRule="exact"/>
        <w:rPr>
          <w:rFonts w:ascii="Arial" w:cs="Arial" w:eastAsia="Arial" w:hAnsi="Arial"/>
          <w:sz w:val="20"/>
          <w:szCs w:val="20"/>
          <w:color w:val="00C1DE"/>
        </w:rPr>
      </w:pPr>
    </w:p>
    <w:p>
      <w:pPr>
        <w:jc w:val="both"/>
        <w:ind w:left="380" w:hanging="213"/>
        <w:spacing w:after="0" w:line="254" w:lineRule="auto"/>
        <w:tabs>
          <w:tab w:leader="none" w:pos="457" w:val="left"/>
        </w:tabs>
        <w:numPr>
          <w:ilvl w:val="0"/>
          <w:numId w:val="23"/>
        </w:numPr>
        <w:rPr>
          <w:rFonts w:ascii="Arial" w:cs="Arial" w:eastAsia="Arial" w:hAnsi="Arial"/>
          <w:sz w:val="20"/>
          <w:szCs w:val="20"/>
          <w:color w:val="00C1DE"/>
        </w:rPr>
      </w:pPr>
      <w:r>
        <w:rPr>
          <w:rFonts w:ascii="Arial" w:cs="Arial" w:eastAsia="Arial" w:hAnsi="Arial"/>
          <w:sz w:val="20"/>
          <w:szCs w:val="20"/>
          <w:color w:val="3E3935"/>
        </w:rPr>
        <w:t>Reviews the Company’s risk culture, including the integration of risk management into the Company’s behaviors, decision-making,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90805</wp:posOffset>
            </wp:positionV>
            <wp:extent cx="2929890" cy="19532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29890" cy="1953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1640" w:type="dxa"/>
            <w:vAlign w:val="bottom"/>
            <w:shd w:val="clear" w:color="auto" w:fill="0071CE"/>
          </w:tcPr>
          <w:p>
            <w:pPr>
              <w:spacing w:after="0"/>
              <w:rPr>
                <w:sz w:val="24"/>
                <w:szCs w:val="24"/>
                <w:color w:val="auto"/>
              </w:rPr>
            </w:pPr>
          </w:p>
        </w:tc>
        <w:tc>
          <w:tcPr>
            <w:tcW w:w="3680" w:type="dxa"/>
            <w:vAlign w:val="bottom"/>
            <w:shd w:val="clear" w:color="auto" w:fill="0071CE"/>
          </w:tcPr>
          <w:p>
            <w:pPr>
              <w:ind w:left="520"/>
              <w:spacing w:after="0"/>
              <w:rPr>
                <w:sz w:val="20"/>
                <w:szCs w:val="20"/>
                <w:color w:val="auto"/>
              </w:rPr>
            </w:pPr>
            <w:r>
              <w:rPr>
                <w:rFonts w:ascii="Arial" w:cs="Arial" w:eastAsia="Arial" w:hAnsi="Arial"/>
                <w:sz w:val="20"/>
                <w:szCs w:val="20"/>
                <w:b w:val="1"/>
                <w:bCs w:val="1"/>
                <w:color w:val="FFFFFF"/>
              </w:rPr>
              <w:t>EXECUTIVE</w:t>
            </w:r>
          </w:p>
        </w:tc>
      </w:tr>
      <w:tr>
        <w:trPr>
          <w:trHeight w:val="89"/>
        </w:trPr>
        <w:tc>
          <w:tcPr>
            <w:tcW w:w="1640" w:type="dxa"/>
            <w:vAlign w:val="bottom"/>
            <w:shd w:val="clear" w:color="auto" w:fill="0071CE"/>
          </w:tcPr>
          <w:p>
            <w:pPr>
              <w:spacing w:after="0"/>
              <w:rPr>
                <w:sz w:val="7"/>
                <w:szCs w:val="7"/>
                <w:color w:val="auto"/>
              </w:rPr>
            </w:pPr>
          </w:p>
        </w:tc>
        <w:tc>
          <w:tcPr>
            <w:tcW w:w="3680" w:type="dxa"/>
            <w:vAlign w:val="bottom"/>
            <w:shd w:val="clear" w:color="auto" w:fill="0071CE"/>
          </w:tcPr>
          <w:p>
            <w:pPr>
              <w:spacing w:after="0"/>
              <w:rPr>
                <w:sz w:val="7"/>
                <w:szCs w:val="7"/>
                <w:color w:val="auto"/>
              </w:rPr>
            </w:pPr>
          </w:p>
        </w:tc>
      </w:tr>
      <w:tr>
        <w:trPr>
          <w:trHeight w:val="317"/>
        </w:trPr>
        <w:tc>
          <w:tcPr>
            <w:tcW w:w="1640" w:type="dxa"/>
            <w:vAlign w:val="bottom"/>
          </w:tcPr>
          <w:p>
            <w:pPr>
              <w:spacing w:after="0"/>
              <w:rPr>
                <w:sz w:val="24"/>
                <w:szCs w:val="24"/>
                <w:color w:val="auto"/>
              </w:rPr>
            </w:pPr>
          </w:p>
        </w:tc>
        <w:tc>
          <w:tcPr>
            <w:tcW w:w="3680" w:type="dxa"/>
            <w:vAlign w:val="bottom"/>
          </w:tcPr>
          <w:p>
            <w:pPr>
              <w:ind w:left="320"/>
              <w:spacing w:after="0"/>
              <w:rPr>
                <w:sz w:val="20"/>
                <w:szCs w:val="20"/>
                <w:color w:val="auto"/>
              </w:rPr>
            </w:pPr>
            <w:r>
              <w:rPr>
                <w:rFonts w:ascii="Arial" w:cs="Arial" w:eastAsia="Arial" w:hAnsi="Arial"/>
                <w:sz w:val="20"/>
                <w:szCs w:val="20"/>
                <w:b w:val="1"/>
                <w:bCs w:val="1"/>
                <w:i w:val="1"/>
                <w:iCs w:val="1"/>
                <w:color w:val="00C1DE"/>
              </w:rPr>
              <w:t xml:space="preserve">Members: </w:t>
            </w:r>
            <w:r>
              <w:rPr>
                <w:rFonts w:ascii="Arial" w:cs="Arial" w:eastAsia="Arial" w:hAnsi="Arial"/>
                <w:sz w:val="20"/>
                <w:szCs w:val="20"/>
                <w:color w:val="3E3935"/>
              </w:rPr>
              <w:t>Mary T. Barra (Chair),</w:t>
            </w:r>
          </w:p>
        </w:tc>
      </w:tr>
      <w:tr>
        <w:trPr>
          <w:trHeight w:val="214"/>
        </w:trPr>
        <w:tc>
          <w:tcPr>
            <w:tcW w:w="1640" w:type="dxa"/>
            <w:vAlign w:val="bottom"/>
          </w:tcPr>
          <w:p>
            <w:pPr>
              <w:spacing w:after="0"/>
              <w:rPr>
                <w:sz w:val="18"/>
                <w:szCs w:val="18"/>
                <w:color w:val="auto"/>
              </w:rPr>
            </w:pPr>
          </w:p>
        </w:tc>
        <w:tc>
          <w:tcPr>
            <w:tcW w:w="3680" w:type="dxa"/>
            <w:vAlign w:val="bottom"/>
          </w:tcPr>
          <w:p>
            <w:pPr>
              <w:ind w:left="320"/>
              <w:spacing w:after="0" w:line="214" w:lineRule="exact"/>
              <w:rPr>
                <w:sz w:val="20"/>
                <w:szCs w:val="20"/>
                <w:color w:val="auto"/>
              </w:rPr>
            </w:pPr>
            <w:r>
              <w:rPr>
                <w:rFonts w:ascii="Arial" w:cs="Arial" w:eastAsia="Arial" w:hAnsi="Arial"/>
                <w:sz w:val="20"/>
                <w:szCs w:val="20"/>
                <w:color w:val="3E3935"/>
                <w:w w:val="99"/>
              </w:rPr>
              <w:t>Theodore M. Solso, Linda R. Gooden,</w:t>
            </w:r>
          </w:p>
        </w:tc>
      </w:tr>
      <w:tr>
        <w:trPr>
          <w:trHeight w:val="214"/>
        </w:trPr>
        <w:tc>
          <w:tcPr>
            <w:tcW w:w="1640" w:type="dxa"/>
            <w:vAlign w:val="bottom"/>
          </w:tcPr>
          <w:p>
            <w:pPr>
              <w:spacing w:after="0"/>
              <w:rPr>
                <w:sz w:val="18"/>
                <w:szCs w:val="18"/>
                <w:color w:val="auto"/>
              </w:rPr>
            </w:pPr>
          </w:p>
        </w:tc>
        <w:tc>
          <w:tcPr>
            <w:tcW w:w="3680" w:type="dxa"/>
            <w:vAlign w:val="bottom"/>
          </w:tcPr>
          <w:p>
            <w:pPr>
              <w:ind w:left="320"/>
              <w:spacing w:after="0" w:line="214" w:lineRule="exact"/>
              <w:rPr>
                <w:sz w:val="20"/>
                <w:szCs w:val="20"/>
                <w:color w:val="auto"/>
              </w:rPr>
            </w:pPr>
            <w:r>
              <w:rPr>
                <w:rFonts w:ascii="Arial" w:cs="Arial" w:eastAsia="Arial" w:hAnsi="Arial"/>
                <w:sz w:val="20"/>
                <w:szCs w:val="20"/>
                <w:color w:val="3E3935"/>
              </w:rPr>
              <w:t>Joseph Jimenez, Patricia F. Russo,</w:t>
            </w:r>
          </w:p>
        </w:tc>
      </w:tr>
      <w:tr>
        <w:trPr>
          <w:trHeight w:val="214"/>
        </w:trPr>
        <w:tc>
          <w:tcPr>
            <w:tcW w:w="1640" w:type="dxa"/>
            <w:vAlign w:val="bottom"/>
          </w:tcPr>
          <w:p>
            <w:pPr>
              <w:spacing w:after="0"/>
              <w:rPr>
                <w:sz w:val="18"/>
                <w:szCs w:val="18"/>
                <w:color w:val="auto"/>
              </w:rPr>
            </w:pPr>
          </w:p>
        </w:tc>
        <w:tc>
          <w:tcPr>
            <w:tcW w:w="3680" w:type="dxa"/>
            <w:vAlign w:val="bottom"/>
          </w:tcPr>
          <w:p>
            <w:pPr>
              <w:ind w:left="320"/>
              <w:spacing w:after="0" w:line="214" w:lineRule="exact"/>
              <w:rPr>
                <w:sz w:val="20"/>
                <w:szCs w:val="20"/>
                <w:color w:val="auto"/>
              </w:rPr>
            </w:pPr>
            <w:r>
              <w:rPr>
                <w:rFonts w:ascii="Arial" w:cs="Arial" w:eastAsia="Arial" w:hAnsi="Arial"/>
                <w:sz w:val="20"/>
                <w:szCs w:val="20"/>
                <w:color w:val="3E3935"/>
              </w:rPr>
              <w:t>Thomas M. Schoewe, and Carol M.</w:t>
            </w:r>
          </w:p>
        </w:tc>
      </w:tr>
      <w:tr>
        <w:trPr>
          <w:trHeight w:val="235"/>
        </w:trPr>
        <w:tc>
          <w:tcPr>
            <w:tcW w:w="1640" w:type="dxa"/>
            <w:vAlign w:val="bottom"/>
          </w:tcPr>
          <w:p>
            <w:pPr>
              <w:spacing w:after="0"/>
              <w:rPr>
                <w:sz w:val="20"/>
                <w:szCs w:val="20"/>
                <w:color w:val="auto"/>
              </w:rPr>
            </w:pPr>
          </w:p>
        </w:tc>
        <w:tc>
          <w:tcPr>
            <w:tcW w:w="3680" w:type="dxa"/>
            <w:vAlign w:val="bottom"/>
          </w:tcPr>
          <w:p>
            <w:pPr>
              <w:ind w:left="320"/>
              <w:spacing w:after="0"/>
              <w:rPr>
                <w:sz w:val="20"/>
                <w:szCs w:val="20"/>
                <w:color w:val="auto"/>
              </w:rPr>
            </w:pPr>
            <w:r>
              <w:rPr>
                <w:rFonts w:ascii="Arial" w:cs="Arial" w:eastAsia="Arial" w:hAnsi="Arial"/>
                <w:sz w:val="20"/>
                <w:szCs w:val="20"/>
                <w:color w:val="3E3935"/>
              </w:rPr>
              <w:t>Stephenson</w:t>
            </w:r>
          </w:p>
        </w:tc>
      </w:tr>
      <w:tr>
        <w:trPr>
          <w:trHeight w:val="289"/>
        </w:trPr>
        <w:tc>
          <w:tcPr>
            <w:tcW w:w="1640" w:type="dxa"/>
            <w:vAlign w:val="bottom"/>
          </w:tcPr>
          <w:p>
            <w:pPr>
              <w:ind w:left="100"/>
              <w:spacing w:after="0"/>
              <w:rPr>
                <w:sz w:val="20"/>
                <w:szCs w:val="20"/>
                <w:color w:val="auto"/>
              </w:rPr>
            </w:pPr>
            <w:r>
              <w:rPr>
                <w:rFonts w:ascii="Arial" w:cs="Arial" w:eastAsia="Arial" w:hAnsi="Arial"/>
                <w:sz w:val="20"/>
                <w:szCs w:val="20"/>
                <w:b w:val="1"/>
                <w:bCs w:val="1"/>
                <w:color w:val="0071CE"/>
              </w:rPr>
              <w:t>Mary T. Barra</w:t>
            </w:r>
          </w:p>
        </w:tc>
        <w:tc>
          <w:tcPr>
            <w:tcW w:w="3680" w:type="dxa"/>
            <w:vAlign w:val="bottom"/>
          </w:tcPr>
          <w:p>
            <w:pPr>
              <w:spacing w:after="0"/>
              <w:rPr>
                <w:sz w:val="24"/>
                <w:szCs w:val="24"/>
                <w:color w:val="auto"/>
              </w:rPr>
            </w:pPr>
          </w:p>
        </w:tc>
      </w:tr>
      <w:tr>
        <w:trPr>
          <w:trHeight w:val="259"/>
        </w:trPr>
        <w:tc>
          <w:tcPr>
            <w:tcW w:w="1640" w:type="dxa"/>
            <w:vAlign w:val="bottom"/>
          </w:tcPr>
          <w:p>
            <w:pPr>
              <w:ind w:left="100"/>
              <w:spacing w:after="0"/>
              <w:rPr>
                <w:sz w:val="20"/>
                <w:szCs w:val="20"/>
                <w:color w:val="auto"/>
              </w:rPr>
            </w:pPr>
            <w:r>
              <w:rPr>
                <w:rFonts w:ascii="Arial" w:cs="Arial" w:eastAsia="Arial" w:hAnsi="Arial"/>
                <w:sz w:val="20"/>
                <w:szCs w:val="20"/>
                <w:b w:val="1"/>
                <w:bCs w:val="1"/>
                <w:color w:val="0071CE"/>
              </w:rPr>
              <w:t>Chair</w:t>
            </w:r>
          </w:p>
        </w:tc>
        <w:tc>
          <w:tcPr>
            <w:tcW w:w="3680" w:type="dxa"/>
            <w:vAlign w:val="bottom"/>
          </w:tcPr>
          <w:p>
            <w:pPr>
              <w:ind w:left="320"/>
              <w:spacing w:after="0"/>
              <w:rPr>
                <w:sz w:val="20"/>
                <w:szCs w:val="20"/>
                <w:color w:val="auto"/>
              </w:rPr>
            </w:pPr>
            <w:r>
              <w:rPr>
                <w:rFonts w:ascii="Arial" w:cs="Arial" w:eastAsia="Arial" w:hAnsi="Arial"/>
                <w:sz w:val="20"/>
                <w:szCs w:val="20"/>
                <w:b w:val="1"/>
                <w:bCs w:val="1"/>
                <w:i w:val="1"/>
                <w:iCs w:val="1"/>
                <w:color w:val="00C1DE"/>
              </w:rPr>
              <w:t>Meetings held in 2020: 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-1913255</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39370</wp:posOffset>
            </wp:positionV>
            <wp:extent cx="33801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80105"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-995680</wp:posOffset>
            </wp:positionV>
            <wp:extent cx="662305" cy="662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132" w:lineRule="exact"/>
        <w:rPr>
          <w:sz w:val="20"/>
          <w:szCs w:val="20"/>
          <w:color w:val="auto"/>
        </w:rPr>
      </w:pPr>
    </w:p>
    <w:p>
      <w:pPr>
        <w:jc w:val="both"/>
        <w:ind w:left="100"/>
        <w:spacing w:after="0" w:line="225" w:lineRule="auto"/>
        <w:rPr>
          <w:sz w:val="20"/>
          <w:szCs w:val="20"/>
          <w:color w:val="auto"/>
        </w:rPr>
      </w:pPr>
      <w:r>
        <w:rPr>
          <w:rFonts w:ascii="Arial" w:cs="Arial" w:eastAsia="Arial" w:hAnsi="Arial"/>
          <w:sz w:val="20"/>
          <w:szCs w:val="20"/>
          <w:color w:val="3E3935"/>
        </w:rPr>
        <w:t>The Board has an Executive Committee composed of the Chairman and CEO, the Independent Lead Director, and the Chairs of all other standing Committees. The Executive Committee is chaired by Ms. Barra, and it can act on certain limited matters for the full Board in intervals between meetings of the Board. The Executive Committee meets as necessary, and all actions by the Executive Committee are reported and ratified at the next succeeding Board meeting. Because the Board was able to address all items throughout the year, no Executive Committee meetings were needed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3235325</wp:posOffset>
            </wp:positionV>
            <wp:extent cx="5927725" cy="101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915" w:lineRule="exact"/>
        <w:rPr>
          <w:sz w:val="20"/>
          <w:szCs w:val="20"/>
          <w:color w:val="auto"/>
        </w:rPr>
      </w:pPr>
    </w:p>
    <w:p>
      <w:pPr>
        <w:sectPr>
          <w:pgSz w:w="11900" w:h="16838" w:orient="portrait"/>
          <w:cols w:equalWidth="0" w:num="2">
            <w:col w:w="5420" w:space="340"/>
            <w:col w:w="532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21</w:t>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Board and Committee Oversight of Risk</w:t>
      </w:r>
    </w:p>
    <w:p>
      <w:pPr>
        <w:spacing w:after="0" w:line="154" w:lineRule="exact"/>
        <w:rPr>
          <w:sz w:val="20"/>
          <w:szCs w:val="20"/>
          <w:color w:val="auto"/>
        </w:rPr>
      </w:pPr>
    </w:p>
    <w:p>
      <w:pPr>
        <w:ind w:left="700" w:hanging="533"/>
        <w:spacing w:after="0"/>
        <w:tabs>
          <w:tab w:leader="none" w:pos="700" w:val="left"/>
        </w:tabs>
        <w:numPr>
          <w:ilvl w:val="0"/>
          <w:numId w:val="24"/>
        </w:numPr>
        <w:rPr>
          <w:rFonts w:ascii="Arial" w:cs="Arial" w:eastAsia="Arial" w:hAnsi="Arial"/>
          <w:sz w:val="21"/>
          <w:szCs w:val="21"/>
          <w:color w:val="0071CE"/>
        </w:rPr>
      </w:pPr>
      <w:r>
        <w:rPr>
          <w:rFonts w:ascii="Arial" w:cs="Arial" w:eastAsia="Arial" w:hAnsi="Arial"/>
          <w:sz w:val="25"/>
          <w:szCs w:val="25"/>
          <w:color w:val="3E3935"/>
        </w:rPr>
        <w:t>Role of the Board of Directors</w:t>
      </w:r>
    </w:p>
    <w:p>
      <w:pPr>
        <w:spacing w:after="0" w:line="202"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3E3935"/>
        </w:rPr>
        <w:t>The Board of Directors has overall responsibility for risk oversight and focuses on the most significant risks facing the Company. The Board discharges its risk oversight responsibilities, in part, through delegation to its Committees. The Company’s risk governance is facilitated through a top-down and bottom-up communication structure, with the tone established at the top by Ms. Barra, our Chairman and CEO, who is also our Chief Risk Officer, and other members of management, specifically the Senior Leadership Team. The Senior Leadership Team also utilizes our Risk Advisory Council, an executive-level body with delegates from each business unit and function, to discuss and monitor the most significant enterprise risks in a cross-functional setting. They are tasked with championing risk management practices and integrating them into their functional or regional business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hanging="533"/>
        <w:spacing w:after="0"/>
        <w:tabs>
          <w:tab w:leader="none" w:pos="700" w:val="left"/>
        </w:tabs>
        <w:numPr>
          <w:ilvl w:val="0"/>
          <w:numId w:val="25"/>
        </w:numPr>
        <w:rPr>
          <w:rFonts w:ascii="Arial" w:cs="Arial" w:eastAsia="Arial" w:hAnsi="Arial"/>
          <w:sz w:val="21"/>
          <w:szCs w:val="21"/>
          <w:color w:val="0071CE"/>
        </w:rPr>
      </w:pPr>
      <w:r>
        <w:rPr>
          <w:rFonts w:ascii="Arial" w:cs="Arial" w:eastAsia="Arial" w:hAnsi="Arial"/>
          <w:sz w:val="25"/>
          <w:szCs w:val="25"/>
          <w:color w:val="3E3935"/>
        </w:rPr>
        <w:t>Role of the Board Committees</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Each of the Board’s Committees has a critical role to play in the overall execution of the Board’s risk oversight duties. The Board delegates oversight for certain risks to each Committee based on the risk categories relevant to the subject matter of the Committee. The Chair of the Risk and Cybersecurity Committee coordinates with the Chairs of the other Committees to support them in managing the relationship between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175895</wp:posOffset>
            </wp:positionV>
            <wp:extent cx="5927725" cy="101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62" w:lineRule="exact"/>
        <w:rPr>
          <w:sz w:val="20"/>
          <w:szCs w:val="20"/>
          <w:color w:val="auto"/>
        </w:rPr>
      </w:pPr>
    </w:p>
    <w:p>
      <w:pPr>
        <w:jc w:val="center"/>
        <w:ind w:right="4920"/>
        <w:spacing w:after="0"/>
        <w:rPr>
          <w:sz w:val="20"/>
          <w:szCs w:val="20"/>
          <w:color w:val="auto"/>
        </w:rPr>
      </w:pPr>
      <w:r>
        <w:rPr>
          <w:rFonts w:ascii="Arial" w:cs="Arial" w:eastAsia="Arial" w:hAnsi="Arial"/>
          <w:sz w:val="14"/>
          <w:szCs w:val="14"/>
          <w:color w:val="0071CE"/>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and practices and their respective oversight responsibilities. The Risk and Cybersecurity Committee also assists the Board by monitoring the overall effectiveness of the Company’s risk management framework and processes. Below is a summary of the key risk oversight responsibilities that the Board has delegated to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-5454015</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-4298950</wp:posOffset>
            </wp:positionV>
            <wp:extent cx="1927860" cy="2972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27860" cy="2972435"/>
                    </a:xfrm>
                    <a:prstGeom prst="rect">
                      <a:avLst/>
                    </a:prstGeom>
                    <a:noFill/>
                  </pic:spPr>
                </pic:pic>
              </a:graphicData>
            </a:graphic>
          </wp:anchor>
        </w:drawing>
      </w:r>
    </w:p>
    <w:p>
      <w:pPr>
        <w:sectPr>
          <w:pgSz w:w="11900" w:h="16838" w:orient="portrait"/>
          <w:cols w:equalWidth="0" w:num="2">
            <w:col w:w="5400" w:space="340"/>
            <w:col w:w="534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1820" w:type="dxa"/>
        <w:tblCellMar>
          <w:top w:w="0" w:type="dxa"/>
          <w:left w:w="0" w:type="dxa"/>
          <w:bottom w:w="0" w:type="dxa"/>
          <w:right w:w="0" w:type="dxa"/>
        </w:tblCellMar>
      </w:tblPr>
      <w:tr>
        <w:trPr>
          <w:trHeight w:val="339"/>
        </w:trPr>
        <w:tc>
          <w:tcPr>
            <w:tcW w:w="3620" w:type="dxa"/>
            <w:vAlign w:val="bottom"/>
            <w:shd w:val="clear" w:color="auto" w:fill="0071CE"/>
          </w:tcPr>
          <w:p>
            <w:pPr>
              <w:jc w:val="center"/>
              <w:spacing w:after="0"/>
              <w:rPr>
                <w:sz w:val="20"/>
                <w:szCs w:val="20"/>
                <w:color w:val="auto"/>
              </w:rPr>
            </w:pPr>
            <w:r>
              <w:rPr>
                <w:rFonts w:ascii="Arial" w:cs="Arial" w:eastAsia="Arial" w:hAnsi="Arial"/>
                <w:sz w:val="20"/>
                <w:szCs w:val="20"/>
                <w:b w:val="1"/>
                <w:bCs w:val="1"/>
                <w:color w:val="FFFFFF"/>
              </w:rPr>
              <w:t>R</w:t>
            </w:r>
            <w:r>
              <w:rPr>
                <w:rFonts w:ascii="Arial" w:cs="Arial" w:eastAsia="Arial" w:hAnsi="Arial"/>
                <w:sz w:val="16"/>
                <w:szCs w:val="16"/>
                <w:b w:val="1"/>
                <w:bCs w:val="1"/>
                <w:color w:val="FFFFFF"/>
              </w:rPr>
              <w:t>ISK AND</w:t>
            </w:r>
            <w:r>
              <w:rPr>
                <w:rFonts w:ascii="Arial" w:cs="Arial" w:eastAsia="Arial" w:hAnsi="Arial"/>
                <w:sz w:val="20"/>
                <w:szCs w:val="20"/>
                <w:b w:val="1"/>
                <w:bCs w:val="1"/>
                <w:color w:val="FFFFFF"/>
              </w:rPr>
              <w:t xml:space="preserve"> C</w:t>
            </w:r>
            <w:r>
              <w:rPr>
                <w:rFonts w:ascii="Arial" w:cs="Arial" w:eastAsia="Arial" w:hAnsi="Arial"/>
                <w:sz w:val="16"/>
                <w:szCs w:val="16"/>
                <w:b w:val="1"/>
                <w:bCs w:val="1"/>
                <w:color w:val="FFFFFF"/>
              </w:rPr>
              <w:t>YBERSECURITY</w:t>
            </w:r>
            <w:r>
              <w:rPr>
                <w:rFonts w:ascii="Arial" w:cs="Arial" w:eastAsia="Arial" w:hAnsi="Arial"/>
                <w:sz w:val="20"/>
                <w:szCs w:val="20"/>
                <w:b w:val="1"/>
                <w:bCs w:val="1"/>
                <w:color w:val="FFFFFF"/>
              </w:rPr>
              <w:t xml:space="preserve"> C</w:t>
            </w:r>
            <w:r>
              <w:rPr>
                <w:rFonts w:ascii="Arial" w:cs="Arial" w:eastAsia="Arial" w:hAnsi="Arial"/>
                <w:sz w:val="16"/>
                <w:szCs w:val="16"/>
                <w:b w:val="1"/>
                <w:bCs w:val="1"/>
                <w:color w:val="FFFFFF"/>
              </w:rPr>
              <w:t>OMMITTEE</w:t>
            </w:r>
          </w:p>
        </w:tc>
        <w:tc>
          <w:tcPr>
            <w:tcW w:w="300" w:type="dxa"/>
            <w:vAlign w:val="bottom"/>
          </w:tcPr>
          <w:p>
            <w:pPr>
              <w:spacing w:after="0"/>
              <w:rPr>
                <w:sz w:val="24"/>
                <w:szCs w:val="24"/>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20"/>
                <w:szCs w:val="20"/>
                <w:b w:val="1"/>
                <w:bCs w:val="1"/>
                <w:color w:val="FFFFFF"/>
              </w:rPr>
              <w:t>A</w:t>
            </w:r>
            <w:r>
              <w:rPr>
                <w:rFonts w:ascii="Arial" w:cs="Arial" w:eastAsia="Arial" w:hAnsi="Arial"/>
                <w:sz w:val="16"/>
                <w:szCs w:val="16"/>
                <w:b w:val="1"/>
                <w:bCs w:val="1"/>
                <w:color w:val="FFFFFF"/>
              </w:rPr>
              <w:t>UDIT</w:t>
            </w:r>
            <w:r>
              <w:rPr>
                <w:rFonts w:ascii="Arial" w:cs="Arial" w:eastAsia="Arial" w:hAnsi="Arial"/>
                <w:sz w:val="20"/>
                <w:szCs w:val="20"/>
                <w:b w:val="1"/>
                <w:bCs w:val="1"/>
                <w:color w:val="FFFFFF"/>
              </w:rPr>
              <w:t xml:space="preserve"> C</w:t>
            </w:r>
            <w:r>
              <w:rPr>
                <w:rFonts w:ascii="Arial" w:cs="Arial" w:eastAsia="Arial" w:hAnsi="Arial"/>
                <w:sz w:val="16"/>
                <w:szCs w:val="16"/>
                <w:b w:val="1"/>
                <w:bCs w:val="1"/>
                <w:color w:val="FFFFFF"/>
              </w:rPr>
              <w:t>OMMITTEE</w:t>
            </w:r>
          </w:p>
        </w:tc>
        <w:tc>
          <w:tcPr>
            <w:tcW w:w="0" w:type="dxa"/>
            <w:vAlign w:val="bottom"/>
          </w:tcPr>
          <w:p>
            <w:pPr>
              <w:spacing w:after="0"/>
              <w:rPr>
                <w:sz w:val="1"/>
                <w:szCs w:val="1"/>
                <w:color w:val="auto"/>
              </w:rPr>
            </w:pPr>
          </w:p>
        </w:tc>
      </w:tr>
      <w:tr>
        <w:trPr>
          <w:trHeight w:val="313"/>
        </w:trPr>
        <w:tc>
          <w:tcPr>
            <w:tcW w:w="362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7"/>
              </w:rPr>
              <w:t>Oversees risks related to the</w:t>
            </w:r>
          </w:p>
        </w:tc>
        <w:tc>
          <w:tcPr>
            <w:tcW w:w="300" w:type="dxa"/>
            <w:vAlign w:val="bottom"/>
          </w:tcPr>
          <w:p>
            <w:pPr>
              <w:spacing w:after="0"/>
              <w:rPr>
                <w:sz w:val="24"/>
                <w:szCs w:val="24"/>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7"/>
              </w:rPr>
              <w:t>Oversees risks related to financial</w:t>
            </w:r>
          </w:p>
        </w:tc>
        <w:tc>
          <w:tcPr>
            <w:tcW w:w="0" w:type="dxa"/>
            <w:vAlign w:val="bottom"/>
          </w:tcPr>
          <w:p>
            <w:pPr>
              <w:spacing w:after="0"/>
              <w:rPr>
                <w:sz w:val="1"/>
                <w:szCs w:val="1"/>
                <w:color w:val="auto"/>
              </w:rPr>
            </w:pPr>
          </w:p>
        </w:tc>
      </w:tr>
      <w:tr>
        <w:trPr>
          <w:trHeight w:val="214"/>
        </w:trPr>
        <w:tc>
          <w:tcPr>
            <w:tcW w:w="362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7"/>
              </w:rPr>
              <w:t>Company’s key strategic, enterprise,</w:t>
            </w:r>
          </w:p>
        </w:tc>
        <w:tc>
          <w:tcPr>
            <w:tcW w:w="300" w:type="dxa"/>
            <w:vAlign w:val="bottom"/>
          </w:tcPr>
          <w:p>
            <w:pPr>
              <w:spacing w:after="0"/>
              <w:rPr>
                <w:sz w:val="18"/>
                <w:szCs w:val="18"/>
                <w:color w:val="auto"/>
              </w:rPr>
            </w:pPr>
          </w:p>
        </w:tc>
        <w:tc>
          <w:tcPr>
            <w:tcW w:w="370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7"/>
              </w:rPr>
              <w:t>reporting, internal controls, and auditing</w:t>
            </w:r>
          </w:p>
        </w:tc>
        <w:tc>
          <w:tcPr>
            <w:tcW w:w="0" w:type="dxa"/>
            <w:vAlign w:val="bottom"/>
          </w:tcPr>
          <w:p>
            <w:pPr>
              <w:spacing w:after="0"/>
              <w:rPr>
                <w:sz w:val="1"/>
                <w:szCs w:val="1"/>
                <w:color w:val="auto"/>
              </w:rPr>
            </w:pPr>
          </w:p>
        </w:tc>
      </w:tr>
      <w:tr>
        <w:trPr>
          <w:trHeight w:val="214"/>
        </w:trPr>
        <w:tc>
          <w:tcPr>
            <w:tcW w:w="362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8"/>
              </w:rPr>
              <w:t>and cybersecurity risks, including</w:t>
            </w:r>
          </w:p>
        </w:tc>
        <w:tc>
          <w:tcPr>
            <w:tcW w:w="300" w:type="dxa"/>
            <w:vAlign w:val="bottom"/>
          </w:tcPr>
          <w:p>
            <w:pPr>
              <w:spacing w:after="0"/>
              <w:rPr>
                <w:sz w:val="18"/>
                <w:szCs w:val="18"/>
                <w:color w:val="auto"/>
              </w:rPr>
            </w:pPr>
          </w:p>
        </w:tc>
        <w:tc>
          <w:tcPr>
            <w:tcW w:w="370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8"/>
              </w:rPr>
              <w:t>matters</w:t>
            </w:r>
          </w:p>
        </w:tc>
        <w:tc>
          <w:tcPr>
            <w:tcW w:w="0" w:type="dxa"/>
            <w:vAlign w:val="bottom"/>
          </w:tcPr>
          <w:p>
            <w:pPr>
              <w:spacing w:after="0"/>
              <w:rPr>
                <w:sz w:val="1"/>
                <w:szCs w:val="1"/>
                <w:color w:val="auto"/>
              </w:rPr>
            </w:pPr>
          </w:p>
        </w:tc>
      </w:tr>
      <w:tr>
        <w:trPr>
          <w:trHeight w:val="214"/>
        </w:trPr>
        <w:tc>
          <w:tcPr>
            <w:tcW w:w="362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7"/>
              </w:rPr>
              <w:t>workplace and product safety and</w:t>
            </w:r>
          </w:p>
        </w:tc>
        <w:tc>
          <w:tcPr>
            <w:tcW w:w="300" w:type="dxa"/>
            <w:vAlign w:val="bottom"/>
          </w:tcPr>
          <w:p>
            <w:pPr>
              <w:spacing w:after="0"/>
              <w:rPr>
                <w:sz w:val="18"/>
                <w:szCs w:val="18"/>
                <w:color w:val="auto"/>
              </w:rPr>
            </w:pPr>
          </w:p>
        </w:tc>
        <w:tc>
          <w:tcPr>
            <w:tcW w:w="370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7"/>
              </w:rPr>
              <w:t>Oversees risks related to legal,</w:t>
            </w:r>
          </w:p>
        </w:tc>
        <w:tc>
          <w:tcPr>
            <w:tcW w:w="0" w:type="dxa"/>
            <w:vAlign w:val="bottom"/>
          </w:tcPr>
          <w:p>
            <w:pPr>
              <w:spacing w:after="0"/>
              <w:rPr>
                <w:sz w:val="1"/>
                <w:szCs w:val="1"/>
                <w:color w:val="auto"/>
              </w:rPr>
            </w:pPr>
          </w:p>
        </w:tc>
      </w:tr>
      <w:tr>
        <w:trPr>
          <w:trHeight w:val="80"/>
        </w:trPr>
        <w:tc>
          <w:tcPr>
            <w:tcW w:w="362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7"/>
              </w:rPr>
              <w:t>privacy</w:t>
            </w:r>
          </w:p>
        </w:tc>
        <w:tc>
          <w:tcPr>
            <w:tcW w:w="300" w:type="dxa"/>
            <w:vAlign w:val="bottom"/>
          </w:tcPr>
          <w:p>
            <w:pPr>
              <w:spacing w:after="0"/>
              <w:rPr>
                <w:sz w:val="6"/>
                <w:szCs w:val="6"/>
                <w:color w:val="auto"/>
              </w:rPr>
            </w:pPr>
          </w:p>
        </w:tc>
        <w:tc>
          <w:tcPr>
            <w:tcW w:w="3700" w:type="dxa"/>
            <w:vAlign w:val="bottom"/>
            <w:vMerge w:val="continue"/>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620" w:type="dxa"/>
            <w:vAlign w:val="bottom"/>
            <w:vMerge w:val="continue"/>
            <w:shd w:val="clear" w:color="auto" w:fill="0071CE"/>
          </w:tcPr>
          <w:p>
            <w:pPr>
              <w:spacing w:after="0"/>
              <w:rPr>
                <w:sz w:val="13"/>
                <w:szCs w:val="13"/>
                <w:color w:val="auto"/>
              </w:rPr>
            </w:pPr>
          </w:p>
        </w:tc>
        <w:tc>
          <w:tcPr>
            <w:tcW w:w="300" w:type="dxa"/>
            <w:vAlign w:val="bottom"/>
          </w:tcPr>
          <w:p>
            <w:pPr>
              <w:spacing w:after="0"/>
              <w:rPr>
                <w:sz w:val="13"/>
                <w:szCs w:val="13"/>
                <w:color w:val="auto"/>
              </w:rPr>
            </w:pPr>
          </w:p>
        </w:tc>
        <w:tc>
          <w:tcPr>
            <w:tcW w:w="370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7"/>
              </w:rPr>
              <w:t>regulatory, and compliance programs</w:t>
            </w:r>
          </w:p>
        </w:tc>
        <w:tc>
          <w:tcPr>
            <w:tcW w:w="0" w:type="dxa"/>
            <w:vAlign w:val="bottom"/>
          </w:tcPr>
          <w:p>
            <w:pPr>
              <w:spacing w:after="0"/>
              <w:rPr>
                <w:sz w:val="1"/>
                <w:szCs w:val="1"/>
                <w:color w:val="auto"/>
              </w:rPr>
            </w:pPr>
          </w:p>
        </w:tc>
      </w:tr>
      <w:tr>
        <w:trPr>
          <w:trHeight w:val="80"/>
        </w:trPr>
        <w:tc>
          <w:tcPr>
            <w:tcW w:w="3620" w:type="dxa"/>
            <w:vAlign w:val="bottom"/>
            <w:shd w:val="clear" w:color="auto" w:fill="0071CE"/>
          </w:tcPr>
          <w:p>
            <w:pPr>
              <w:spacing w:after="0"/>
              <w:rPr>
                <w:sz w:val="6"/>
                <w:szCs w:val="6"/>
                <w:color w:val="auto"/>
              </w:rPr>
            </w:pPr>
          </w:p>
        </w:tc>
        <w:tc>
          <w:tcPr>
            <w:tcW w:w="300" w:type="dxa"/>
            <w:vAlign w:val="bottom"/>
          </w:tcPr>
          <w:p>
            <w:pPr>
              <w:spacing w:after="0"/>
              <w:rPr>
                <w:sz w:val="6"/>
                <w:szCs w:val="6"/>
                <w:color w:val="auto"/>
              </w:rPr>
            </w:pPr>
          </w:p>
        </w:tc>
        <w:tc>
          <w:tcPr>
            <w:tcW w:w="3700" w:type="dxa"/>
            <w:vAlign w:val="bottom"/>
            <w:vMerge w:val="continue"/>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3620" w:type="dxa"/>
            <w:vAlign w:val="bottom"/>
            <w:shd w:val="clear" w:color="auto" w:fill="0071CE"/>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shd w:val="clear" w:color="auto" w:fill="0071C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620" w:type="dxa"/>
            <w:vAlign w:val="bottom"/>
            <w:vMerge w:val="restart"/>
            <w:shd w:val="clear" w:color="auto" w:fill="0071CE"/>
          </w:tcPr>
          <w:p>
            <w:pPr>
              <w:jc w:val="center"/>
              <w:spacing w:after="0"/>
              <w:rPr>
                <w:sz w:val="20"/>
                <w:szCs w:val="20"/>
                <w:color w:val="auto"/>
              </w:rPr>
            </w:pPr>
            <w:r>
              <w:rPr>
                <w:rFonts w:ascii="Arial" w:cs="Arial" w:eastAsia="Arial" w:hAnsi="Arial"/>
                <w:sz w:val="20"/>
                <w:szCs w:val="20"/>
                <w:b w:val="1"/>
                <w:bCs w:val="1"/>
                <w:color w:val="FFFFFF"/>
              </w:rPr>
              <w:t>F</w:t>
            </w:r>
            <w:r>
              <w:rPr>
                <w:rFonts w:ascii="Arial" w:cs="Arial" w:eastAsia="Arial" w:hAnsi="Arial"/>
                <w:sz w:val="16"/>
                <w:szCs w:val="16"/>
                <w:b w:val="1"/>
                <w:bCs w:val="1"/>
                <w:color w:val="FFFFFF"/>
              </w:rPr>
              <w:t>INANCE</w:t>
            </w:r>
            <w:r>
              <w:rPr>
                <w:rFonts w:ascii="Arial" w:cs="Arial" w:eastAsia="Arial" w:hAnsi="Arial"/>
                <w:sz w:val="20"/>
                <w:szCs w:val="20"/>
                <w:b w:val="1"/>
                <w:bCs w:val="1"/>
                <w:color w:val="FFFFFF"/>
              </w:rPr>
              <w:t xml:space="preserve"> C</w:t>
            </w:r>
            <w:r>
              <w:rPr>
                <w:rFonts w:ascii="Arial" w:cs="Arial" w:eastAsia="Arial" w:hAnsi="Arial"/>
                <w:sz w:val="16"/>
                <w:szCs w:val="16"/>
                <w:b w:val="1"/>
                <w:bCs w:val="1"/>
                <w:color w:val="FFFFFF"/>
              </w:rPr>
              <w:t>OMMITTEE</w:t>
            </w:r>
          </w:p>
        </w:tc>
        <w:tc>
          <w:tcPr>
            <w:tcW w:w="300" w:type="dxa"/>
            <w:vAlign w:val="bottom"/>
          </w:tcPr>
          <w:p>
            <w:pPr>
              <w:spacing w:after="0"/>
              <w:rPr>
                <w:sz w:val="24"/>
                <w:szCs w:val="24"/>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18"/>
                <w:szCs w:val="18"/>
                <w:b w:val="1"/>
                <w:bCs w:val="1"/>
                <w:color w:val="FFFFFF"/>
              </w:rPr>
              <w:t>G</w:t>
            </w:r>
            <w:r>
              <w:rPr>
                <w:rFonts w:ascii="Arial" w:cs="Arial" w:eastAsia="Arial" w:hAnsi="Arial"/>
                <w:sz w:val="14"/>
                <w:szCs w:val="14"/>
                <w:b w:val="1"/>
                <w:bCs w:val="1"/>
                <w:color w:val="FFFFFF"/>
              </w:rPr>
              <w:t>OVERNANCE AND</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ORPORATE</w:t>
            </w:r>
          </w:p>
        </w:tc>
        <w:tc>
          <w:tcPr>
            <w:tcW w:w="0" w:type="dxa"/>
            <w:vAlign w:val="bottom"/>
          </w:tcPr>
          <w:p>
            <w:pPr>
              <w:spacing w:after="0"/>
              <w:rPr>
                <w:sz w:val="1"/>
                <w:szCs w:val="1"/>
                <w:color w:val="auto"/>
              </w:rPr>
            </w:pPr>
          </w:p>
        </w:tc>
      </w:tr>
      <w:tr>
        <w:trPr>
          <w:trHeight w:val="161"/>
        </w:trPr>
        <w:tc>
          <w:tcPr>
            <w:tcW w:w="3620" w:type="dxa"/>
            <w:vAlign w:val="bottom"/>
            <w:vMerge w:val="continue"/>
            <w:shd w:val="clear" w:color="auto" w:fill="0071CE"/>
          </w:tcPr>
          <w:p>
            <w:pPr>
              <w:spacing w:after="0"/>
              <w:rPr>
                <w:sz w:val="14"/>
                <w:szCs w:val="14"/>
                <w:color w:val="auto"/>
              </w:rPr>
            </w:pPr>
          </w:p>
        </w:tc>
        <w:tc>
          <w:tcPr>
            <w:tcW w:w="300" w:type="dxa"/>
            <w:vAlign w:val="bottom"/>
          </w:tcPr>
          <w:p>
            <w:pPr>
              <w:spacing w:after="0"/>
              <w:rPr>
                <w:sz w:val="14"/>
                <w:szCs w:val="14"/>
                <w:color w:val="auto"/>
              </w:rPr>
            </w:pPr>
          </w:p>
        </w:tc>
        <w:tc>
          <w:tcPr>
            <w:tcW w:w="3700" w:type="dxa"/>
            <w:vAlign w:val="bottom"/>
            <w:vMerge w:val="restart"/>
            <w:shd w:val="clear" w:color="auto" w:fill="0071CE"/>
          </w:tcPr>
          <w:p>
            <w:pPr>
              <w:ind w:left="820"/>
              <w:spacing w:after="0"/>
              <w:rPr>
                <w:sz w:val="20"/>
                <w:szCs w:val="20"/>
                <w:color w:val="auto"/>
              </w:rPr>
            </w:pPr>
            <w:r>
              <w:rPr>
                <w:rFonts w:ascii="Arial" w:cs="Arial" w:eastAsia="Arial" w:hAnsi="Arial"/>
                <w:sz w:val="18"/>
                <w:szCs w:val="18"/>
                <w:b w:val="1"/>
                <w:bCs w:val="1"/>
                <w:color w:val="FFFFFF"/>
              </w:rPr>
              <w:t>R</w:t>
            </w:r>
            <w:r>
              <w:rPr>
                <w:rFonts w:ascii="Arial" w:cs="Arial" w:eastAsia="Arial" w:hAnsi="Arial"/>
                <w:sz w:val="14"/>
                <w:szCs w:val="14"/>
                <w:b w:val="1"/>
                <w:bCs w:val="1"/>
                <w:color w:val="FFFFFF"/>
              </w:rPr>
              <w:t>ESPONSIBILITY</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tc>
        <w:tc>
          <w:tcPr>
            <w:tcW w:w="0" w:type="dxa"/>
            <w:vAlign w:val="bottom"/>
          </w:tcPr>
          <w:p>
            <w:pPr>
              <w:spacing w:after="0"/>
              <w:rPr>
                <w:sz w:val="1"/>
                <w:szCs w:val="1"/>
                <w:color w:val="auto"/>
              </w:rPr>
            </w:pPr>
          </w:p>
        </w:tc>
      </w:tr>
      <w:tr>
        <w:trPr>
          <w:trHeight w:val="74"/>
        </w:trPr>
        <w:tc>
          <w:tcPr>
            <w:tcW w:w="3620" w:type="dxa"/>
            <w:vAlign w:val="bottom"/>
            <w:shd w:val="clear" w:color="auto" w:fill="0071CE"/>
          </w:tcPr>
          <w:p>
            <w:pPr>
              <w:spacing w:after="0"/>
              <w:rPr>
                <w:sz w:val="6"/>
                <w:szCs w:val="6"/>
                <w:color w:val="auto"/>
              </w:rPr>
            </w:pPr>
          </w:p>
        </w:tc>
        <w:tc>
          <w:tcPr>
            <w:tcW w:w="300" w:type="dxa"/>
            <w:vAlign w:val="bottom"/>
          </w:tcPr>
          <w:p>
            <w:pPr>
              <w:spacing w:after="0"/>
              <w:rPr>
                <w:sz w:val="6"/>
                <w:szCs w:val="6"/>
                <w:color w:val="auto"/>
              </w:rPr>
            </w:pPr>
          </w:p>
        </w:tc>
        <w:tc>
          <w:tcPr>
            <w:tcW w:w="3700" w:type="dxa"/>
            <w:vAlign w:val="bottom"/>
            <w:vMerge w:val="continue"/>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62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8"/>
              </w:rPr>
              <w:t>Oversees significant financial</w:t>
            </w:r>
          </w:p>
        </w:tc>
        <w:tc>
          <w:tcPr>
            <w:tcW w:w="300" w:type="dxa"/>
            <w:vAlign w:val="bottom"/>
          </w:tcPr>
          <w:p>
            <w:pPr>
              <w:spacing w:after="0"/>
              <w:rPr>
                <w:sz w:val="20"/>
                <w:szCs w:val="20"/>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7"/>
              </w:rPr>
              <w:t>Oversees risks related to public policy</w:t>
            </w:r>
          </w:p>
        </w:tc>
        <w:tc>
          <w:tcPr>
            <w:tcW w:w="0" w:type="dxa"/>
            <w:vAlign w:val="bottom"/>
          </w:tcPr>
          <w:p>
            <w:pPr>
              <w:spacing w:after="0"/>
              <w:rPr>
                <w:sz w:val="1"/>
                <w:szCs w:val="1"/>
                <w:color w:val="auto"/>
              </w:rPr>
            </w:pPr>
          </w:p>
        </w:tc>
      </w:tr>
      <w:tr>
        <w:trPr>
          <w:trHeight w:val="214"/>
        </w:trPr>
        <w:tc>
          <w:tcPr>
            <w:tcW w:w="362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8"/>
              </w:rPr>
              <w:t>exposures and contingent liabilities of</w:t>
            </w:r>
          </w:p>
        </w:tc>
        <w:tc>
          <w:tcPr>
            <w:tcW w:w="300" w:type="dxa"/>
            <w:vAlign w:val="bottom"/>
          </w:tcPr>
          <w:p>
            <w:pPr>
              <w:spacing w:after="0"/>
              <w:rPr>
                <w:sz w:val="18"/>
                <w:szCs w:val="18"/>
                <w:color w:val="auto"/>
              </w:rPr>
            </w:pPr>
          </w:p>
        </w:tc>
        <w:tc>
          <w:tcPr>
            <w:tcW w:w="370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7"/>
              </w:rPr>
              <w:t>and political activities</w:t>
            </w:r>
          </w:p>
        </w:tc>
        <w:tc>
          <w:tcPr>
            <w:tcW w:w="0" w:type="dxa"/>
            <w:vAlign w:val="bottom"/>
          </w:tcPr>
          <w:p>
            <w:pPr>
              <w:spacing w:after="0"/>
              <w:rPr>
                <w:sz w:val="1"/>
                <w:szCs w:val="1"/>
                <w:color w:val="auto"/>
              </w:rPr>
            </w:pPr>
          </w:p>
        </w:tc>
      </w:tr>
      <w:tr>
        <w:trPr>
          <w:trHeight w:val="235"/>
        </w:trPr>
        <w:tc>
          <w:tcPr>
            <w:tcW w:w="362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7"/>
              </w:rPr>
              <w:t>the Company</w:t>
            </w:r>
          </w:p>
        </w:tc>
        <w:tc>
          <w:tcPr>
            <w:tcW w:w="300" w:type="dxa"/>
            <w:vAlign w:val="bottom"/>
          </w:tcPr>
          <w:p>
            <w:pPr>
              <w:spacing w:after="0"/>
              <w:rPr>
                <w:sz w:val="20"/>
                <w:szCs w:val="20"/>
                <w:color w:val="auto"/>
              </w:rPr>
            </w:pPr>
          </w:p>
        </w:tc>
        <w:tc>
          <w:tcPr>
            <w:tcW w:w="370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8"/>
              </w:rPr>
              <w:t>Oversees risks related to director</w:t>
            </w:r>
          </w:p>
        </w:tc>
        <w:tc>
          <w:tcPr>
            <w:tcW w:w="0" w:type="dxa"/>
            <w:vAlign w:val="bottom"/>
          </w:tcPr>
          <w:p>
            <w:pPr>
              <w:spacing w:after="0"/>
              <w:rPr>
                <w:sz w:val="1"/>
                <w:szCs w:val="1"/>
                <w:color w:val="auto"/>
              </w:rPr>
            </w:pPr>
          </w:p>
        </w:tc>
      </w:tr>
      <w:tr>
        <w:trPr>
          <w:trHeight w:val="99"/>
        </w:trPr>
        <w:tc>
          <w:tcPr>
            <w:tcW w:w="362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8"/>
              </w:rPr>
              <w:t>Oversees regulatory compliance of</w:t>
            </w:r>
          </w:p>
        </w:tc>
        <w:tc>
          <w:tcPr>
            <w:tcW w:w="300" w:type="dxa"/>
            <w:vAlign w:val="bottom"/>
          </w:tcPr>
          <w:p>
            <w:pPr>
              <w:spacing w:after="0"/>
              <w:rPr>
                <w:sz w:val="8"/>
                <w:szCs w:val="8"/>
                <w:color w:val="auto"/>
              </w:rPr>
            </w:pPr>
          </w:p>
        </w:tc>
        <w:tc>
          <w:tcPr>
            <w:tcW w:w="3700" w:type="dxa"/>
            <w:vAlign w:val="bottom"/>
            <w:vMerge w:val="continue"/>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620" w:type="dxa"/>
            <w:vAlign w:val="bottom"/>
            <w:vMerge w:val="continue"/>
            <w:shd w:val="clear" w:color="auto" w:fill="0071CE"/>
          </w:tcPr>
          <w:p>
            <w:pPr>
              <w:spacing w:after="0"/>
              <w:rPr>
                <w:sz w:val="15"/>
                <w:szCs w:val="15"/>
                <w:color w:val="auto"/>
              </w:rPr>
            </w:pPr>
          </w:p>
        </w:tc>
        <w:tc>
          <w:tcPr>
            <w:tcW w:w="300" w:type="dxa"/>
            <w:vAlign w:val="bottom"/>
          </w:tcPr>
          <w:p>
            <w:pPr>
              <w:spacing w:after="0"/>
              <w:rPr>
                <w:sz w:val="15"/>
                <w:szCs w:val="15"/>
                <w:color w:val="auto"/>
              </w:rPr>
            </w:pPr>
          </w:p>
        </w:tc>
        <w:tc>
          <w:tcPr>
            <w:tcW w:w="3700" w:type="dxa"/>
            <w:vAlign w:val="bottom"/>
            <w:shd w:val="clear" w:color="auto" w:fill="0071CE"/>
          </w:tcPr>
          <w:p>
            <w:pPr>
              <w:jc w:val="center"/>
              <w:spacing w:after="0" w:line="178" w:lineRule="exact"/>
              <w:rPr>
                <w:sz w:val="20"/>
                <w:szCs w:val="20"/>
                <w:color w:val="auto"/>
              </w:rPr>
            </w:pPr>
            <w:r>
              <w:rPr>
                <w:rFonts w:ascii="Arial" w:cs="Arial" w:eastAsia="Arial" w:hAnsi="Arial"/>
                <w:sz w:val="20"/>
                <w:szCs w:val="20"/>
                <w:color w:val="FFFFFF"/>
                <w:w w:val="98"/>
              </w:rPr>
              <w:t>independence and related party</w:t>
            </w:r>
          </w:p>
        </w:tc>
        <w:tc>
          <w:tcPr>
            <w:tcW w:w="0" w:type="dxa"/>
            <w:vAlign w:val="bottom"/>
          </w:tcPr>
          <w:p>
            <w:pPr>
              <w:spacing w:after="0"/>
              <w:rPr>
                <w:sz w:val="1"/>
                <w:szCs w:val="1"/>
                <w:color w:val="auto"/>
              </w:rPr>
            </w:pPr>
          </w:p>
        </w:tc>
      </w:tr>
      <w:tr>
        <w:trPr>
          <w:trHeight w:val="272"/>
        </w:trPr>
        <w:tc>
          <w:tcPr>
            <w:tcW w:w="362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7"/>
              </w:rPr>
              <w:t>employee-defined benefits plans</w:t>
            </w:r>
          </w:p>
        </w:tc>
        <w:tc>
          <w:tcPr>
            <w:tcW w:w="300" w:type="dxa"/>
            <w:vAlign w:val="bottom"/>
          </w:tcPr>
          <w:p>
            <w:pPr>
              <w:spacing w:after="0"/>
              <w:rPr>
                <w:sz w:val="23"/>
                <w:szCs w:val="23"/>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8"/>
              </w:rPr>
              <w:t>transactions</w:t>
            </w:r>
          </w:p>
        </w:tc>
        <w:tc>
          <w:tcPr>
            <w:tcW w:w="0" w:type="dxa"/>
            <w:vAlign w:val="bottom"/>
          </w:tcPr>
          <w:p>
            <w:pPr>
              <w:spacing w:after="0"/>
              <w:rPr>
                <w:sz w:val="1"/>
                <w:szCs w:val="1"/>
                <w:color w:val="auto"/>
              </w:rPr>
            </w:pPr>
          </w:p>
        </w:tc>
      </w:tr>
      <w:tr>
        <w:trPr>
          <w:trHeight w:val="313"/>
        </w:trPr>
        <w:tc>
          <w:tcPr>
            <w:tcW w:w="3620" w:type="dxa"/>
            <w:vAlign w:val="bottom"/>
            <w:shd w:val="clear" w:color="auto" w:fill="0071CE"/>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8"/>
              </w:rPr>
              <w:t>Oversees risks related to the</w:t>
            </w:r>
          </w:p>
        </w:tc>
        <w:tc>
          <w:tcPr>
            <w:tcW w:w="0" w:type="dxa"/>
            <w:vAlign w:val="bottom"/>
          </w:tcPr>
          <w:p>
            <w:pPr>
              <w:spacing w:after="0"/>
              <w:rPr>
                <w:sz w:val="1"/>
                <w:szCs w:val="1"/>
                <w:color w:val="auto"/>
              </w:rPr>
            </w:pPr>
          </w:p>
        </w:tc>
      </w:tr>
      <w:tr>
        <w:trPr>
          <w:trHeight w:val="214"/>
        </w:trPr>
        <w:tc>
          <w:tcPr>
            <w:tcW w:w="3620" w:type="dxa"/>
            <w:vAlign w:val="bottom"/>
            <w:shd w:val="clear" w:color="auto" w:fill="0071CE"/>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shd w:val="clear" w:color="auto" w:fill="0071CE"/>
          </w:tcPr>
          <w:p>
            <w:pPr>
              <w:jc w:val="center"/>
              <w:spacing w:after="0" w:line="214" w:lineRule="exact"/>
              <w:rPr>
                <w:sz w:val="20"/>
                <w:szCs w:val="20"/>
                <w:color w:val="auto"/>
              </w:rPr>
            </w:pPr>
            <w:r>
              <w:rPr>
                <w:rFonts w:ascii="Arial" w:cs="Arial" w:eastAsia="Arial" w:hAnsi="Arial"/>
                <w:sz w:val="20"/>
                <w:szCs w:val="20"/>
                <w:color w:val="FFFFFF"/>
                <w:w w:val="98"/>
              </w:rPr>
              <w:t>sustainability of our operations and</w:t>
            </w:r>
          </w:p>
        </w:tc>
        <w:tc>
          <w:tcPr>
            <w:tcW w:w="0" w:type="dxa"/>
            <w:vAlign w:val="bottom"/>
          </w:tcPr>
          <w:p>
            <w:pPr>
              <w:spacing w:after="0"/>
              <w:rPr>
                <w:sz w:val="1"/>
                <w:szCs w:val="1"/>
                <w:color w:val="auto"/>
              </w:rPr>
            </w:pPr>
          </w:p>
        </w:tc>
      </w:tr>
      <w:tr>
        <w:trPr>
          <w:trHeight w:val="235"/>
        </w:trPr>
        <w:tc>
          <w:tcPr>
            <w:tcW w:w="3620" w:type="dxa"/>
            <w:vAlign w:val="bottom"/>
            <w:shd w:val="clear" w:color="auto" w:fill="0071CE"/>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9"/>
              </w:rPr>
              <w:t>products</w:t>
            </w:r>
          </w:p>
        </w:tc>
        <w:tc>
          <w:tcPr>
            <w:tcW w:w="0" w:type="dxa"/>
            <w:vAlign w:val="bottom"/>
          </w:tcPr>
          <w:p>
            <w:pPr>
              <w:spacing w:after="0"/>
              <w:rPr>
                <w:sz w:val="1"/>
                <w:szCs w:val="1"/>
                <w:color w:val="auto"/>
              </w:rPr>
            </w:pPr>
          </w:p>
        </w:tc>
      </w:tr>
      <w:tr>
        <w:trPr>
          <w:trHeight w:val="129"/>
        </w:trPr>
        <w:tc>
          <w:tcPr>
            <w:tcW w:w="3620" w:type="dxa"/>
            <w:vAlign w:val="bottom"/>
            <w:shd w:val="clear" w:color="auto" w:fill="0071CE"/>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shd w:val="clear" w:color="auto" w:fill="0071C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153035</wp:posOffset>
            </wp:positionV>
            <wp:extent cx="2768600" cy="10871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68600" cy="1087120"/>
                    </a:xfrm>
                    <a:prstGeom prst="rect">
                      <a:avLst/>
                    </a:prstGeom>
                    <a:noFill/>
                  </pic:spPr>
                </pic:pic>
              </a:graphicData>
            </a:graphic>
          </wp:anchor>
        </w:drawing>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FFFF"/>
        </w:rPr>
        <w:t>E</w:t>
      </w:r>
      <w:r>
        <w:rPr>
          <w:rFonts w:ascii="Arial" w:cs="Arial" w:eastAsia="Arial" w:hAnsi="Arial"/>
          <w:sz w:val="14"/>
          <w:szCs w:val="14"/>
          <w:b w:val="1"/>
          <w:bCs w:val="1"/>
          <w:color w:val="FFFFFF"/>
        </w:rPr>
        <w:t>XECUTIVE</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OMPENSATION</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FFFFFF"/>
        </w:rPr>
        <w:t>Oversees risks related to executive and</w:t>
      </w:r>
    </w:p>
    <w:p>
      <w:pPr>
        <w:jc w:val="center"/>
        <w:ind w:right="-159"/>
        <w:spacing w:after="0" w:line="223" w:lineRule="auto"/>
        <w:rPr>
          <w:sz w:val="20"/>
          <w:szCs w:val="20"/>
          <w:color w:val="auto"/>
        </w:rPr>
      </w:pPr>
      <w:r>
        <w:rPr>
          <w:rFonts w:ascii="Arial" w:cs="Arial" w:eastAsia="Arial" w:hAnsi="Arial"/>
          <w:sz w:val="20"/>
          <w:szCs w:val="20"/>
          <w:color w:val="FFFFFF"/>
        </w:rPr>
        <w:t>employee compensation plans, including by</w:t>
      </w:r>
    </w:p>
    <w:p>
      <w:pPr>
        <w:jc w:val="center"/>
        <w:ind w:right="-159"/>
        <w:spacing w:after="0" w:line="223" w:lineRule="auto"/>
        <w:rPr>
          <w:sz w:val="20"/>
          <w:szCs w:val="20"/>
          <w:color w:val="auto"/>
        </w:rPr>
      </w:pPr>
      <w:r>
        <w:rPr>
          <w:rFonts w:ascii="Arial" w:cs="Arial" w:eastAsia="Arial" w:hAnsi="Arial"/>
          <w:sz w:val="20"/>
          <w:szCs w:val="20"/>
          <w:color w:val="FFFFFF"/>
        </w:rPr>
        <w:t>designing compensation plans that promote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FFFFFF"/>
        </w:rPr>
        <w:t>prudent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0" w:hanging="533"/>
        <w:spacing w:after="0"/>
        <w:tabs>
          <w:tab w:leader="none" w:pos="700" w:val="left"/>
        </w:tabs>
        <w:numPr>
          <w:ilvl w:val="0"/>
          <w:numId w:val="26"/>
        </w:numPr>
        <w:rPr>
          <w:rFonts w:ascii="Arial" w:cs="Arial" w:eastAsia="Arial" w:hAnsi="Arial"/>
          <w:sz w:val="21"/>
          <w:szCs w:val="21"/>
          <w:color w:val="0071CE"/>
        </w:rPr>
      </w:pPr>
      <w:r>
        <w:rPr>
          <w:rFonts w:ascii="Arial" w:cs="Arial" w:eastAsia="Arial" w:hAnsi="Arial"/>
          <w:sz w:val="25"/>
          <w:szCs w:val="25"/>
          <w:color w:val="3E3935"/>
        </w:rPr>
        <w:t>Enterprise Risk Oversight</w:t>
      </w:r>
    </w:p>
    <w:p>
      <w:pPr>
        <w:sectPr>
          <w:pgSz w:w="11900" w:h="16838" w:orient="portrait"/>
          <w:cols w:equalWidth="0" w:num="1">
            <w:col w:w="11080"/>
          </w:cols>
          <w:pgMar w:left="320" w:top="456" w:right="499" w:bottom="1440" w:gutter="0" w:footer="0" w:header="0"/>
        </w:sectPr>
      </w:pP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In addition to supporting the risk governance structure outlined above, GM’s Strategic Risk Management team conducts an annual risk assessment designed to prioritize GM’s most significant enterprise risks. The Risk and Cybersecurity Committee reviews this assessment, approves the Enterprise Risk Profile, and receives more detailed management updates on these risks during the year. The Committee also receives updates on the overall risk landscape, including the Enterprise Risk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Dashboard, which highlights risk trends, and an Emerging Risk Radar, which provides a perspective on risks on the horizon. Finally, summaries of management risk reviews, conducted across our business units and regions, are provided to share risk management practices and give a sense for risk topics being covered. Below are certain key enterprise risks that the Board and management have identified for 2021.</w:t>
      </w:r>
    </w:p>
    <w:p>
      <w:pPr>
        <w:spacing w:after="0" w:line="40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331"/>
        </w:trPr>
        <w:tc>
          <w:tcPr>
            <w:tcW w:w="1900" w:type="dxa"/>
            <w:vAlign w:val="bottom"/>
            <w:shd w:val="clear" w:color="auto" w:fill="0071CE"/>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shd w:val="clear" w:color="auto" w:fill="0071CE"/>
          </w:tcPr>
          <w:p>
            <w:pPr>
              <w:jc w:val="center"/>
              <w:ind w:left="2"/>
              <w:spacing w:after="0"/>
              <w:rPr>
                <w:sz w:val="20"/>
                <w:szCs w:val="20"/>
                <w:color w:val="auto"/>
              </w:rPr>
            </w:pPr>
            <w:r>
              <w:rPr>
                <w:rFonts w:ascii="Arial" w:cs="Arial" w:eastAsia="Arial" w:hAnsi="Arial"/>
                <w:sz w:val="20"/>
                <w:szCs w:val="20"/>
                <w:color w:val="FFFFFF"/>
                <w:w w:val="97"/>
              </w:rPr>
              <w:t>Electric</w:t>
            </w:r>
          </w:p>
        </w:tc>
        <w:tc>
          <w:tcPr>
            <w:tcW w:w="280" w:type="dxa"/>
            <w:vAlign w:val="bottom"/>
          </w:tcPr>
          <w:p>
            <w:pPr>
              <w:spacing w:after="0"/>
              <w:rPr>
                <w:sz w:val="24"/>
                <w:szCs w:val="24"/>
                <w:color w:val="auto"/>
              </w:rPr>
            </w:pPr>
          </w:p>
        </w:tc>
        <w:tc>
          <w:tcPr>
            <w:tcW w:w="20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7"/>
              </w:rPr>
              <w:t>Supply Chain</w:t>
            </w:r>
          </w:p>
        </w:tc>
        <w:tc>
          <w:tcPr>
            <w:tcW w:w="280" w:type="dxa"/>
            <w:vAlign w:val="bottom"/>
          </w:tcPr>
          <w:p>
            <w:pPr>
              <w:spacing w:after="0"/>
              <w:rPr>
                <w:sz w:val="24"/>
                <w:szCs w:val="24"/>
                <w:color w:val="auto"/>
              </w:rPr>
            </w:pPr>
          </w:p>
        </w:tc>
        <w:tc>
          <w:tcPr>
            <w:tcW w:w="19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8"/>
              </w:rPr>
              <w:t>Privacy &amp; Data</w:t>
            </w:r>
          </w:p>
        </w:tc>
        <w:tc>
          <w:tcPr>
            <w:tcW w:w="280" w:type="dxa"/>
            <w:vAlign w:val="bottom"/>
          </w:tcPr>
          <w:p>
            <w:pPr>
              <w:spacing w:after="0"/>
              <w:rPr>
                <w:sz w:val="24"/>
                <w:szCs w:val="24"/>
                <w:color w:val="auto"/>
              </w:rPr>
            </w:pPr>
          </w:p>
        </w:tc>
        <w:tc>
          <w:tcPr>
            <w:tcW w:w="194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7"/>
              </w:rPr>
              <w:t>Manufacturing</w:t>
            </w:r>
          </w:p>
        </w:tc>
        <w:tc>
          <w:tcPr>
            <w:tcW w:w="0" w:type="dxa"/>
            <w:vAlign w:val="bottom"/>
          </w:tcPr>
          <w:p>
            <w:pPr>
              <w:spacing w:after="0"/>
              <w:rPr>
                <w:sz w:val="1"/>
                <w:szCs w:val="1"/>
                <w:color w:val="auto"/>
              </w:rPr>
            </w:pPr>
          </w:p>
        </w:tc>
      </w:tr>
      <w:tr>
        <w:trPr>
          <w:trHeight w:val="120"/>
        </w:trPr>
        <w:tc>
          <w:tcPr>
            <w:tcW w:w="190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7"/>
              </w:rPr>
              <w:t>Talent</w:t>
            </w:r>
          </w:p>
        </w:tc>
        <w:tc>
          <w:tcPr>
            <w:tcW w:w="280" w:type="dxa"/>
            <w:vAlign w:val="bottom"/>
          </w:tcPr>
          <w:p>
            <w:pPr>
              <w:spacing w:after="0"/>
              <w:rPr>
                <w:sz w:val="10"/>
                <w:szCs w:val="10"/>
                <w:color w:val="auto"/>
              </w:rPr>
            </w:pPr>
          </w:p>
        </w:tc>
        <w:tc>
          <w:tcPr>
            <w:tcW w:w="2020" w:type="dxa"/>
            <w:vAlign w:val="bottom"/>
            <w:vMerge w:val="restart"/>
            <w:shd w:val="clear" w:color="auto" w:fill="0071CE"/>
          </w:tcPr>
          <w:p>
            <w:pPr>
              <w:jc w:val="center"/>
              <w:ind w:left="2"/>
              <w:spacing w:after="0" w:line="214" w:lineRule="exact"/>
              <w:rPr>
                <w:sz w:val="20"/>
                <w:szCs w:val="20"/>
                <w:color w:val="auto"/>
              </w:rPr>
            </w:pPr>
            <w:r>
              <w:rPr>
                <w:rFonts w:ascii="Arial" w:cs="Arial" w:eastAsia="Arial" w:hAnsi="Arial"/>
                <w:sz w:val="20"/>
                <w:szCs w:val="20"/>
                <w:color w:val="FFFFFF"/>
                <w:w w:val="97"/>
              </w:rPr>
              <w:t>Vehicle</w:t>
            </w:r>
          </w:p>
        </w:tc>
        <w:tc>
          <w:tcPr>
            <w:tcW w:w="280" w:type="dxa"/>
            <w:vAlign w:val="bottom"/>
          </w:tcPr>
          <w:p>
            <w:pPr>
              <w:spacing w:after="0"/>
              <w:rPr>
                <w:sz w:val="10"/>
                <w:szCs w:val="10"/>
                <w:color w:val="auto"/>
              </w:rPr>
            </w:pPr>
          </w:p>
        </w:tc>
        <w:tc>
          <w:tcPr>
            <w:tcW w:w="2020" w:type="dxa"/>
            <w:vAlign w:val="bottom"/>
            <w:vMerge w:val="continue"/>
            <w:shd w:val="clear" w:color="auto" w:fill="0071CE"/>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vMerge w:val="continue"/>
            <w:shd w:val="clear" w:color="auto" w:fill="0071CE"/>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vMerge w:val="continue"/>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0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w w:val="97"/>
              </w:rPr>
              <w:t>Disruptions</w:t>
            </w:r>
          </w:p>
        </w:tc>
        <w:tc>
          <w:tcPr>
            <w:tcW w:w="280" w:type="dxa"/>
            <w:vAlign w:val="bottom"/>
          </w:tcPr>
          <w:p>
            <w:pPr>
              <w:spacing w:after="0"/>
              <w:rPr>
                <w:sz w:val="8"/>
                <w:szCs w:val="8"/>
                <w:color w:val="auto"/>
              </w:rPr>
            </w:pPr>
          </w:p>
        </w:tc>
        <w:tc>
          <w:tcPr>
            <w:tcW w:w="19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7"/>
              </w:rPr>
              <w:t>Management</w:t>
            </w:r>
          </w:p>
        </w:tc>
        <w:tc>
          <w:tcPr>
            <w:tcW w:w="280" w:type="dxa"/>
            <w:vAlign w:val="bottom"/>
          </w:tcPr>
          <w:p>
            <w:pPr>
              <w:spacing w:after="0"/>
              <w:rPr>
                <w:sz w:val="8"/>
                <w:szCs w:val="8"/>
                <w:color w:val="auto"/>
              </w:rPr>
            </w:pPr>
          </w:p>
        </w:tc>
        <w:tc>
          <w:tcPr>
            <w:tcW w:w="1940" w:type="dxa"/>
            <w:vAlign w:val="bottom"/>
            <w:vMerge w:val="restart"/>
            <w:shd w:val="clear" w:color="auto" w:fill="0071CE"/>
          </w:tcPr>
          <w:p>
            <w:pPr>
              <w:jc w:val="center"/>
              <w:ind w:left="22"/>
              <w:spacing w:after="0"/>
              <w:rPr>
                <w:sz w:val="20"/>
                <w:szCs w:val="20"/>
                <w:color w:val="auto"/>
              </w:rPr>
            </w:pPr>
            <w:r>
              <w:rPr>
                <w:rFonts w:ascii="Arial" w:cs="Arial" w:eastAsia="Arial" w:hAnsi="Arial"/>
                <w:sz w:val="20"/>
                <w:szCs w:val="20"/>
                <w:color w:val="FFFFFF"/>
                <w:w w:val="97"/>
              </w:rPr>
              <w:t>Disruptions</w:t>
            </w:r>
          </w:p>
        </w:tc>
        <w:tc>
          <w:tcPr>
            <w:tcW w:w="0" w:type="dxa"/>
            <w:vAlign w:val="bottom"/>
          </w:tcPr>
          <w:p>
            <w:pPr>
              <w:spacing w:after="0"/>
              <w:rPr>
                <w:sz w:val="1"/>
                <w:szCs w:val="1"/>
                <w:color w:val="auto"/>
              </w:rPr>
            </w:pPr>
          </w:p>
        </w:tc>
      </w:tr>
      <w:tr>
        <w:trPr>
          <w:trHeight w:val="142"/>
        </w:trPr>
        <w:tc>
          <w:tcPr>
            <w:tcW w:w="1900" w:type="dxa"/>
            <w:vAlign w:val="bottom"/>
            <w:vMerge w:val="continue"/>
            <w:shd w:val="clear" w:color="auto" w:fill="0071CE"/>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5"/>
              </w:rPr>
              <w:t>Transition</w:t>
            </w:r>
          </w:p>
        </w:tc>
        <w:tc>
          <w:tcPr>
            <w:tcW w:w="280" w:type="dxa"/>
            <w:vAlign w:val="bottom"/>
          </w:tcPr>
          <w:p>
            <w:pPr>
              <w:spacing w:after="0"/>
              <w:rPr>
                <w:sz w:val="12"/>
                <w:szCs w:val="12"/>
                <w:color w:val="auto"/>
              </w:rPr>
            </w:pPr>
          </w:p>
        </w:tc>
        <w:tc>
          <w:tcPr>
            <w:tcW w:w="2020" w:type="dxa"/>
            <w:vAlign w:val="bottom"/>
            <w:vMerge w:val="continue"/>
            <w:shd w:val="clear" w:color="auto" w:fill="0071CE"/>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vMerge w:val="continue"/>
            <w:shd w:val="clear" w:color="auto" w:fill="0071C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900" w:type="dxa"/>
            <w:vAlign w:val="bottom"/>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0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shd w:val="clear" w:color="auto" w:fill="0071C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900" w:type="dxa"/>
            <w:vAlign w:val="bottom"/>
            <w:shd w:val="clear" w:color="auto" w:fill="0071CE"/>
          </w:tcPr>
          <w:p>
            <w:pPr>
              <w:jc w:val="center"/>
              <w:spacing w:after="0"/>
              <w:rPr>
                <w:sz w:val="20"/>
                <w:szCs w:val="20"/>
                <w:color w:val="auto"/>
              </w:rPr>
            </w:pPr>
            <w:r>
              <w:rPr>
                <w:rFonts w:ascii="Arial" w:cs="Arial" w:eastAsia="Arial" w:hAnsi="Arial"/>
                <w:sz w:val="20"/>
                <w:szCs w:val="20"/>
                <w:color w:val="FFFFFF"/>
                <w:w w:val="99"/>
              </w:rPr>
              <w:t>Workplace</w:t>
            </w:r>
          </w:p>
        </w:tc>
        <w:tc>
          <w:tcPr>
            <w:tcW w:w="280" w:type="dxa"/>
            <w:vAlign w:val="bottom"/>
          </w:tcPr>
          <w:p>
            <w:pPr>
              <w:spacing w:after="0"/>
              <w:rPr>
                <w:sz w:val="24"/>
                <w:szCs w:val="24"/>
                <w:color w:val="auto"/>
              </w:rPr>
            </w:pPr>
          </w:p>
        </w:tc>
        <w:tc>
          <w:tcPr>
            <w:tcW w:w="20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7"/>
              </w:rPr>
              <w:t>Vehicle</w:t>
            </w:r>
          </w:p>
        </w:tc>
        <w:tc>
          <w:tcPr>
            <w:tcW w:w="280" w:type="dxa"/>
            <w:vAlign w:val="bottom"/>
          </w:tcPr>
          <w:p>
            <w:pPr>
              <w:spacing w:after="0"/>
              <w:rPr>
                <w:sz w:val="24"/>
                <w:szCs w:val="24"/>
                <w:color w:val="auto"/>
              </w:rPr>
            </w:pPr>
          </w:p>
        </w:tc>
        <w:tc>
          <w:tcPr>
            <w:tcW w:w="2020" w:type="dxa"/>
            <w:vAlign w:val="bottom"/>
            <w:shd w:val="clear" w:color="auto" w:fill="0071CE"/>
          </w:tcPr>
          <w:p>
            <w:pPr>
              <w:jc w:val="center"/>
              <w:ind w:left="2"/>
              <w:spacing w:after="0"/>
              <w:rPr>
                <w:sz w:val="20"/>
                <w:szCs w:val="20"/>
                <w:color w:val="auto"/>
              </w:rPr>
            </w:pPr>
            <w:r>
              <w:rPr>
                <w:rFonts w:ascii="Arial" w:cs="Arial" w:eastAsia="Arial" w:hAnsi="Arial"/>
                <w:sz w:val="20"/>
                <w:szCs w:val="20"/>
                <w:color w:val="FFFFFF"/>
                <w:w w:val="96"/>
              </w:rPr>
              <w:t>Shifting Trade</w:t>
            </w:r>
          </w:p>
        </w:tc>
        <w:tc>
          <w:tcPr>
            <w:tcW w:w="280" w:type="dxa"/>
            <w:vAlign w:val="bottom"/>
          </w:tcPr>
          <w:p>
            <w:pPr>
              <w:spacing w:after="0"/>
              <w:rPr>
                <w:sz w:val="24"/>
                <w:szCs w:val="24"/>
                <w:color w:val="auto"/>
              </w:rPr>
            </w:pPr>
          </w:p>
        </w:tc>
        <w:tc>
          <w:tcPr>
            <w:tcW w:w="19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7"/>
              </w:rPr>
              <w:t>Economic</w:t>
            </w:r>
          </w:p>
        </w:tc>
        <w:tc>
          <w:tcPr>
            <w:tcW w:w="280" w:type="dxa"/>
            <w:vAlign w:val="bottom"/>
          </w:tcPr>
          <w:p>
            <w:pPr>
              <w:spacing w:after="0"/>
              <w:rPr>
                <w:sz w:val="24"/>
                <w:szCs w:val="24"/>
                <w:color w:val="auto"/>
              </w:rPr>
            </w:pPr>
          </w:p>
        </w:tc>
        <w:tc>
          <w:tcPr>
            <w:tcW w:w="1940" w:type="dxa"/>
            <w:vAlign w:val="bottom"/>
            <w:shd w:val="clear" w:color="auto" w:fill="0071C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900" w:type="dxa"/>
            <w:vAlign w:val="bottom"/>
            <w:vMerge w:val="restart"/>
            <w:shd w:val="clear" w:color="auto" w:fill="0071CE"/>
          </w:tcPr>
          <w:p>
            <w:pPr>
              <w:jc w:val="center"/>
              <w:spacing w:after="0" w:line="214" w:lineRule="exact"/>
              <w:rPr>
                <w:sz w:val="20"/>
                <w:szCs w:val="20"/>
                <w:color w:val="auto"/>
              </w:rPr>
            </w:pPr>
            <w:r>
              <w:rPr>
                <w:rFonts w:ascii="Arial" w:cs="Arial" w:eastAsia="Arial" w:hAnsi="Arial"/>
                <w:sz w:val="20"/>
                <w:szCs w:val="20"/>
                <w:color w:val="FFFFFF"/>
                <w:w w:val="97"/>
              </w:rPr>
              <w:t>Safety &amp;</w:t>
            </w:r>
          </w:p>
        </w:tc>
        <w:tc>
          <w:tcPr>
            <w:tcW w:w="280" w:type="dxa"/>
            <w:vAlign w:val="bottom"/>
          </w:tcPr>
          <w:p>
            <w:pPr>
              <w:spacing w:after="0"/>
              <w:rPr>
                <w:sz w:val="10"/>
                <w:szCs w:val="10"/>
                <w:color w:val="auto"/>
              </w:rPr>
            </w:pPr>
          </w:p>
        </w:tc>
        <w:tc>
          <w:tcPr>
            <w:tcW w:w="2020" w:type="dxa"/>
            <w:vAlign w:val="bottom"/>
            <w:vMerge w:val="continue"/>
            <w:shd w:val="clear" w:color="auto" w:fill="0071CE"/>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vMerge w:val="restart"/>
            <w:shd w:val="clear" w:color="auto" w:fill="0071CE"/>
          </w:tcPr>
          <w:p>
            <w:pPr>
              <w:jc w:val="center"/>
              <w:spacing w:after="0" w:line="214" w:lineRule="exact"/>
              <w:rPr>
                <w:sz w:val="20"/>
                <w:szCs w:val="20"/>
                <w:color w:val="auto"/>
              </w:rPr>
            </w:pPr>
            <w:r>
              <w:rPr>
                <w:rFonts w:ascii="Arial" w:cs="Arial" w:eastAsia="Arial" w:hAnsi="Arial"/>
                <w:sz w:val="20"/>
                <w:szCs w:val="20"/>
                <w:color w:val="FFFFFF"/>
                <w:w w:val="97"/>
              </w:rPr>
              <w:t>&amp; Government</w:t>
            </w:r>
          </w:p>
        </w:tc>
        <w:tc>
          <w:tcPr>
            <w:tcW w:w="280" w:type="dxa"/>
            <w:vAlign w:val="bottom"/>
          </w:tcPr>
          <w:p>
            <w:pPr>
              <w:spacing w:after="0"/>
              <w:rPr>
                <w:sz w:val="10"/>
                <w:szCs w:val="10"/>
                <w:color w:val="auto"/>
              </w:rPr>
            </w:pPr>
          </w:p>
        </w:tc>
        <w:tc>
          <w:tcPr>
            <w:tcW w:w="1920" w:type="dxa"/>
            <w:vAlign w:val="bottom"/>
            <w:vMerge w:val="continue"/>
            <w:shd w:val="clear" w:color="auto" w:fill="0071CE"/>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8"/>
              </w:rPr>
              <w:t>Cybersecurity</w:t>
            </w:r>
          </w:p>
        </w:tc>
        <w:tc>
          <w:tcPr>
            <w:tcW w:w="0" w:type="dxa"/>
            <w:vAlign w:val="bottom"/>
          </w:tcPr>
          <w:p>
            <w:pPr>
              <w:spacing w:after="0"/>
              <w:rPr>
                <w:sz w:val="1"/>
                <w:szCs w:val="1"/>
                <w:color w:val="auto"/>
              </w:rPr>
            </w:pPr>
          </w:p>
        </w:tc>
      </w:tr>
      <w:tr>
        <w:trPr>
          <w:trHeight w:val="94"/>
        </w:trPr>
        <w:tc>
          <w:tcPr>
            <w:tcW w:w="190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8"/>
              </w:rPr>
              <w:t>Safety</w:t>
            </w:r>
          </w:p>
        </w:tc>
        <w:tc>
          <w:tcPr>
            <w:tcW w:w="280" w:type="dxa"/>
            <w:vAlign w:val="bottom"/>
          </w:tcPr>
          <w:p>
            <w:pPr>
              <w:spacing w:after="0"/>
              <w:rPr>
                <w:sz w:val="8"/>
                <w:szCs w:val="8"/>
                <w:color w:val="auto"/>
              </w:rPr>
            </w:pPr>
          </w:p>
        </w:tc>
        <w:tc>
          <w:tcPr>
            <w:tcW w:w="202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8"/>
              </w:rPr>
              <w:t>Fluctuations</w:t>
            </w:r>
          </w:p>
        </w:tc>
        <w:tc>
          <w:tcPr>
            <w:tcW w:w="280" w:type="dxa"/>
            <w:vAlign w:val="bottom"/>
          </w:tcPr>
          <w:p>
            <w:pPr>
              <w:spacing w:after="0"/>
              <w:rPr>
                <w:sz w:val="8"/>
                <w:szCs w:val="8"/>
                <w:color w:val="auto"/>
              </w:rPr>
            </w:pPr>
          </w:p>
        </w:tc>
        <w:tc>
          <w:tcPr>
            <w:tcW w:w="1940" w:type="dxa"/>
            <w:vAlign w:val="bottom"/>
            <w:vMerge w:val="continue"/>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900" w:type="dxa"/>
            <w:vAlign w:val="bottom"/>
            <w:vMerge w:val="restart"/>
            <w:shd w:val="clear" w:color="auto" w:fill="0071CE"/>
          </w:tcPr>
          <w:p>
            <w:pPr>
              <w:jc w:val="center"/>
              <w:spacing w:after="0"/>
              <w:rPr>
                <w:sz w:val="20"/>
                <w:szCs w:val="20"/>
                <w:color w:val="auto"/>
              </w:rPr>
            </w:pPr>
            <w:r>
              <w:rPr>
                <w:rFonts w:ascii="Arial" w:cs="Arial" w:eastAsia="Arial" w:hAnsi="Arial"/>
                <w:sz w:val="20"/>
                <w:szCs w:val="20"/>
                <w:color w:val="FFFFFF"/>
              </w:rPr>
              <w:t>Health</w:t>
            </w:r>
          </w:p>
        </w:tc>
        <w:tc>
          <w:tcPr>
            <w:tcW w:w="280" w:type="dxa"/>
            <w:vAlign w:val="bottom"/>
          </w:tcPr>
          <w:p>
            <w:pPr>
              <w:spacing w:after="0"/>
              <w:rPr>
                <w:sz w:val="12"/>
                <w:szCs w:val="12"/>
                <w:color w:val="auto"/>
              </w:rPr>
            </w:pPr>
          </w:p>
        </w:tc>
        <w:tc>
          <w:tcPr>
            <w:tcW w:w="2020" w:type="dxa"/>
            <w:vAlign w:val="bottom"/>
            <w:vMerge w:val="continue"/>
            <w:shd w:val="clear" w:color="auto" w:fill="0071CE"/>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vMerge w:val="restart"/>
            <w:shd w:val="clear" w:color="auto" w:fill="0071CE"/>
          </w:tcPr>
          <w:p>
            <w:pPr>
              <w:jc w:val="center"/>
              <w:ind w:left="2"/>
              <w:spacing w:after="0"/>
              <w:rPr>
                <w:sz w:val="20"/>
                <w:szCs w:val="20"/>
                <w:color w:val="auto"/>
              </w:rPr>
            </w:pPr>
            <w:r>
              <w:rPr>
                <w:rFonts w:ascii="Arial" w:cs="Arial" w:eastAsia="Arial" w:hAnsi="Arial"/>
                <w:sz w:val="20"/>
                <w:szCs w:val="20"/>
                <w:color w:val="FFFFFF"/>
                <w:w w:val="98"/>
              </w:rPr>
              <w:t>Policies</w:t>
            </w:r>
          </w:p>
        </w:tc>
        <w:tc>
          <w:tcPr>
            <w:tcW w:w="280" w:type="dxa"/>
            <w:vAlign w:val="bottom"/>
          </w:tcPr>
          <w:p>
            <w:pPr>
              <w:spacing w:after="0"/>
              <w:rPr>
                <w:sz w:val="12"/>
                <w:szCs w:val="12"/>
                <w:color w:val="auto"/>
              </w:rPr>
            </w:pPr>
          </w:p>
        </w:tc>
        <w:tc>
          <w:tcPr>
            <w:tcW w:w="1920" w:type="dxa"/>
            <w:vAlign w:val="bottom"/>
            <w:vMerge w:val="continue"/>
            <w:shd w:val="clear" w:color="auto" w:fill="0071C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90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continue"/>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shd w:val="clear" w:color="auto" w:fill="0071CE"/>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0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shd w:val="clear" w:color="auto" w:fill="0071CE"/>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shd w:val="clear" w:color="auto" w:fill="0071CE"/>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20" w:type="dxa"/>
            <w:vAlign w:val="bottom"/>
            <w:gridSpan w:val="2"/>
          </w:tcPr>
          <w:p>
            <w:pPr>
              <w:jc w:val="right"/>
              <w:ind w:right="222"/>
              <w:spacing w:after="0"/>
              <w:rPr>
                <w:sz w:val="20"/>
                <w:szCs w:val="20"/>
                <w:color w:val="auto"/>
              </w:rPr>
            </w:pPr>
            <w:r>
              <w:rPr>
                <w:rFonts w:ascii="Arial" w:cs="Arial" w:eastAsia="Arial" w:hAnsi="Arial"/>
                <w:sz w:val="14"/>
                <w:szCs w:val="14"/>
                <w:color w:val="0071CE"/>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-111125</wp:posOffset>
            </wp:positionV>
            <wp:extent cx="5927725" cy="101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27"/>
        </w:numPr>
        <w:rPr>
          <w:rFonts w:ascii="Arial" w:cs="Arial" w:eastAsia="Arial" w:hAnsi="Arial"/>
          <w:sz w:val="21"/>
          <w:szCs w:val="21"/>
          <w:color w:val="0071CE"/>
        </w:rPr>
      </w:pPr>
      <w:r>
        <w:rPr>
          <w:rFonts w:ascii="Arial" w:cs="Arial" w:eastAsia="Arial" w:hAnsi="Arial"/>
          <w:sz w:val="25"/>
          <w:szCs w:val="25"/>
          <w:color w:val="3E3935"/>
        </w:rPr>
        <w:t>Cybersecurity Risk Oversight</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At each quarterly meeting, the Risk and Cybersecurity Committee reviews management’s Cybersecurity Maturity Scorecard, which leverages both the National Institute of Standards and Technology cybersecurity framework and the Federal Financial Institutions Examination Council maturity rating. Management discusses various information security, manufacturing cybersecurity, and product cybersecurity topics and provides intelligence briefings on notable cyber events impacting the industry. The briefings summarize the vulnerabilities that led to the event, provide insight into what happened, and highlight learnings that GM can leverage in the future.</w:t>
      </w:r>
    </w:p>
    <w:p>
      <w:pPr>
        <w:spacing w:after="0" w:line="128"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3E3935"/>
        </w:rPr>
        <w:t>GM’s Global Cybersecurity organization aligns cybersecurity domains across GM, GM Financial (our automotive finance subsidiary), Cruise (our subsidiary responsible for the development and commercialization of autonomous vehicle technology), and our growth businesses. It also enables GM to leverage both business and technical experts to accelerate the development and execution of security solutions. Our global team is charged with executing enterprise, product, and manufacturing cybersecurity programs, with a focus on security architecture,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penetration testing, cyber risk management, incident response, vulnerability management, intelligence, awareness and training, and governance. GM applies a defense-in-depth cybersecurity strategy, making it more difficult for attackers to breach the defenses and allowing for quick detection, deflection, and counteraction attempts of unauthorized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-1809115</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09"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3E3935"/>
        </w:rPr>
        <w:t>GM also includes multi-domain cybersecurity training as part of its corporate required training program. In addition, training and awareness is integrated and continues throughout the year, utilizing various delivery methods such as phishing campaigns, live training sessions, and informational articles. GM continues to invest heavily in cybersecurity, including through the nearly 500 dedicated employees. These employees have diverse skillsets and include pen-testers, cryptologists, analysts, architects, data analysts, security engineers, program managers, and “true hackers.” Global Cybersecurity uses a balanced approach in validating the efficacy of its risk management program, leveraging cybersecurity resources, and GM’s internal audit services as well as engaging with external, third-party expertise at least annually across the domains.</w:t>
      </w:r>
    </w:p>
    <w:p>
      <w:pPr>
        <w:spacing w:after="0" w:line="207"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269" w:lineRule="exact"/>
        <w:rPr>
          <w:sz w:val="20"/>
          <w:szCs w:val="20"/>
          <w:color w:val="auto"/>
        </w:rPr>
      </w:pPr>
    </w:p>
    <w:p>
      <w:pPr>
        <w:ind w:left="700" w:hanging="533"/>
        <w:spacing w:after="0"/>
        <w:tabs>
          <w:tab w:leader="none" w:pos="700" w:val="left"/>
        </w:tabs>
        <w:numPr>
          <w:ilvl w:val="0"/>
          <w:numId w:val="28"/>
        </w:numPr>
        <w:rPr>
          <w:rFonts w:ascii="Arial" w:cs="Arial" w:eastAsia="Arial" w:hAnsi="Arial"/>
          <w:sz w:val="21"/>
          <w:szCs w:val="21"/>
          <w:color w:val="0071CE"/>
        </w:rPr>
      </w:pPr>
      <w:r>
        <w:rPr>
          <w:rFonts w:ascii="Arial" w:cs="Arial" w:eastAsia="Arial" w:hAnsi="Arial"/>
          <w:sz w:val="25"/>
          <w:szCs w:val="25"/>
          <w:color w:val="3E3935"/>
        </w:rPr>
        <w:t>Privacy Risk Oversight</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In recent years, GM’s Strategic Risk Management team determined that privacy risks were increasing in significance due to the enactment of new and more stringent U.S. and global regulations on the use and protection of personal information. Accordingly, the Risk and Cybersecurity Committee has taken steps to continue to enhance its oversight on GM’s data privacy policies and practices.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167640</wp:posOffset>
            </wp:positionV>
            <wp:extent cx="5927725" cy="101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48" w:lineRule="exact"/>
        <w:rPr>
          <w:sz w:val="20"/>
          <w:szCs w:val="20"/>
          <w:color w:val="auto"/>
        </w:rPr>
      </w:pPr>
    </w:p>
    <w:p>
      <w:pPr>
        <w:jc w:val="center"/>
        <w:ind w:right="4920"/>
        <w:spacing w:after="0"/>
        <w:rPr>
          <w:sz w:val="20"/>
          <w:szCs w:val="20"/>
          <w:color w:val="auto"/>
        </w:rPr>
      </w:pPr>
      <w:r>
        <w:rPr>
          <w:rFonts w:ascii="Arial" w:cs="Arial" w:eastAsia="Arial" w:hAnsi="Arial"/>
          <w:sz w:val="14"/>
          <w:szCs w:val="14"/>
          <w:color w:val="0071CE"/>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charter makes it clear that the Committee is responsible for overseeing GM’s privacy risks relating to the Company’s employees, customers, and stakeholders. The Committee also devotes portions of its meetings to discuss critical privacy issues with management, including GM’s processes and policies designed to ensure compliance with the California Consumer Privacy Act.</w:t>
      </w:r>
    </w:p>
    <w:p>
      <w:pPr>
        <w:sectPr>
          <w:pgSz w:w="11900" w:h="16838" w:orient="portrait"/>
          <w:cols w:equalWidth="0" w:num="2">
            <w:col w:w="5400" w:space="340"/>
            <w:col w:w="5340"/>
          </w:cols>
          <w:pgMar w:left="320" w:top="456" w:right="4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The Board’s Governance Policies and Practices</w:t>
      </w:r>
    </w:p>
    <w:p>
      <w:pPr>
        <w:spacing w:after="0" w:line="247" w:lineRule="exact"/>
        <w:rPr>
          <w:sz w:val="20"/>
          <w:szCs w:val="20"/>
          <w:color w:val="auto"/>
        </w:rPr>
      </w:pPr>
    </w:p>
    <w:p>
      <w:pPr>
        <w:ind w:left="700" w:hanging="533"/>
        <w:spacing w:after="0"/>
        <w:tabs>
          <w:tab w:leader="none" w:pos="700" w:val="left"/>
        </w:tabs>
        <w:numPr>
          <w:ilvl w:val="0"/>
          <w:numId w:val="29"/>
        </w:numPr>
        <w:rPr>
          <w:rFonts w:ascii="Arial" w:cs="Arial" w:eastAsia="Arial" w:hAnsi="Arial"/>
          <w:sz w:val="20"/>
          <w:szCs w:val="20"/>
          <w:color w:val="0071CE"/>
        </w:rPr>
      </w:pPr>
      <w:r>
        <w:rPr>
          <w:rFonts w:ascii="Arial" w:cs="Arial" w:eastAsia="Arial" w:hAnsi="Arial"/>
          <w:sz w:val="24"/>
          <w:szCs w:val="24"/>
          <w:color w:val="3E3935"/>
        </w:rPr>
        <w:t>Code of Business Conduct and Ethics: “Winning with Integrity”</w:t>
      </w:r>
    </w:p>
    <w:p>
      <w:pPr>
        <w:sectPr>
          <w:pgSz w:w="11900" w:h="16838" w:orient="portrait"/>
          <w:cols w:equalWidth="0" w:num="1">
            <w:col w:w="11080"/>
          </w:cols>
          <w:pgMar w:left="320" w:top="456" w:right="499" w:bottom="1440" w:gutter="0" w:footer="0" w:header="0"/>
        </w:sectPr>
      </w:pPr>
    </w:p>
    <w:p>
      <w:pPr>
        <w:spacing w:after="0" w:line="214"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3E3935"/>
        </w:rPr>
        <w:t>The Board is committed to the highest legal and ethical standards in fulfilling its responsibilities. We have adopted a code of business conduct and ethics, “Winning with Integrity,” that applies to our directors and employees, including the Company’s executive officers. This Code of Conduct forms the foundation for compliance with corporate policies and procedures and creates a Company-wide focus on uncompromising integrity in every aspect of our operations. It embodies our expectations for a number of topics, including workplace and vehicle safety, conflicts of interest, protection of confidential information, insider trading, competition and fair dealing, human rights, community involvement and corporate citizenship, political activities and lobbying,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 xml:space="preserve">preservation and use of Company assets, and compliance with all laws and regulations applicable to the conduct of our business. Employees are expected to report any conduct that they believe in good faith to be an actual or apparent violation of our Code of Conduct. The Code of Conduct is available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1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 xml:space="preserve">In addition, GM’s Insider Trading Policy prohibits all GM directors and employees, including executive officers, from trading in GM derivatives (i.e., puts or calls), engaging in short sales, or otherwise engaging in hedging activities, and pledging of GM securities. This policy is posted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413385</wp:posOffset>
            </wp:positionV>
            <wp:extent cx="6021070" cy="42633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21070" cy="4263390"/>
                    </a:xfrm>
                    <a:prstGeom prst="rect">
                      <a:avLst/>
                    </a:prstGeom>
                    <a:noFill/>
                  </pic:spPr>
                </pic:pic>
              </a:graphicData>
            </a:graphic>
          </wp:anchor>
        </w:drawing>
      </w:r>
    </w:p>
    <w:p>
      <w:pPr>
        <w:spacing w:after="0" w:line="46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25</w:t>
      </w:r>
    </w:p>
    <w:p>
      <w:pPr>
        <w:sectPr>
          <w:pgSz w:w="11900" w:h="16838" w:orient="portrait"/>
          <w:cols w:equalWidth="0" w:num="1">
            <w:col w:w="110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30"/>
        </w:numPr>
        <w:rPr>
          <w:rFonts w:ascii="Arial" w:cs="Arial" w:eastAsia="Arial" w:hAnsi="Arial"/>
          <w:sz w:val="21"/>
          <w:szCs w:val="21"/>
          <w:color w:val="0071CE"/>
        </w:rPr>
      </w:pPr>
      <w:r>
        <w:rPr>
          <w:rFonts w:ascii="Arial" w:cs="Arial" w:eastAsia="Arial" w:hAnsi="Arial"/>
          <w:sz w:val="25"/>
          <w:szCs w:val="25"/>
          <w:color w:val="3E3935"/>
        </w:rPr>
        <w:t>Corporate Governance Guidelines</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Our Corporate Governance Guidelines form a transparent framework for the effective governance of the Company. The Corporate Governance Guidelines address matters such as the respective roles and responsibilities of the Board and management, the Board’s leadership structure, the responsibilities of the Independent Lead Director, director independence, the Board membership criteria, Board Committees, and Board and CEO evaluation. The Governance</w:t>
      </w:r>
    </w:p>
    <w:p>
      <w:pPr>
        <w:spacing w:after="0" w:line="200" w:lineRule="exact"/>
        <w:rPr>
          <w:sz w:val="20"/>
          <w:szCs w:val="20"/>
          <w:color w:val="auto"/>
        </w:rPr>
      </w:pPr>
    </w:p>
    <w:p>
      <w:pPr>
        <w:spacing w:after="0" w:line="272" w:lineRule="exact"/>
        <w:rPr>
          <w:sz w:val="20"/>
          <w:szCs w:val="20"/>
          <w:color w:val="auto"/>
        </w:rPr>
      </w:pPr>
    </w:p>
    <w:p>
      <w:pPr>
        <w:ind w:left="700" w:hanging="533"/>
        <w:spacing w:after="0"/>
        <w:tabs>
          <w:tab w:leader="none" w:pos="700" w:val="left"/>
        </w:tabs>
        <w:numPr>
          <w:ilvl w:val="0"/>
          <w:numId w:val="31"/>
        </w:numPr>
        <w:rPr>
          <w:rFonts w:ascii="Arial" w:cs="Arial" w:eastAsia="Arial" w:hAnsi="Arial"/>
          <w:sz w:val="21"/>
          <w:szCs w:val="21"/>
          <w:color w:val="0071CE"/>
        </w:rPr>
      </w:pPr>
      <w:r>
        <w:rPr>
          <w:rFonts w:ascii="Arial" w:cs="Arial" w:eastAsia="Arial" w:hAnsi="Arial"/>
          <w:sz w:val="25"/>
          <w:szCs w:val="25"/>
          <w:color w:val="3E3935"/>
        </w:rPr>
        <w:t>CEO Succession Planning</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Our Independent Lead Director oversees the CEO succession planning process and leads, at least annually, the Board’s discussion of CEO succession planning. Our CEO provides the Board with recommendations for and evaluations of potential CEO successors and reviews with the Board development plans for these successors. Directors engage with potential CEO and senior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Committee regularly reviews the Corporate Governance Guidelines and periodically recommends to the Board the adoption of amendments in response to changing regulations, evolving best practices, and shareholder concerns. For a summary of our corporate governance best practices, please see “Shareholder Protections and Governance Best Practices” on page 30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-1946275</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management talent at Board and Committee meetings and in less formal settings to enable directors to personally assess candidates. The Board reviews management succession in the ordinary course of business as well as contingency planning in the event of an emergency or unanticipated event.</w:t>
      </w:r>
    </w:p>
    <w:p>
      <w:pPr>
        <w:spacing w:after="0" w:line="410"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268" w:lineRule="exact"/>
        <w:rPr>
          <w:sz w:val="20"/>
          <w:szCs w:val="20"/>
          <w:color w:val="auto"/>
        </w:rPr>
      </w:pPr>
    </w:p>
    <w:p>
      <w:pPr>
        <w:ind w:left="700" w:hanging="533"/>
        <w:spacing w:after="0"/>
        <w:tabs>
          <w:tab w:leader="none" w:pos="700" w:val="left"/>
        </w:tabs>
        <w:numPr>
          <w:ilvl w:val="0"/>
          <w:numId w:val="32"/>
        </w:numPr>
        <w:rPr>
          <w:rFonts w:ascii="Arial" w:cs="Arial" w:eastAsia="Arial" w:hAnsi="Arial"/>
          <w:sz w:val="21"/>
          <w:szCs w:val="21"/>
          <w:color w:val="0071CE"/>
        </w:rPr>
      </w:pPr>
      <w:r>
        <w:rPr>
          <w:rFonts w:ascii="Arial" w:cs="Arial" w:eastAsia="Arial" w:hAnsi="Arial"/>
          <w:sz w:val="25"/>
          <w:szCs w:val="25"/>
          <w:color w:val="3E3935"/>
        </w:rPr>
        <w:t>Board and Committee Evaluations</w:t>
      </w:r>
    </w:p>
    <w:p>
      <w:pPr>
        <w:spacing w:after="0" w:line="202"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Governance Committee periodically reviews the form and process for Board and Committee self-evaluations. In 2020, following extensive benchmarking, engagement with shareholders, interviewing third-party facilitators, and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Throughout the process, directors have ample opportunity to provide feedback on individual director performance.</w:t>
      </w:r>
    </w:p>
    <w:p>
      <w:pPr>
        <w:spacing w:after="0" w:line="113"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Board is committed to incorporating feedback from its self-evaluations. Recent examples of changes to practice include evolving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discussion, the Board approved, based on the recommendation of the Governance Committee, changes to its self-evaluation process. Beginning in 2021, the Board and its Committees will observe the following self-evaluation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271145</wp:posOffset>
            </wp:positionV>
            <wp:extent cx="5868035" cy="4584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6803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composition of the Board (see page 17 of this Proxy Statement), conducting an extensive review of the Company’s e-commerce strategy, increasing the number of standing Audit Committee meetings, and increasing the frequency of off-cycle Board touchpoints and communications.</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5" w:lineRule="exact"/>
        <w:rPr>
          <w:sz w:val="20"/>
          <w:szCs w:val="20"/>
          <w:color w:val="auto"/>
        </w:rPr>
      </w:pPr>
    </w:p>
    <w:p>
      <w:pPr>
        <w:ind w:left="700" w:hanging="533"/>
        <w:spacing w:after="0"/>
        <w:tabs>
          <w:tab w:leader="none" w:pos="700" w:val="left"/>
        </w:tabs>
        <w:numPr>
          <w:ilvl w:val="0"/>
          <w:numId w:val="33"/>
        </w:numPr>
        <w:rPr>
          <w:rFonts w:ascii="Arial" w:cs="Arial" w:eastAsia="Arial" w:hAnsi="Arial"/>
          <w:sz w:val="21"/>
          <w:szCs w:val="21"/>
          <w:color w:val="0071CE"/>
        </w:rPr>
      </w:pPr>
      <w:r>
        <w:rPr>
          <w:rFonts w:ascii="Arial" w:cs="Arial" w:eastAsia="Arial" w:hAnsi="Arial"/>
          <w:sz w:val="25"/>
          <w:szCs w:val="25"/>
          <w:color w:val="3E3935"/>
        </w:rPr>
        <w:t>Annual Evaluation of CEO</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Each year, the Board reviews the CEO’s performance against her annual strategic goals. The non-management directors, meeting separately in executive session, annually conduct a formal evaluation of the CEO, which is communicated to the CEO by the Independent Lead Director. The evaluation is based on both objective and subjective criteria, including, but not limited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175895</wp:posOffset>
            </wp:positionV>
            <wp:extent cx="5927725" cy="101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62" w:lineRule="exact"/>
        <w:rPr>
          <w:sz w:val="20"/>
          <w:szCs w:val="20"/>
          <w:color w:val="auto"/>
        </w:rPr>
      </w:pPr>
    </w:p>
    <w:p>
      <w:pPr>
        <w:jc w:val="center"/>
        <w:ind w:right="4920"/>
        <w:spacing w:after="0"/>
        <w:rPr>
          <w:sz w:val="20"/>
          <w:szCs w:val="20"/>
          <w:color w:val="auto"/>
        </w:rPr>
      </w:pPr>
      <w:r>
        <w:rPr>
          <w:rFonts w:ascii="Arial" w:cs="Arial" w:eastAsia="Arial" w:hAnsi="Arial"/>
          <w:sz w:val="14"/>
          <w:szCs w:val="14"/>
          <w:color w:val="0071CE"/>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accomplishment of ongoing initiatives in furtherance of the Company’s long-term strategic objectives; and development of the Company’s top management team. The results of the evaluation are considered by the Compensation Committee in its deliberations when determining the compensation of the CEO as further described in “Executive Compensation” on page 57 of this Proxy Statement.</w:t>
      </w:r>
    </w:p>
    <w:p>
      <w:pPr>
        <w:sectPr>
          <w:pgSz w:w="11900" w:h="16838" w:orient="portrait"/>
          <w:cols w:equalWidth="0" w:num="2">
            <w:col w:w="5400" w:space="340"/>
            <w:col w:w="5340"/>
          </w:cols>
          <w:pgMar w:left="320" w:top="456" w:right="4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34"/>
        </w:numPr>
        <w:rPr>
          <w:rFonts w:ascii="Arial" w:cs="Arial" w:eastAsia="Arial" w:hAnsi="Arial"/>
          <w:sz w:val="21"/>
          <w:szCs w:val="21"/>
          <w:color w:val="0071CE"/>
        </w:rPr>
      </w:pPr>
      <w:r>
        <w:rPr>
          <w:rFonts w:ascii="Arial" w:cs="Arial" w:eastAsia="Arial" w:hAnsi="Arial"/>
          <w:sz w:val="25"/>
          <w:szCs w:val="25"/>
          <w:color w:val="3E3935"/>
        </w:rPr>
        <w:t>Director Orientation and Continuing Education</w:t>
      </w:r>
    </w:p>
    <w:p>
      <w:pPr>
        <w:sectPr>
          <w:pgSz w:w="11900" w:h="16838" w:orient="portrait"/>
          <w:cols w:equalWidth="0" w:num="1">
            <w:col w:w="11080"/>
          </w:cols>
          <w:pgMar w:left="320" w:top="456" w:right="499" w:bottom="1440" w:gutter="0" w:footer="0" w:header="0"/>
        </w:sectPr>
      </w:pPr>
    </w:p>
    <w:p>
      <w:pPr>
        <w:spacing w:after="0" w:line="202" w:lineRule="exact"/>
        <w:rPr>
          <w:sz w:val="20"/>
          <w:szCs w:val="20"/>
          <w:color w:val="auto"/>
        </w:rPr>
      </w:pPr>
    </w:p>
    <w:p>
      <w:pPr>
        <w:jc w:val="both"/>
        <w:ind w:left="160"/>
        <w:spacing w:after="0" w:line="238" w:lineRule="auto"/>
        <w:rPr>
          <w:sz w:val="20"/>
          <w:szCs w:val="20"/>
          <w:color w:val="auto"/>
        </w:rPr>
      </w:pPr>
      <w:r>
        <w:rPr>
          <w:rFonts w:ascii="Arial" w:cs="Arial" w:eastAsia="Arial" w:hAnsi="Arial"/>
          <w:sz w:val="19"/>
          <w:szCs w:val="19"/>
          <w:color w:val="3E3935"/>
        </w:rPr>
        <w:t>All new directors participate in the Company’s director orientation program. The orientation enables new directors to become familiar with the Company’s business and strategic plans; significant financial matters; core values and behaviors, including ethics; compliance programs; corporate governance practices; and other key policies and practices.</w:t>
      </w:r>
    </w:p>
    <w:p>
      <w:pPr>
        <w:spacing w:after="0" w:line="13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Continuing education opportunities are provided to keep directors updated with information about the Company and its strategy, operations,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products, and other matters relevant to Board service. Board members are encouraged to visit GM facilities and dealers and attend auto shows and other key corporate and industry events to enhance their understanding of the Company and its competitors in the auto industry. In addition, all directors are encouraged to attend, at our expense, director continuing education programs sponsored by governance organizations and other institutions.</w:t>
      </w:r>
    </w:p>
    <w:p>
      <w:pPr>
        <w:spacing w:after="0" w:line="559"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7" w:lineRule="exact"/>
        <w:rPr>
          <w:sz w:val="20"/>
          <w:szCs w:val="20"/>
          <w:color w:val="auto"/>
        </w:rPr>
      </w:pPr>
    </w:p>
    <w:p>
      <w:pPr>
        <w:ind w:left="700" w:hanging="533"/>
        <w:spacing w:after="0"/>
        <w:tabs>
          <w:tab w:leader="none" w:pos="700" w:val="left"/>
        </w:tabs>
        <w:numPr>
          <w:ilvl w:val="0"/>
          <w:numId w:val="35"/>
        </w:numPr>
        <w:rPr>
          <w:rFonts w:ascii="Arial" w:cs="Arial" w:eastAsia="Arial" w:hAnsi="Arial"/>
          <w:sz w:val="20"/>
          <w:szCs w:val="20"/>
          <w:color w:val="0071CE"/>
        </w:rPr>
      </w:pPr>
      <w:r>
        <w:rPr>
          <w:rFonts w:ascii="Arial" w:cs="Arial" w:eastAsia="Arial" w:hAnsi="Arial"/>
          <w:sz w:val="24"/>
          <w:szCs w:val="24"/>
          <w:color w:val="3E3935"/>
        </w:rPr>
        <w:t>Director Service on Other Public Company Boards</w:t>
      </w:r>
    </w:p>
    <w:p>
      <w:pPr>
        <w:sectPr>
          <w:pgSz w:w="11900" w:h="16838" w:orient="portrait"/>
          <w:cols w:equalWidth="0" w:num="1">
            <w:col w:w="11080"/>
          </w:cols>
          <w:pgMar w:left="320" w:top="456" w:right="499" w:bottom="1440" w:gutter="0" w:footer="0" w:header="0"/>
          <w:type w:val="continuous"/>
        </w:sectPr>
      </w:pPr>
    </w:p>
    <w:p>
      <w:pPr>
        <w:spacing w:after="0" w:line="214"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3E3935"/>
        </w:rPr>
        <w:t>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Chairman, Independent Lead Director, or Chair of the Governance Committee in advance of accepting an invitation to serve on another board of directors or any audit committee of another public company board. This allows the Governance Committee to assess the impact of the director’s joining another board based on various factors relevant to the specific situation, including the nature and extent of a director’s other professional obligations and the time commitment attendant to the new position. Directors who are engaged in active, full-time employment, for example, could have less time to devote to Board service than a director whose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left="7"/>
        <w:spacing w:after="0" w:line="230" w:lineRule="auto"/>
        <w:rPr>
          <w:sz w:val="20"/>
          <w:szCs w:val="20"/>
          <w:color w:val="auto"/>
        </w:rPr>
      </w:pPr>
      <w:r>
        <w:rPr>
          <w:rFonts w:ascii="Arial" w:cs="Arial" w:eastAsia="Arial" w:hAnsi="Arial"/>
          <w:sz w:val="20"/>
          <w:szCs w:val="20"/>
          <w:color w:val="3E3935"/>
        </w:rPr>
        <w:t>principal occupation is serving on boards. Our Corporate Governance Guidelines provide that without obtaining the approval of the Board:</w:t>
      </w:r>
    </w:p>
    <w:p>
      <w:pPr>
        <w:spacing w:after="0" w:line="101" w:lineRule="exact"/>
        <w:rPr>
          <w:sz w:val="20"/>
          <w:szCs w:val="20"/>
          <w:color w:val="auto"/>
        </w:rPr>
      </w:pPr>
    </w:p>
    <w:p>
      <w:pPr>
        <w:jc w:val="both"/>
        <w:ind w:left="267" w:right="20" w:hanging="267"/>
        <w:spacing w:after="0" w:line="213" w:lineRule="auto"/>
        <w:tabs>
          <w:tab w:leader="none" w:pos="267" w:val="left"/>
        </w:tabs>
        <w:numPr>
          <w:ilvl w:val="0"/>
          <w:numId w:val="36"/>
        </w:numPr>
        <w:rPr>
          <w:rFonts w:ascii="Arial" w:cs="Arial" w:eastAsia="Arial" w:hAnsi="Arial"/>
          <w:sz w:val="47"/>
          <w:szCs w:val="47"/>
          <w:color w:val="00C1DE"/>
          <w:vertAlign w:val="subscript"/>
        </w:rPr>
      </w:pPr>
      <w:r>
        <w:rPr>
          <w:rFonts w:ascii="Arial" w:cs="Arial" w:eastAsia="Arial" w:hAnsi="Arial"/>
          <w:sz w:val="18"/>
          <w:szCs w:val="18"/>
          <w:color w:val="3E3935"/>
        </w:rPr>
        <w:t>A director may not serve on the boards of more than four other public companies (excluding nonprofits and subsidiaries).</w:t>
      </w:r>
    </w:p>
    <w:p>
      <w:pPr>
        <w:spacing w:after="0" w:line="58" w:lineRule="exact"/>
        <w:rPr>
          <w:rFonts w:ascii="Arial" w:cs="Arial" w:eastAsia="Arial" w:hAnsi="Arial"/>
          <w:sz w:val="47"/>
          <w:szCs w:val="47"/>
          <w:color w:val="00C1DE"/>
          <w:vertAlign w:val="subscript"/>
        </w:rPr>
      </w:pPr>
    </w:p>
    <w:p>
      <w:pPr>
        <w:ind w:left="267" w:right="20" w:hanging="267"/>
        <w:spacing w:after="0" w:line="180" w:lineRule="auto"/>
        <w:tabs>
          <w:tab w:leader="none" w:pos="267" w:val="left"/>
        </w:tabs>
        <w:numPr>
          <w:ilvl w:val="0"/>
          <w:numId w:val="36"/>
        </w:numPr>
        <w:rPr>
          <w:rFonts w:ascii="Arial" w:cs="Arial" w:eastAsia="Arial" w:hAnsi="Arial"/>
          <w:sz w:val="36"/>
          <w:szCs w:val="36"/>
          <w:color w:val="00C1DE"/>
          <w:vertAlign w:val="subscript"/>
        </w:rPr>
      </w:pPr>
      <w:r>
        <w:rPr>
          <w:rFonts w:ascii="Arial" w:cs="Arial" w:eastAsia="Arial" w:hAnsi="Arial"/>
          <w:sz w:val="16"/>
          <w:szCs w:val="16"/>
          <w:color w:val="3E3935"/>
        </w:rPr>
        <w:t>No member of the Audit Committee may serve on more than two other public company audit committees.</w:t>
      </w:r>
    </w:p>
    <w:p>
      <w:pPr>
        <w:spacing w:after="0" w:line="113" w:lineRule="exact"/>
        <w:rPr>
          <w:sz w:val="20"/>
          <w:szCs w:val="20"/>
          <w:color w:val="auto"/>
        </w:rPr>
      </w:pPr>
    </w:p>
    <w:p>
      <w:pPr>
        <w:jc w:val="both"/>
        <w:ind w:left="7"/>
        <w:spacing w:after="0" w:line="226" w:lineRule="auto"/>
        <w:rPr>
          <w:sz w:val="20"/>
          <w:szCs w:val="20"/>
          <w:color w:val="auto"/>
        </w:rPr>
      </w:pPr>
      <w:r>
        <w:rPr>
          <w:rFonts w:ascii="Arial" w:cs="Arial" w:eastAsia="Arial" w:hAnsi="Arial"/>
          <w:sz w:val="20"/>
          <w:szCs w:val="20"/>
          <w:color w:val="3E3935"/>
        </w:rPr>
        <w:t>In general, senior members of management may not serve on the board of more than one other public company or for-profit entity, and executive officers must obtain the approval of the Governance Committee prior to accepting an invitation to serve on an outside board. All directors and senior members of management are in compliance with this policy.</w:t>
      </w:r>
    </w:p>
    <w:p>
      <w:pPr>
        <w:spacing w:after="0" w:line="286"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262" w:lineRule="exact"/>
        <w:rPr>
          <w:sz w:val="20"/>
          <w:szCs w:val="20"/>
          <w:color w:val="auto"/>
        </w:rPr>
      </w:pPr>
    </w:p>
    <w:p>
      <w:pPr>
        <w:ind w:left="700" w:hanging="533"/>
        <w:spacing w:after="0"/>
        <w:tabs>
          <w:tab w:leader="none" w:pos="700" w:val="left"/>
        </w:tabs>
        <w:numPr>
          <w:ilvl w:val="0"/>
          <w:numId w:val="37"/>
        </w:numPr>
        <w:rPr>
          <w:rFonts w:ascii="Arial" w:cs="Arial" w:eastAsia="Arial" w:hAnsi="Arial"/>
          <w:sz w:val="20"/>
          <w:szCs w:val="20"/>
          <w:color w:val="0071CE"/>
        </w:rPr>
      </w:pPr>
      <w:r>
        <w:rPr>
          <w:rFonts w:ascii="Arial" w:cs="Arial" w:eastAsia="Arial" w:hAnsi="Arial"/>
          <w:sz w:val="24"/>
          <w:szCs w:val="24"/>
          <w:color w:val="3E3935"/>
        </w:rPr>
        <w:t>Compensation Committee Interlocks and Insider Participation</w:t>
      </w:r>
    </w:p>
    <w:p>
      <w:pPr>
        <w:sectPr>
          <w:pgSz w:w="11900" w:h="16838" w:orient="portrait"/>
          <w:cols w:equalWidth="0" w:num="1">
            <w:col w:w="11080"/>
          </w:cols>
          <w:pgMar w:left="320" w:top="456" w:right="499" w:bottom="1440" w:gutter="0" w:footer="0" w:header="0"/>
          <w:type w:val="continuous"/>
        </w:sectPr>
      </w:pPr>
    </w:p>
    <w:p>
      <w:pPr>
        <w:spacing w:after="0" w:line="21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Mses. Stephenson and Russo and Messrs. Bush and Jimenez served on the Compensation Committee in 2020. As of the date of this Proxy Statement, no member of the Compensation Committee was or is a GM officer or employee,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and no executive officer of the Company served or serves on the compensation committee or board of any company that employed or employs any member of the Company’s Compensation Committee or Board.</w:t>
      </w:r>
    </w:p>
    <w:p>
      <w:pPr>
        <w:spacing w:after="0" w:line="413"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3"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Shareholder Engagement</w:t>
      </w:r>
    </w:p>
    <w:p>
      <w:pPr>
        <w:spacing w:after="0" w:line="202"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Company routinely engages with shareholders and stakeholders to help the Board and management gain feedback on a variety of topics.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For example, every year since 2017, the Board has invited at least one shareholder to a Board meeting to provide its perspective on the Company’s strategic direction. In 2020,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194945</wp:posOffset>
            </wp:positionV>
            <wp:extent cx="5927725" cy="101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91"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27</w:t>
      </w:r>
    </w:p>
    <w:p>
      <w:pPr>
        <w:sectPr>
          <w:pgSz w:w="11900" w:h="16838" w:orient="portrait"/>
          <w:cols w:equalWidth="0" w:num="2">
            <w:col w:w="5400" w:space="340"/>
            <w:col w:w="5340"/>
          </w:cols>
          <w:pgMar w:left="320" w:top="456" w:right="4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69"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first time, the Board invited a non-GM shareholder into the boardroom to solicit perspectives on potential actions the Company could take to attract new investors. The constructive insights, experiences, and ideas exchanged during these engagements have helped the Board evaluate and assess key initiatives during the Company’s ongoing transition to an all-electric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Members of the Board and senior management also regularly engage with institutional shareholders on topics including executive compensation, Board composition and leadership structure, as well as on important environmental and social issues. The table below provides an overview of common themes we have heard that led to boardroom discussion and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-1528445</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389890</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5640" w:type="dxa"/>
            <w:vAlign w:val="bottom"/>
          </w:tcPr>
          <w:p>
            <w:pPr>
              <w:ind w:left="2440"/>
              <w:spacing w:after="0"/>
              <w:rPr>
                <w:sz w:val="20"/>
                <w:szCs w:val="20"/>
                <w:color w:val="auto"/>
              </w:rPr>
            </w:pPr>
            <w:r>
              <w:rPr>
                <w:rFonts w:ascii="Arial" w:cs="Arial" w:eastAsia="Arial" w:hAnsi="Arial"/>
                <w:sz w:val="18"/>
                <w:szCs w:val="18"/>
                <w:b w:val="1"/>
                <w:bCs w:val="1"/>
                <w:color w:val="00C1DE"/>
              </w:rPr>
              <w:t>Message</w:t>
            </w:r>
          </w:p>
        </w:tc>
        <w:tc>
          <w:tcPr>
            <w:tcW w:w="5280" w:type="dxa"/>
            <w:vAlign w:val="bottom"/>
          </w:tcPr>
          <w:p>
            <w:pPr>
              <w:ind w:left="2380"/>
              <w:spacing w:after="0"/>
              <w:rPr>
                <w:sz w:val="20"/>
                <w:szCs w:val="20"/>
                <w:color w:val="auto"/>
              </w:rPr>
            </w:pPr>
            <w:r>
              <w:rPr>
                <w:rFonts w:ascii="Arial" w:cs="Arial" w:eastAsia="Arial" w:hAnsi="Arial"/>
                <w:sz w:val="18"/>
                <w:szCs w:val="18"/>
                <w:b w:val="1"/>
                <w:bCs w:val="1"/>
                <w:color w:val="00C1DE"/>
              </w:rPr>
              <w:t>Actions</w:t>
            </w:r>
          </w:p>
        </w:tc>
      </w:tr>
      <w:tr>
        <w:trPr>
          <w:trHeight w:val="55"/>
        </w:trPr>
        <w:tc>
          <w:tcPr>
            <w:tcW w:w="5640" w:type="dxa"/>
            <w:vAlign w:val="bottom"/>
            <w:tcBorders>
              <w:bottom w:val="single" w:sz="8" w:color="00C1DE"/>
            </w:tcBorders>
          </w:tcPr>
          <w:p>
            <w:pPr>
              <w:spacing w:after="0"/>
              <w:rPr>
                <w:sz w:val="4"/>
                <w:szCs w:val="4"/>
                <w:color w:val="auto"/>
              </w:rPr>
            </w:pPr>
          </w:p>
        </w:tc>
        <w:tc>
          <w:tcPr>
            <w:tcW w:w="5280" w:type="dxa"/>
            <w:vAlign w:val="bottom"/>
            <w:tcBorders>
              <w:bottom w:val="single" w:sz="8" w:color="00C1DE"/>
            </w:tcBorders>
          </w:tcPr>
          <w:p>
            <w:pPr>
              <w:spacing w:after="0"/>
              <w:rPr>
                <w:sz w:val="4"/>
                <w:szCs w:val="4"/>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3E3935"/>
                <w:w w:val="99"/>
              </w:rPr>
              <w:t>Encouraged to communicate the Board’s succession plan given</w:t>
            </w:r>
          </w:p>
        </w:tc>
        <w:tc>
          <w:tcPr>
            <w:tcW w:w="5280" w:type="dxa"/>
            <w:vAlign w:val="bottom"/>
          </w:tcPr>
          <w:p>
            <w:pPr>
              <w:ind w:left="60"/>
              <w:spacing w:after="0"/>
              <w:rPr>
                <w:sz w:val="20"/>
                <w:szCs w:val="20"/>
                <w:color w:val="auto"/>
              </w:rPr>
            </w:pPr>
            <w:r>
              <w:rPr>
                <w:rFonts w:ascii="Arial" w:cs="Arial" w:eastAsia="Arial" w:hAnsi="Arial"/>
                <w:sz w:val="20"/>
                <w:szCs w:val="20"/>
                <w:color w:val="3E3935"/>
              </w:rPr>
              <w:t>For a discussion of the actions taken to transition the</w:t>
            </w:r>
          </w:p>
        </w:tc>
      </w:tr>
      <w:tr>
        <w:trPr>
          <w:trHeight w:val="214"/>
        </w:trPr>
        <w:tc>
          <w:tcPr>
            <w:tcW w:w="5640" w:type="dxa"/>
            <w:vAlign w:val="bottom"/>
          </w:tcPr>
          <w:p>
            <w:pPr>
              <w:spacing w:after="0" w:line="214" w:lineRule="exact"/>
              <w:rPr>
                <w:sz w:val="20"/>
                <w:szCs w:val="20"/>
                <w:color w:val="auto"/>
              </w:rPr>
            </w:pPr>
            <w:r>
              <w:rPr>
                <w:rFonts w:ascii="Arial" w:cs="Arial" w:eastAsia="Arial" w:hAnsi="Arial"/>
                <w:sz w:val="20"/>
                <w:szCs w:val="20"/>
                <w:color w:val="3E3935"/>
              </w:rPr>
              <w:t>Mr. Solso’s retirement.</w:t>
            </w: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Independent Lead Director role, see page 17 of this Proxy</w:t>
            </w:r>
          </w:p>
        </w:tc>
      </w:tr>
      <w:tr>
        <w:trPr>
          <w:trHeight w:val="235"/>
        </w:trPr>
        <w:tc>
          <w:tcPr>
            <w:tcW w:w="56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20"/>
                <w:szCs w:val="20"/>
                <w:color w:val="3E3935"/>
              </w:rPr>
              <w:t>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31115</wp:posOffset>
            </wp:positionV>
            <wp:extent cx="69297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112" w:lineRule="exact"/>
        <w:rPr>
          <w:sz w:val="20"/>
          <w:szCs w:val="20"/>
          <w:color w:val="auto"/>
        </w:rPr>
      </w:pPr>
    </w:p>
    <w:p>
      <w:pPr>
        <w:ind w:left="160"/>
        <w:spacing w:after="0"/>
        <w:rPr>
          <w:sz w:val="20"/>
          <w:szCs w:val="20"/>
          <w:color w:val="auto"/>
        </w:rPr>
      </w:pPr>
      <w:r>
        <w:rPr>
          <w:rFonts w:ascii="Arial" w:cs="Arial" w:eastAsia="Arial" w:hAnsi="Arial"/>
          <w:sz w:val="19"/>
          <w:szCs w:val="19"/>
          <w:color w:val="3E3935"/>
        </w:rPr>
        <w:t>Encouraged to enhance climate change disclosures.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Please see the 2020 Sustainability Report for specific information regarding the Company’s recently announced plans to be carbon neutral by 2040 and the science-based targets we set to achieve those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33020</wp:posOffset>
            </wp:positionV>
            <wp:extent cx="69297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20"/>
                <w:szCs w:val="20"/>
                <w:color w:val="3E3935"/>
              </w:rPr>
              <w:t>Encouraged  to  enhance  disclosures  regarding  lobbying</w:t>
            </w:r>
          </w:p>
        </w:tc>
        <w:tc>
          <w:tcPr>
            <w:tcW w:w="5280" w:type="dxa"/>
            <w:vAlign w:val="bottom"/>
          </w:tcPr>
          <w:p>
            <w:pPr>
              <w:ind w:left="60"/>
              <w:spacing w:after="0"/>
              <w:rPr>
                <w:sz w:val="20"/>
                <w:szCs w:val="20"/>
                <w:color w:val="auto"/>
              </w:rPr>
            </w:pPr>
            <w:r>
              <w:rPr>
                <w:rFonts w:ascii="Arial" w:cs="Arial" w:eastAsia="Arial" w:hAnsi="Arial"/>
                <w:sz w:val="20"/>
                <w:szCs w:val="20"/>
                <w:color w:val="3E3935"/>
              </w:rPr>
              <w:t xml:space="preserve">Please  see  </w:t>
            </w:r>
            <w:r>
              <w:rPr>
                <w:rFonts w:ascii="Arial" w:cs="Arial" w:eastAsia="Arial" w:hAnsi="Arial"/>
                <w:sz w:val="20"/>
                <w:szCs w:val="20"/>
                <w:i w:val="1"/>
                <w:iCs w:val="1"/>
                <w:color w:val="00C1DE"/>
              </w:rPr>
              <w:t>gm.com</w:t>
            </w:r>
            <w:r>
              <w:rPr>
                <w:rFonts w:ascii="Arial" w:cs="Arial" w:eastAsia="Arial" w:hAnsi="Arial"/>
                <w:sz w:val="20"/>
                <w:szCs w:val="20"/>
                <w:color w:val="3E3935"/>
              </w:rPr>
              <w:t xml:space="preserve">  for  actions  taken  to  enhance  our</w:t>
            </w:r>
          </w:p>
        </w:tc>
      </w:tr>
      <w:tr>
        <w:trPr>
          <w:trHeight w:val="214"/>
        </w:trPr>
        <w:tc>
          <w:tcPr>
            <w:tcW w:w="5640" w:type="dxa"/>
            <w:vAlign w:val="bottom"/>
          </w:tcPr>
          <w:p>
            <w:pPr>
              <w:spacing w:after="0" w:line="214" w:lineRule="exact"/>
              <w:rPr>
                <w:sz w:val="20"/>
                <w:szCs w:val="20"/>
                <w:color w:val="auto"/>
              </w:rPr>
            </w:pPr>
            <w:r>
              <w:rPr>
                <w:rFonts w:ascii="Arial" w:cs="Arial" w:eastAsia="Arial" w:hAnsi="Arial"/>
                <w:sz w:val="20"/>
                <w:szCs w:val="20"/>
                <w:color w:val="3E3935"/>
              </w:rPr>
              <w:t>expenditures and public policy priorities.</w:t>
            </w: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lobbying disclosure to (1) publish a list of our primary trade</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association  memberships  (i.e.,  those  trade  associations</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where in excess of $25,000 of our membership dues were</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used for lobbying activities); (2) outline our top state and</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federal policy priorities; and (3) discuss how the Board and</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w w:val="98"/>
              </w:rPr>
              <w:t>management oversee our lobbying and political activities. In</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addition, prior to December 31, 2021, we will provide a</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w w:val="97"/>
              </w:rPr>
              <w:t>report that will disclose how GM’s lobbying activity is aligned</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with the Paris Agreement’s goal of limiting average global</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w w:val="98"/>
              </w:rPr>
              <w:t>warming to below 2° Celsius, which we believe our lobbying</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for policies supporting our vision for zero crashes, zero</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w w:val="97"/>
              </w:rPr>
              <w:t>emissions, and zero congestion does, and if GM determines</w:t>
            </w:r>
          </w:p>
        </w:tc>
      </w:tr>
      <w:tr>
        <w:trPr>
          <w:trHeight w:val="214"/>
        </w:trPr>
        <w:tc>
          <w:tcPr>
            <w:tcW w:w="5640" w:type="dxa"/>
            <w:vAlign w:val="bottom"/>
          </w:tcPr>
          <w:p>
            <w:pPr>
              <w:spacing w:after="0"/>
              <w:rPr>
                <w:sz w:val="18"/>
                <w:szCs w:val="18"/>
                <w:color w:val="auto"/>
              </w:rPr>
            </w:pP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there is misalignment (with the Paris Agreement), we will</w:t>
            </w:r>
          </w:p>
        </w:tc>
      </w:tr>
      <w:tr>
        <w:trPr>
          <w:trHeight w:val="235"/>
        </w:trPr>
        <w:tc>
          <w:tcPr>
            <w:tcW w:w="56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20"/>
                <w:szCs w:val="20"/>
                <w:color w:val="3E3935"/>
              </w:rPr>
              <w:t>highlight GM’s actions to mitigate.</w:t>
            </w:r>
          </w:p>
        </w:tc>
      </w:tr>
      <w:tr>
        <w:trPr>
          <w:trHeight w:val="49"/>
        </w:trPr>
        <w:tc>
          <w:tcPr>
            <w:tcW w:w="5640" w:type="dxa"/>
            <w:vAlign w:val="bottom"/>
            <w:tcBorders>
              <w:bottom w:val="single" w:sz="8" w:color="3E3935"/>
            </w:tcBorders>
          </w:tcPr>
          <w:p>
            <w:pPr>
              <w:spacing w:after="0"/>
              <w:rPr>
                <w:sz w:val="4"/>
                <w:szCs w:val="4"/>
                <w:color w:val="auto"/>
              </w:rPr>
            </w:pPr>
          </w:p>
        </w:tc>
        <w:tc>
          <w:tcPr>
            <w:tcW w:w="5280" w:type="dxa"/>
            <w:vAlign w:val="bottom"/>
            <w:tcBorders>
              <w:bottom w:val="single" w:sz="8" w:color="3E3935"/>
            </w:tcBorders>
          </w:tcPr>
          <w:p>
            <w:pPr>
              <w:spacing w:after="0"/>
              <w:rPr>
                <w:sz w:val="4"/>
                <w:szCs w:val="4"/>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3E3935"/>
              </w:rPr>
              <w:t>Encouraged to disclose our Consolidated Federal Employer</w:t>
            </w:r>
          </w:p>
        </w:tc>
        <w:tc>
          <w:tcPr>
            <w:tcW w:w="5280" w:type="dxa"/>
            <w:vAlign w:val="bottom"/>
          </w:tcPr>
          <w:p>
            <w:pPr>
              <w:ind w:left="60"/>
              <w:spacing w:after="0"/>
              <w:rPr>
                <w:sz w:val="20"/>
                <w:szCs w:val="20"/>
                <w:color w:val="auto"/>
              </w:rPr>
            </w:pPr>
            <w:r>
              <w:rPr>
                <w:rFonts w:ascii="Arial" w:cs="Arial" w:eastAsia="Arial" w:hAnsi="Arial"/>
                <w:sz w:val="20"/>
                <w:szCs w:val="20"/>
                <w:color w:val="3E3935"/>
              </w:rPr>
              <w:t>We have committed to disclosing our annual Consolidated</w:t>
            </w:r>
          </w:p>
        </w:tc>
      </w:tr>
      <w:tr>
        <w:trPr>
          <w:trHeight w:val="214"/>
        </w:trPr>
        <w:tc>
          <w:tcPr>
            <w:tcW w:w="5640" w:type="dxa"/>
            <w:vAlign w:val="bottom"/>
          </w:tcPr>
          <w:p>
            <w:pPr>
              <w:spacing w:after="0" w:line="214" w:lineRule="exact"/>
              <w:rPr>
                <w:sz w:val="20"/>
                <w:szCs w:val="20"/>
                <w:color w:val="auto"/>
              </w:rPr>
            </w:pPr>
            <w:r>
              <w:rPr>
                <w:rFonts w:ascii="Arial" w:cs="Arial" w:eastAsia="Arial" w:hAnsi="Arial"/>
                <w:sz w:val="20"/>
                <w:szCs w:val="20"/>
                <w:color w:val="3E3935"/>
              </w:rPr>
              <w:t>Information Report (EEO-1) and take action to help create a</w:t>
            </w: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rPr>
              <w:t>EEO-1 Report beginning in 2021. We will be posting GM’s</w:t>
            </w:r>
          </w:p>
        </w:tc>
      </w:tr>
      <w:tr>
        <w:trPr>
          <w:trHeight w:val="235"/>
        </w:trPr>
        <w:tc>
          <w:tcPr>
            <w:tcW w:w="5640" w:type="dxa"/>
            <w:vAlign w:val="bottom"/>
          </w:tcPr>
          <w:p>
            <w:pPr>
              <w:spacing w:after="0"/>
              <w:rPr>
                <w:sz w:val="20"/>
                <w:szCs w:val="20"/>
                <w:color w:val="auto"/>
              </w:rPr>
            </w:pPr>
            <w:r>
              <w:rPr>
                <w:rFonts w:ascii="Arial" w:cs="Arial" w:eastAsia="Arial" w:hAnsi="Arial"/>
                <w:sz w:val="20"/>
                <w:szCs w:val="20"/>
                <w:color w:val="3E3935"/>
              </w:rPr>
              <w:t>more diverse workforce.</w:t>
            </w:r>
          </w:p>
        </w:tc>
        <w:tc>
          <w:tcPr>
            <w:tcW w:w="5280" w:type="dxa"/>
            <w:vAlign w:val="bottom"/>
          </w:tcPr>
          <w:p>
            <w:pPr>
              <w:ind w:left="60"/>
              <w:spacing w:after="0"/>
              <w:rPr>
                <w:sz w:val="20"/>
                <w:szCs w:val="20"/>
                <w:color w:val="auto"/>
              </w:rPr>
            </w:pPr>
            <w:r>
              <w:rPr>
                <w:rFonts w:ascii="Arial" w:cs="Arial" w:eastAsia="Arial" w:hAnsi="Arial"/>
                <w:sz w:val="20"/>
                <w:szCs w:val="20"/>
                <w:color w:val="3E3935"/>
              </w:rPr>
              <w:t>2020 Consolidated EEO-1 Report to our website.</w:t>
            </w:r>
          </w:p>
        </w:tc>
      </w:tr>
      <w:tr>
        <w:trPr>
          <w:trHeight w:val="49"/>
        </w:trPr>
        <w:tc>
          <w:tcPr>
            <w:tcW w:w="5640" w:type="dxa"/>
            <w:vAlign w:val="bottom"/>
            <w:tcBorders>
              <w:bottom w:val="single" w:sz="8" w:color="3E3935"/>
            </w:tcBorders>
          </w:tcPr>
          <w:p>
            <w:pPr>
              <w:spacing w:after="0"/>
              <w:rPr>
                <w:sz w:val="4"/>
                <w:szCs w:val="4"/>
                <w:color w:val="auto"/>
              </w:rPr>
            </w:pPr>
          </w:p>
        </w:tc>
        <w:tc>
          <w:tcPr>
            <w:tcW w:w="5280" w:type="dxa"/>
            <w:vAlign w:val="bottom"/>
            <w:tcBorders>
              <w:bottom w:val="single" w:sz="8" w:color="3E3935"/>
            </w:tcBorders>
          </w:tcPr>
          <w:p>
            <w:pPr>
              <w:spacing w:after="0"/>
              <w:rPr>
                <w:sz w:val="4"/>
                <w:szCs w:val="4"/>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20"/>
                <w:szCs w:val="20"/>
                <w:color w:val="3E3935"/>
              </w:rPr>
              <w:t>Encouraged to report on the Company’s systems to ensure</w:t>
            </w:r>
          </w:p>
        </w:tc>
        <w:tc>
          <w:tcPr>
            <w:tcW w:w="5280" w:type="dxa"/>
            <w:vAlign w:val="bottom"/>
          </w:tcPr>
          <w:p>
            <w:pPr>
              <w:ind w:left="60"/>
              <w:spacing w:after="0"/>
              <w:rPr>
                <w:sz w:val="20"/>
                <w:szCs w:val="20"/>
                <w:color w:val="auto"/>
              </w:rPr>
            </w:pPr>
            <w:r>
              <w:rPr>
                <w:rFonts w:ascii="Arial" w:cs="Arial" w:eastAsia="Arial" w:hAnsi="Arial"/>
                <w:sz w:val="20"/>
                <w:szCs w:val="20"/>
                <w:color w:val="3E3935"/>
              </w:rPr>
              <w:t>We plan to revise our Human Rights Policy to align more</w:t>
            </w:r>
          </w:p>
        </w:tc>
      </w:tr>
      <w:tr>
        <w:trPr>
          <w:trHeight w:val="214"/>
        </w:trPr>
        <w:tc>
          <w:tcPr>
            <w:tcW w:w="5640" w:type="dxa"/>
            <w:vAlign w:val="bottom"/>
          </w:tcPr>
          <w:p>
            <w:pPr>
              <w:spacing w:after="0" w:line="214" w:lineRule="exact"/>
              <w:rPr>
                <w:sz w:val="20"/>
                <w:szCs w:val="20"/>
                <w:color w:val="auto"/>
              </w:rPr>
            </w:pPr>
            <w:r>
              <w:rPr>
                <w:rFonts w:ascii="Arial" w:cs="Arial" w:eastAsia="Arial" w:hAnsi="Arial"/>
                <w:sz w:val="20"/>
                <w:szCs w:val="20"/>
                <w:color w:val="3E3935"/>
              </w:rPr>
              <w:t>effective implementation of our Human Rights Policy.</w:t>
            </w:r>
          </w:p>
        </w:tc>
        <w:tc>
          <w:tcPr>
            <w:tcW w:w="5280" w:type="dxa"/>
            <w:vAlign w:val="bottom"/>
          </w:tcPr>
          <w:p>
            <w:pPr>
              <w:ind w:left="60"/>
              <w:spacing w:after="0" w:line="214" w:lineRule="exact"/>
              <w:rPr>
                <w:sz w:val="20"/>
                <w:szCs w:val="20"/>
                <w:color w:val="auto"/>
              </w:rPr>
            </w:pPr>
            <w:r>
              <w:rPr>
                <w:rFonts w:ascii="Arial" w:cs="Arial" w:eastAsia="Arial" w:hAnsi="Arial"/>
                <w:sz w:val="20"/>
                <w:szCs w:val="20"/>
                <w:color w:val="3E3935"/>
                <w:w w:val="98"/>
              </w:rPr>
              <w:t>strongly with international human rights frameworks. Please</w:t>
            </w:r>
          </w:p>
        </w:tc>
      </w:tr>
      <w:tr>
        <w:trPr>
          <w:trHeight w:val="235"/>
        </w:trPr>
        <w:tc>
          <w:tcPr>
            <w:tcW w:w="56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20"/>
                <w:szCs w:val="20"/>
                <w:color w:val="3E3935"/>
              </w:rPr>
              <w:t>see the 2020 Sustainability Report for more information.</w:t>
            </w:r>
          </w:p>
        </w:tc>
      </w:tr>
      <w:tr>
        <w:trPr>
          <w:trHeight w:val="49"/>
        </w:trPr>
        <w:tc>
          <w:tcPr>
            <w:tcW w:w="5640" w:type="dxa"/>
            <w:vAlign w:val="bottom"/>
            <w:tcBorders>
              <w:bottom w:val="single" w:sz="8" w:color="0071CE"/>
            </w:tcBorders>
          </w:tcPr>
          <w:p>
            <w:pPr>
              <w:spacing w:after="0"/>
              <w:rPr>
                <w:sz w:val="4"/>
                <w:szCs w:val="4"/>
                <w:color w:val="auto"/>
              </w:rPr>
            </w:pPr>
          </w:p>
        </w:tc>
        <w:tc>
          <w:tcPr>
            <w:tcW w:w="5280" w:type="dxa"/>
            <w:vAlign w:val="bottom"/>
            <w:tcBorders>
              <w:bottom w:val="single" w:sz="8" w:color="0071CE"/>
            </w:tcBorders>
          </w:tcPr>
          <w:p>
            <w:pPr>
              <w:spacing w:after="0"/>
              <w:rPr>
                <w:sz w:val="4"/>
                <w:szCs w:val="4"/>
                <w:color w:val="auto"/>
              </w:rPr>
            </w:pPr>
          </w:p>
        </w:tc>
      </w:tr>
    </w:tbl>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See page 44 of this Proxy Statement for feedback and actions taken related to GM’s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85725</wp:posOffset>
            </wp:positionV>
            <wp:extent cx="5927725" cy="101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9" w:lineRule="exact"/>
        <w:rPr>
          <w:sz w:val="20"/>
          <w:szCs w:val="20"/>
          <w:color w:val="auto"/>
        </w:rPr>
      </w:pPr>
    </w:p>
    <w:p>
      <w:pPr>
        <w:jc w:val="center"/>
        <w:ind w:right="10580"/>
        <w:spacing w:after="0"/>
        <w:rPr>
          <w:sz w:val="20"/>
          <w:szCs w:val="20"/>
          <w:color w:val="auto"/>
        </w:rPr>
      </w:pPr>
      <w:r>
        <w:rPr>
          <w:rFonts w:ascii="Arial" w:cs="Arial" w:eastAsia="Arial" w:hAnsi="Arial"/>
          <w:sz w:val="14"/>
          <w:szCs w:val="14"/>
          <w:color w:val="0071CE"/>
        </w:rPr>
        <w:t>28</w:t>
      </w:r>
    </w:p>
    <w:p>
      <w:pPr>
        <w:sectPr>
          <w:pgSz w:w="11900" w:h="16838" w:orient="portrait"/>
          <w:cols w:equalWidth="0" w:num="1">
            <w:col w:w="11080"/>
          </w:cols>
          <w:pgMar w:left="320" w:top="456"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202565</wp:posOffset>
            </wp:positionV>
            <wp:extent cx="5868035" cy="1197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6803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Corporate Political Contributions and Lobbying Expenditures</w:t>
      </w:r>
    </w:p>
    <w:p>
      <w:pPr>
        <w:spacing w:after="0" w:line="259" w:lineRule="exact"/>
        <w:rPr>
          <w:sz w:val="20"/>
          <w:szCs w:val="20"/>
          <w:color w:val="auto"/>
        </w:rPr>
      </w:pPr>
    </w:p>
    <w:p>
      <w:pPr>
        <w:ind w:left="700" w:hanging="533"/>
        <w:spacing w:after="0"/>
        <w:tabs>
          <w:tab w:leader="none" w:pos="700" w:val="left"/>
        </w:tabs>
        <w:numPr>
          <w:ilvl w:val="0"/>
          <w:numId w:val="38"/>
        </w:numPr>
        <w:rPr>
          <w:rFonts w:ascii="Arial" w:cs="Arial" w:eastAsia="Arial" w:hAnsi="Arial"/>
          <w:sz w:val="21"/>
          <w:szCs w:val="21"/>
          <w:color w:val="0071CE"/>
        </w:rPr>
      </w:pPr>
      <w:r>
        <w:rPr>
          <w:rFonts w:ascii="Arial" w:cs="Arial" w:eastAsia="Arial" w:hAnsi="Arial"/>
          <w:sz w:val="25"/>
          <w:szCs w:val="25"/>
          <w:color w:val="3E3935"/>
        </w:rPr>
        <w:t>Board Oversight</w:t>
      </w:r>
    </w:p>
    <w:p>
      <w:pPr>
        <w:sectPr>
          <w:pgSz w:w="11900" w:h="16838" w:orient="portrait"/>
          <w:cols w:equalWidth="0" w:num="1">
            <w:col w:w="11080"/>
          </w:cols>
          <w:pgMar w:left="320" w:top="456" w:right="499" w:bottom="1440" w:gutter="0" w:footer="0" w:header="0"/>
        </w:sectPr>
      </w:pP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We participate in the political process to help shape public policy and address legislation that impacts GM, our industry, our shareholders, and other stakeholders. GM has supported and will continue to support public policies that drive the achievement of our long-term, sustainable growth. To guide our activities, the Board has adopted a U.S. Corporate Political Contributions and Expenditures Policy (“Political Contributions Policy”).</w:t>
      </w:r>
    </w:p>
    <w:p>
      <w:pPr>
        <w:spacing w:after="0" w:line="126"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Governance Committee oversees the Political Contributions Policy and annually reviews the Company’s engagement in the public policy process. The Governance Committee also annually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3E3935"/>
        </w:rPr>
        <w:t>reviews all corporate political contributions, GM Political Action Committee contributions and expenditures (which are funded entirely by voluntary director and employee contributions), and the process by which such contributions and expenditures are made. Management also provides updates twice per year to the Governance Committee regarding the Company’s lobbying expenditures. In addition, the full Board also receives a monthly report on the most pressing public policy issues. The Board uses this report to continuously assess which issues are important to the Company’s long-term interests and which organizations the Company is working with to advance those interests.</w:t>
      </w:r>
    </w:p>
    <w:p>
      <w:pPr>
        <w:spacing w:after="0" w:line="34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9" w:lineRule="exact"/>
        <w:rPr>
          <w:sz w:val="20"/>
          <w:szCs w:val="20"/>
          <w:color w:val="auto"/>
        </w:rPr>
      </w:pPr>
    </w:p>
    <w:p>
      <w:pPr>
        <w:ind w:left="700" w:hanging="533"/>
        <w:spacing w:after="0"/>
        <w:tabs>
          <w:tab w:leader="none" w:pos="700" w:val="left"/>
        </w:tabs>
        <w:numPr>
          <w:ilvl w:val="0"/>
          <w:numId w:val="39"/>
        </w:numPr>
        <w:rPr>
          <w:rFonts w:ascii="Arial" w:cs="Arial" w:eastAsia="Arial" w:hAnsi="Arial"/>
          <w:sz w:val="21"/>
          <w:szCs w:val="21"/>
          <w:color w:val="0071CE"/>
        </w:rPr>
      </w:pPr>
      <w:r>
        <w:rPr>
          <w:rFonts w:ascii="Arial" w:cs="Arial" w:eastAsia="Arial" w:hAnsi="Arial"/>
          <w:sz w:val="25"/>
          <w:szCs w:val="25"/>
          <w:color w:val="3E3935"/>
        </w:rPr>
        <w:t>Transparency and Disclosure</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As part of our overall effort to promote political transparency and accountability, GM publishes an annual voluntary report of political contributions. In addition, GM files publicly available federal Lobbying Disclosure Act Reports each quarter, which disclose GM’s lobbying expenditures, describe legislation and general issues that were the topic of communication, and identify the individuals who lobbied on behalf of GM. GM also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files similar periodic reports with state agencies. In 2020, the Center for Political Accountability’s Zicklin Index of Corporate Political Accountability and Disclosure, which benchmarks the political disclosure and accountability policies and practices of leading U.S. public companies, recognized the quality of our disclosures and ranked GM among the First Tier of S&amp;P 500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304800</wp:posOffset>
            </wp:positionV>
            <wp:extent cx="5927725" cy="101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29</w:t>
      </w:r>
    </w:p>
    <w:p>
      <w:pPr>
        <w:sectPr>
          <w:pgSz w:w="11900" w:h="16838" w:orient="portrait"/>
          <w:cols w:equalWidth="0" w:num="2">
            <w:col w:w="5400" w:space="340"/>
            <w:col w:w="5340"/>
          </w:cols>
          <w:pgMar w:left="320" w:top="456" w:right="4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202565</wp:posOffset>
            </wp:positionV>
            <wp:extent cx="5741035" cy="28873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41035"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Shareholder Protections and Governance Best Practices</w:t>
      </w:r>
    </w:p>
    <w:p>
      <w:pPr>
        <w:spacing w:after="0" w:line="148"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Board is committed to governance structures and practices that protect shareholder value and important shareholder rights. The Governance Committee regularly reviews these structures and practices, which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142240</wp:posOffset>
            </wp:positionV>
            <wp:extent cx="5927725" cy="384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27725" cy="384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30</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Certain Relationships and Related Party Transactions</w:t>
      </w:r>
    </w:p>
    <w:p>
      <w:pPr>
        <w:sectPr>
          <w:pgSz w:w="11900" w:h="16838" w:orient="portrait"/>
          <w:cols w:equalWidth="0" w:num="1">
            <w:col w:w="11080"/>
          </w:cols>
          <w:pgMar w:left="320" w:top="456" w:right="499" w:bottom="1440" w:gutter="0" w:footer="0" w:header="0"/>
        </w:sectPr>
      </w:pPr>
    </w:p>
    <w:p>
      <w:pPr>
        <w:spacing w:after="0" w:line="213" w:lineRule="exact"/>
        <w:rPr>
          <w:sz w:val="20"/>
          <w:szCs w:val="20"/>
          <w:color w:val="auto"/>
        </w:rPr>
      </w:pPr>
    </w:p>
    <w:p>
      <w:pPr>
        <w:jc w:val="both"/>
        <w:ind w:left="160"/>
        <w:spacing w:after="0"/>
        <w:rPr>
          <w:sz w:val="20"/>
          <w:szCs w:val="20"/>
          <w:color w:val="auto"/>
        </w:rPr>
      </w:pPr>
      <w:r>
        <w:rPr>
          <w:rFonts w:ascii="Arial" w:cs="Arial" w:eastAsia="Arial" w:hAnsi="Arial"/>
          <w:sz w:val="19"/>
          <w:szCs w:val="19"/>
          <w:color w:val="3E3935"/>
        </w:rPr>
        <w:t>Our Code of Conduct requires all of our employees and directors to avoid any activity that is in conflict with our business interests. In addition, the Board has adopted a written policy regarding the review and approval or ratification of related party transactions (the “Related Party Transactions Policy”). Under the Related Party Transactions Policy, which is administered by our Governance Committee, directors and executive officers must report any potential related party transactions (including transactions involving immediate family members of directors and executive officers) to the General Counsel or Corporate Secretary to determine whether the transaction constitutes a related party transaction. If any member of the Governance Committee has a potential interest in any related party transaction, such member will recuse himself or herself and abstain from voting on the approval or ratification of the related party transaction.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3E3935"/>
        </w:rPr>
        <w:t>For purposes of our Related Party Transactions Policy, a related party transaction includes transactions in which our Company (or a subsidiary), is a participant, the amount involved exceeds $ 120,000, and the related party has or will have a direct or an indirect material interest. Related parties of our Company consist of directors (including nominees for election as directors), executive officers, shareholders beneficially owning more than 5% of the Company’s voting securities, and the immediate family members of these individuals. Once a related party transaction has been identified, the Governance Committee will review all of the relevant facts and circumstances and approve or disapprove entry into the transaction. As required under SEC rules, we disclose all related party transactions annually in our Proxy Statement.</w:t>
      </w:r>
    </w:p>
    <w:p>
      <w:pPr>
        <w:spacing w:after="0" w:line="47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700" w:hanging="533"/>
        <w:spacing w:after="0"/>
        <w:tabs>
          <w:tab w:leader="none" w:pos="700" w:val="left"/>
        </w:tabs>
        <w:numPr>
          <w:ilvl w:val="0"/>
          <w:numId w:val="40"/>
        </w:numPr>
        <w:rPr>
          <w:rFonts w:ascii="Arial" w:cs="Arial" w:eastAsia="Arial" w:hAnsi="Arial"/>
          <w:sz w:val="20"/>
          <w:szCs w:val="20"/>
          <w:color w:val="0071CE"/>
        </w:rPr>
      </w:pPr>
      <w:r>
        <w:rPr>
          <w:rFonts w:ascii="Arial" w:cs="Arial" w:eastAsia="Arial" w:hAnsi="Arial"/>
          <w:sz w:val="24"/>
          <w:szCs w:val="24"/>
          <w:color w:val="3E3935"/>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163195</wp:posOffset>
            </wp:positionV>
            <wp:extent cx="6929755" cy="15284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152844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88" w:lineRule="exact"/>
        <w:rPr>
          <w:sz w:val="20"/>
          <w:szCs w:val="20"/>
          <w:color w:val="auto"/>
        </w:rPr>
      </w:pPr>
    </w:p>
    <w:p>
      <w:pPr>
        <w:jc w:val="both"/>
        <w:ind w:left="480" w:hanging="205"/>
        <w:spacing w:after="0" w:line="214" w:lineRule="auto"/>
        <w:tabs>
          <w:tab w:leader="none" w:pos="458" w:val="left"/>
        </w:tabs>
        <w:numPr>
          <w:ilvl w:val="0"/>
          <w:numId w:val="41"/>
        </w:numPr>
        <w:rPr>
          <w:rFonts w:ascii="Arial" w:cs="Arial" w:eastAsia="Arial" w:hAnsi="Arial"/>
          <w:sz w:val="27"/>
          <w:szCs w:val="27"/>
          <w:color w:val="00C1DE"/>
        </w:rPr>
      </w:pPr>
      <w:r>
        <w:rPr>
          <w:rFonts w:ascii="Arial" w:cs="Arial" w:eastAsia="Arial" w:hAnsi="Arial"/>
          <w:sz w:val="20"/>
          <w:szCs w:val="20"/>
          <w:color w:val="3E3935"/>
        </w:rPr>
        <w:t>Whether the terms of the related party transaction are fair to the Company and on the same basis as if the transaction had occurred on an arm’s-length basis;</w:t>
      </w:r>
    </w:p>
    <w:p>
      <w:pPr>
        <w:spacing w:after="0" w:line="128" w:lineRule="exact"/>
        <w:rPr>
          <w:rFonts w:ascii="Arial" w:cs="Arial" w:eastAsia="Arial" w:hAnsi="Arial"/>
          <w:sz w:val="27"/>
          <w:szCs w:val="27"/>
          <w:color w:val="00C1DE"/>
        </w:rPr>
      </w:pPr>
    </w:p>
    <w:p>
      <w:pPr>
        <w:jc w:val="both"/>
        <w:ind w:left="480" w:hanging="205"/>
        <w:spacing w:after="0" w:line="214" w:lineRule="auto"/>
        <w:tabs>
          <w:tab w:leader="none" w:pos="458" w:val="left"/>
        </w:tabs>
        <w:numPr>
          <w:ilvl w:val="0"/>
          <w:numId w:val="41"/>
        </w:numPr>
        <w:rPr>
          <w:rFonts w:ascii="Arial" w:cs="Arial" w:eastAsia="Arial" w:hAnsi="Arial"/>
          <w:sz w:val="27"/>
          <w:szCs w:val="27"/>
          <w:color w:val="00C1DE"/>
        </w:rPr>
      </w:pPr>
      <w:r>
        <w:rPr>
          <w:rFonts w:ascii="Arial" w:cs="Arial" w:eastAsia="Arial" w:hAnsi="Arial"/>
          <w:sz w:val="20"/>
          <w:szCs w:val="20"/>
          <w:color w:val="3E3935"/>
        </w:rPr>
        <w:t>Whether there are any compelling business reasons for the Company to enter into the related party transaction and the nature of alternative transactions, if any;</w:t>
      </w:r>
    </w:p>
    <w:p>
      <w:pPr>
        <w:spacing w:after="0" w:line="168" w:lineRule="exact"/>
        <w:rPr>
          <w:rFonts w:ascii="Arial" w:cs="Arial" w:eastAsia="Arial" w:hAnsi="Arial"/>
          <w:sz w:val="27"/>
          <w:szCs w:val="27"/>
          <w:color w:val="00C1DE"/>
        </w:rPr>
      </w:pPr>
    </w:p>
    <w:p>
      <w:pPr>
        <w:ind w:left="480" w:hanging="205"/>
        <w:spacing w:after="0" w:line="211" w:lineRule="auto"/>
        <w:tabs>
          <w:tab w:leader="none" w:pos="458" w:val="left"/>
        </w:tabs>
        <w:numPr>
          <w:ilvl w:val="0"/>
          <w:numId w:val="41"/>
        </w:numPr>
        <w:rPr>
          <w:rFonts w:ascii="Arial" w:cs="Arial" w:eastAsia="Arial" w:hAnsi="Arial"/>
          <w:sz w:val="27"/>
          <w:szCs w:val="27"/>
          <w:color w:val="00C1DE"/>
        </w:rPr>
      </w:pPr>
      <w:r>
        <w:rPr>
          <w:rFonts w:ascii="Arial" w:cs="Arial" w:eastAsia="Arial" w:hAnsi="Arial"/>
          <w:sz w:val="20"/>
          <w:szCs w:val="20"/>
          <w:color w:val="3E3935"/>
        </w:rPr>
        <w:t>Whether the related party transaction would impair the independence of an otherwise independent director;</w:t>
      </w:r>
    </w:p>
    <w:p>
      <w:pPr>
        <w:spacing w:after="0" w:line="200" w:lineRule="exact"/>
        <w:rPr>
          <w:sz w:val="20"/>
          <w:szCs w:val="20"/>
          <w:color w:val="auto"/>
        </w:rPr>
      </w:pPr>
    </w:p>
    <w:p>
      <w:pPr>
        <w:spacing w:after="0" w:line="221" w:lineRule="exact"/>
        <w:rPr>
          <w:sz w:val="20"/>
          <w:szCs w:val="20"/>
          <w:color w:val="auto"/>
        </w:rPr>
      </w:pPr>
    </w:p>
    <w:p>
      <w:pPr>
        <w:jc w:val="both"/>
        <w:ind w:left="160" w:right="120"/>
        <w:spacing w:after="0" w:line="225" w:lineRule="auto"/>
        <w:rPr>
          <w:sz w:val="20"/>
          <w:szCs w:val="20"/>
          <w:color w:val="auto"/>
        </w:rPr>
      </w:pPr>
      <w:r>
        <w:rPr>
          <w:rFonts w:ascii="Arial" w:cs="Arial" w:eastAsia="Arial" w:hAnsi="Arial"/>
          <w:sz w:val="20"/>
          <w:szCs w:val="20"/>
          <w:color w:val="3E3935"/>
        </w:rPr>
        <w:t>The son of Craig Glidden, our Executive Vice President and General Counsel, is employed by Cruise as a Manager, Reliability and Lifecycle Planning, and in 2020 he had a salary and bonus in excess of $120,000. The SEC has identified employment of immediate family members of directors and executive officers as per-se related person transactions and subject to disclosure if the $120,000 threshold is met. In 2020, two holders of 5% or more of the Company’s common stock – BlackRock and Vanguard – provided</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jc w:val="both"/>
        <w:ind w:left="320" w:right="100" w:hanging="208"/>
        <w:spacing w:after="0" w:line="218" w:lineRule="auto"/>
        <w:tabs>
          <w:tab w:leader="none" w:pos="298" w:val="left"/>
        </w:tabs>
        <w:numPr>
          <w:ilvl w:val="0"/>
          <w:numId w:val="42"/>
        </w:numPr>
        <w:rPr>
          <w:rFonts w:ascii="Arial" w:cs="Arial" w:eastAsia="Arial" w:hAnsi="Arial"/>
          <w:sz w:val="27"/>
          <w:szCs w:val="27"/>
          <w:color w:val="00C1DE"/>
        </w:rPr>
      </w:pPr>
      <w:r>
        <w:rPr>
          <w:rFonts w:ascii="Arial" w:cs="Arial" w:eastAsia="Arial" w:hAnsi="Arial"/>
          <w:sz w:val="20"/>
          <w:szCs w:val="20"/>
          <w:color w:val="3E3935"/>
        </w:rPr>
        <w:t>Whether the Company was notified about the related party transaction before its commencement, and if not, why preapproval was not sought and whether subsequent ratification would be detrimental to the Company; and</w:t>
      </w:r>
    </w:p>
    <w:p>
      <w:pPr>
        <w:spacing w:after="0" w:line="126" w:lineRule="exact"/>
        <w:rPr>
          <w:rFonts w:ascii="Arial" w:cs="Arial" w:eastAsia="Arial" w:hAnsi="Arial"/>
          <w:sz w:val="27"/>
          <w:szCs w:val="27"/>
          <w:color w:val="00C1DE"/>
        </w:rPr>
      </w:pPr>
    </w:p>
    <w:p>
      <w:pPr>
        <w:jc w:val="both"/>
        <w:ind w:left="320" w:right="100" w:hanging="208"/>
        <w:spacing w:after="0" w:line="227" w:lineRule="auto"/>
        <w:tabs>
          <w:tab w:leader="none" w:pos="298" w:val="left"/>
        </w:tabs>
        <w:numPr>
          <w:ilvl w:val="0"/>
          <w:numId w:val="42"/>
        </w:numPr>
        <w:rPr>
          <w:rFonts w:ascii="Arial" w:cs="Arial" w:eastAsia="Arial" w:hAnsi="Arial"/>
          <w:sz w:val="26"/>
          <w:szCs w:val="26"/>
          <w:color w:val="00C1DE"/>
        </w:rPr>
      </w:pPr>
      <w:r>
        <w:rPr>
          <w:rFonts w:ascii="Arial" w:cs="Arial" w:eastAsia="Arial" w:hAnsi="Arial"/>
          <w:sz w:val="19"/>
          <w:szCs w:val="19"/>
          <w:color w:val="3E3935"/>
        </w:rPr>
        <w:t>Whether the related party transaction would present an improper conflict of interest for any director or executive officer of the Company, taking into account the specific facts and circumstances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-1402715</wp:posOffset>
            </wp:positionV>
            <wp:extent cx="3456305" cy="14859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56305" cy="148590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investment management services to Company-sponsored pension plans. The practice of disclosing related party transactions with investment management funds that are also 5% holders of an issuer’s stock is becoming more commonplace. In 2021, GM entered into an agreement for consulting services with Kissinger Associates for approximately $500,000. Our director, Ms. Miscik, is the Chief Executive Officer of Kissinger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447675</wp:posOffset>
            </wp:positionV>
            <wp:extent cx="5927725" cy="1016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5520" w:space="220"/>
            <w:col w:w="5340"/>
          </w:cols>
          <w:pgMar w:left="320" w:top="456" w:right="499" w:bottom="1440" w:gutter="0" w:footer="0" w:header="0"/>
          <w:type w:val="continuous"/>
        </w:sectPr>
      </w:pPr>
    </w:p>
    <w:p>
      <w:pPr>
        <w:spacing w:after="0" w:line="86"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31</w:t>
      </w:r>
    </w:p>
    <w:p>
      <w:pPr>
        <w:sectPr>
          <w:pgSz w:w="11900" w:h="16838" w:orient="portrait"/>
          <w:cols w:equalWidth="0" w:num="1">
            <w:col w:w="11080"/>
          </w:cols>
          <w:pgMar w:left="320" w:top="456" w:right="4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Our Values and How We Behave</w:t>
      </w:r>
    </w:p>
    <w:p>
      <w:pPr>
        <w:sectPr>
          <w:pgSz w:w="11900" w:h="16838" w:orient="portrait"/>
          <w:cols w:equalWidth="0" w:num="1">
            <w:col w:w="11080"/>
          </w:cols>
          <w:pgMar w:left="320" w:top="456" w:right="499" w:bottom="1440" w:gutter="0" w:footer="0" w:header="0"/>
        </w:sectPr>
      </w:pPr>
    </w:p>
    <w:p>
      <w:pPr>
        <w:spacing w:after="0" w:line="340"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Our Values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0071CE"/>
        </w:rPr>
        <w:t>Customers</w:t>
      </w:r>
    </w:p>
    <w:p>
      <w:pPr>
        <w:spacing w:after="0" w:line="17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3E3935"/>
        </w:rPr>
        <w:t>We put the customer at the center of everything we do. We listen intently to our customers’ needs. Each interaction matters. Safety and quality are foundational commitments, never compromised.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4"/>
          <w:szCs w:val="24"/>
          <w:b w:val="1"/>
          <w:bCs w:val="1"/>
          <w:color w:val="0071CE"/>
        </w:rPr>
        <w:t>Relationships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3E3935"/>
        </w:rPr>
        <w:t>Our success depends on our relationships inside and outside the Company. We encourage diverse thinking and collaboration from all over the world to create great customer experiences.</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50"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0071CE"/>
        </w:rPr>
        <w:t>Excellence</w:t>
      </w:r>
    </w:p>
    <w:p>
      <w:pPr>
        <w:spacing w:after="0" w:line="17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3E3935"/>
        </w:rPr>
        <w:t>We act with integrity. We are driven by ingenuity and innovation. We have the courage to do and say what’s difficult. Each of us takes accountability for results, drives for continued efficiencies, and has the tenacity to win.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b w:val="1"/>
          <w:bCs w:val="1"/>
          <w:color w:val="0071CE"/>
        </w:rPr>
        <w:t>Seek Truth</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3E3935"/>
        </w:rPr>
        <w:t>We pursue facts, respectfully challenge assumptions, and clearly define objectives. When we disagree, we provide additional context and consider multiple perspectives.</w:t>
      </w:r>
    </w:p>
    <w:p>
      <w:pPr>
        <w:spacing w:after="0" w:line="4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Our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163195</wp:posOffset>
            </wp:positionV>
            <wp:extent cx="6003925" cy="35496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03925" cy="354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32</w:t>
      </w:r>
    </w:p>
    <w:p>
      <w:pPr>
        <w:sectPr>
          <w:pgSz w:w="11900" w:h="16838" w:orient="portrait"/>
          <w:cols w:equalWidth="0" w:num="1">
            <w:col w:w="11080"/>
          </w:cols>
          <w:pgMar w:left="320" w:top="456" w:right="4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Our People, Our Communities, and Our Environment</w:t>
      </w:r>
    </w:p>
    <w:p>
      <w:pPr>
        <w:sectPr>
          <w:pgSz w:w="11900" w:h="16838" w:orient="portrait"/>
          <w:cols w:equalWidth="0" w:num="1">
            <w:col w:w="11080"/>
          </w:cols>
          <w:pgMar w:left="320" w:top="456" w:right="499" w:bottom="1440" w:gutter="0" w:footer="0" w:header="0"/>
        </w:sectPr>
      </w:pPr>
    </w:p>
    <w:p>
      <w:pPr>
        <w:spacing w:after="0" w:line="341"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Our Social and Environmental Impact strategy represents our commitment to our people, our communities, and our environment. We are proud of our efforts to build an inclusive and unified workforce while responding to a world in need during the COVID-19 pandemic. The GM team rose to the occasion to protect each other, our customers, and our communities. As some of our plants suspended production in the earliest days of the pandemic, our teams rapidly turned to</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producing critical-care ventilators and personal protective equipment for patients and frontline healthcare workers. After our first conversation with Ventec Life Systems, we began production in just 30 days and built 30,000 ventilators in 154 days. Despite the challenges we faced as a society, we remained steadfast in our vision of a world with zero crashes, zero emissions, and zero congestion.</w:t>
      </w:r>
    </w:p>
    <w:p>
      <w:pPr>
        <w:spacing w:after="0" w:line="62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Our People</w:t>
      </w:r>
    </w:p>
    <w:p>
      <w:pPr>
        <w:spacing w:after="0" w:line="202"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We are building a diverse, equitable, and inclusive team that is inspired to make people’s lives safer, more convenient, and more sustainable. In pursuit of our ambition to become the most inclusive company in the world, we are also committed to bringing our workforce along as we transform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3E3935"/>
        </w:rPr>
        <w:t>business and execute GM’s growth strategy. By applying our GM behaviors, we strive to inspire our team across various key dimensions, including teamwork, fairness, trust, growth, commitment, and recognition to make a lasting impact.</w:t>
      </w:r>
    </w:p>
    <w:p>
      <w:pPr>
        <w:spacing w:after="0" w:line="62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5" w:lineRule="exact"/>
        <w:rPr>
          <w:sz w:val="20"/>
          <w:szCs w:val="20"/>
          <w:color w:val="auto"/>
        </w:rPr>
      </w:pPr>
    </w:p>
    <w:p>
      <w:pPr>
        <w:ind w:left="700" w:hanging="533"/>
        <w:spacing w:after="0"/>
        <w:tabs>
          <w:tab w:leader="none" w:pos="700" w:val="left"/>
        </w:tabs>
        <w:numPr>
          <w:ilvl w:val="0"/>
          <w:numId w:val="43"/>
        </w:numPr>
        <w:rPr>
          <w:rFonts w:ascii="Arial" w:cs="Arial" w:eastAsia="Arial" w:hAnsi="Arial"/>
          <w:sz w:val="21"/>
          <w:szCs w:val="21"/>
          <w:color w:val="0071CE"/>
        </w:rPr>
      </w:pPr>
      <w:r>
        <w:rPr>
          <w:rFonts w:ascii="Arial" w:cs="Arial" w:eastAsia="Arial" w:hAnsi="Arial"/>
          <w:sz w:val="25"/>
          <w:szCs w:val="25"/>
          <w:color w:val="3E3935"/>
        </w:rPr>
        <w:t>Key Workforce Priorities</w:t>
      </w:r>
    </w:p>
    <w:p>
      <w:pPr>
        <w:spacing w:after="0" w:line="202" w:lineRule="exact"/>
        <w:rPr>
          <w:sz w:val="20"/>
          <w:szCs w:val="20"/>
          <w:color w:val="auto"/>
        </w:rPr>
      </w:pPr>
    </w:p>
    <w:p>
      <w:pPr>
        <w:ind w:left="400" w:right="20" w:hanging="233"/>
        <w:spacing w:after="0" w:line="223" w:lineRule="auto"/>
        <w:tabs>
          <w:tab w:leader="none" w:pos="400" w:val="left"/>
        </w:tabs>
        <w:numPr>
          <w:ilvl w:val="0"/>
          <w:numId w:val="44"/>
        </w:numPr>
        <w:rPr>
          <w:rFonts w:ascii="Arial" w:cs="Arial" w:eastAsia="Arial" w:hAnsi="Arial"/>
          <w:sz w:val="42"/>
          <w:szCs w:val="42"/>
          <w:color w:val="00C1DE"/>
          <w:vertAlign w:val="subscript"/>
        </w:rPr>
      </w:pPr>
      <w:r>
        <w:rPr>
          <w:rFonts w:ascii="Arial" w:cs="Arial" w:eastAsia="Arial" w:hAnsi="Arial"/>
          <w:sz w:val="17"/>
          <w:szCs w:val="17"/>
          <w:color w:val="0071CE"/>
        </w:rPr>
        <w:t xml:space="preserve">Talent Acquisition: </w:t>
      </w:r>
      <w:r>
        <w:rPr>
          <w:rFonts w:ascii="Arial" w:cs="Arial" w:eastAsia="Arial" w:hAnsi="Arial"/>
          <w:sz w:val="17"/>
          <w:szCs w:val="17"/>
          <w:color w:val="3E3935"/>
        </w:rPr>
        <w:t>Hiring top talent and investing in their</w:t>
      </w:r>
      <w:r>
        <w:rPr>
          <w:rFonts w:ascii="Arial" w:cs="Arial" w:eastAsia="Arial" w:hAnsi="Arial"/>
          <w:sz w:val="17"/>
          <w:szCs w:val="17"/>
          <w:color w:val="0071CE"/>
        </w:rPr>
        <w:t xml:space="preserve"> </w:t>
      </w:r>
      <w:r>
        <w:rPr>
          <w:rFonts w:ascii="Arial" w:cs="Arial" w:eastAsia="Arial" w:hAnsi="Arial"/>
          <w:sz w:val="17"/>
          <w:szCs w:val="17"/>
          <w:color w:val="3E3935"/>
        </w:rPr>
        <w:t>success.</w:t>
      </w:r>
    </w:p>
    <w:p>
      <w:pPr>
        <w:spacing w:after="0" w:line="59" w:lineRule="exact"/>
        <w:rPr>
          <w:rFonts w:ascii="Arial" w:cs="Arial" w:eastAsia="Arial" w:hAnsi="Arial"/>
          <w:sz w:val="42"/>
          <w:szCs w:val="42"/>
          <w:color w:val="00C1DE"/>
          <w:vertAlign w:val="subscript"/>
        </w:rPr>
      </w:pPr>
    </w:p>
    <w:p>
      <w:pPr>
        <w:jc w:val="both"/>
        <w:ind w:left="400" w:hanging="233"/>
        <w:spacing w:after="0" w:line="182" w:lineRule="auto"/>
        <w:tabs>
          <w:tab w:leader="none" w:pos="400" w:val="left"/>
        </w:tabs>
        <w:numPr>
          <w:ilvl w:val="0"/>
          <w:numId w:val="44"/>
        </w:numPr>
        <w:rPr>
          <w:rFonts w:ascii="Arial" w:cs="Arial" w:eastAsia="Arial" w:hAnsi="Arial"/>
          <w:sz w:val="42"/>
          <w:szCs w:val="42"/>
          <w:color w:val="00C1DE"/>
          <w:vertAlign w:val="subscript"/>
        </w:rPr>
      </w:pPr>
      <w:r>
        <w:rPr>
          <w:rFonts w:ascii="Arial" w:cs="Arial" w:eastAsia="Arial" w:hAnsi="Arial"/>
          <w:sz w:val="17"/>
          <w:szCs w:val="17"/>
          <w:color w:val="0071CE"/>
        </w:rPr>
        <w:t xml:space="preserve">Talent Engagement: </w:t>
      </w:r>
      <w:r>
        <w:rPr>
          <w:rFonts w:ascii="Arial" w:cs="Arial" w:eastAsia="Arial" w:hAnsi="Arial"/>
          <w:sz w:val="17"/>
          <w:szCs w:val="17"/>
          <w:color w:val="3E3935"/>
        </w:rPr>
        <w:t>Creating a positive work</w:t>
      </w:r>
      <w:r>
        <w:rPr>
          <w:rFonts w:ascii="Arial" w:cs="Arial" w:eastAsia="Arial" w:hAnsi="Arial"/>
          <w:sz w:val="17"/>
          <w:szCs w:val="17"/>
          <w:color w:val="0071CE"/>
        </w:rPr>
        <w:t xml:space="preserve"> </w:t>
      </w:r>
      <w:r>
        <w:rPr>
          <w:rFonts w:ascii="Arial" w:cs="Arial" w:eastAsia="Arial" w:hAnsi="Arial"/>
          <w:sz w:val="17"/>
          <w:szCs w:val="17"/>
          <w:color w:val="3E3935"/>
        </w:rPr>
        <w:t>environment and a place where employees feel inspired to do their best work and feel valued for doing it.</w:t>
      </w:r>
    </w:p>
    <w:p>
      <w:pPr>
        <w:spacing w:after="0" w:line="59" w:lineRule="exact"/>
        <w:rPr>
          <w:rFonts w:ascii="Arial" w:cs="Arial" w:eastAsia="Arial" w:hAnsi="Arial"/>
          <w:sz w:val="42"/>
          <w:szCs w:val="42"/>
          <w:color w:val="00C1DE"/>
          <w:vertAlign w:val="subscript"/>
        </w:rPr>
      </w:pPr>
    </w:p>
    <w:p>
      <w:pPr>
        <w:ind w:left="400" w:right="20" w:hanging="233"/>
        <w:spacing w:after="0" w:line="180" w:lineRule="auto"/>
        <w:tabs>
          <w:tab w:leader="none" w:pos="400" w:val="left"/>
        </w:tabs>
        <w:numPr>
          <w:ilvl w:val="0"/>
          <w:numId w:val="44"/>
        </w:numPr>
        <w:rPr>
          <w:rFonts w:ascii="Arial" w:cs="Arial" w:eastAsia="Arial" w:hAnsi="Arial"/>
          <w:sz w:val="36"/>
          <w:szCs w:val="36"/>
          <w:color w:val="00C1DE"/>
          <w:vertAlign w:val="subscript"/>
        </w:rPr>
      </w:pPr>
      <w:r>
        <w:rPr>
          <w:rFonts w:ascii="Arial" w:cs="Arial" w:eastAsia="Arial" w:hAnsi="Arial"/>
          <w:sz w:val="16"/>
          <w:szCs w:val="16"/>
          <w:color w:val="0071CE"/>
        </w:rPr>
        <w:t xml:space="preserve">Talent Development: </w:t>
      </w:r>
      <w:r>
        <w:rPr>
          <w:rFonts w:ascii="Arial" w:cs="Arial" w:eastAsia="Arial" w:hAnsi="Arial"/>
          <w:sz w:val="16"/>
          <w:szCs w:val="16"/>
          <w:color w:val="3E3935"/>
        </w:rPr>
        <w:t>Increasing the number and variety</w:t>
      </w:r>
      <w:r>
        <w:rPr>
          <w:rFonts w:ascii="Arial" w:cs="Arial" w:eastAsia="Arial" w:hAnsi="Arial"/>
          <w:sz w:val="16"/>
          <w:szCs w:val="16"/>
          <w:color w:val="0071CE"/>
        </w:rPr>
        <w:t xml:space="preserve"> </w:t>
      </w:r>
      <w:r>
        <w:rPr>
          <w:rFonts w:ascii="Arial" w:cs="Arial" w:eastAsia="Arial" w:hAnsi="Arial"/>
          <w:sz w:val="16"/>
          <w:szCs w:val="16"/>
          <w:color w:val="3E3935"/>
        </w:rPr>
        <w:t>of career resources available to employees.</w:t>
      </w:r>
    </w:p>
    <w:p>
      <w:pPr>
        <w:spacing w:after="0" w:line="59" w:lineRule="exact"/>
        <w:rPr>
          <w:rFonts w:ascii="Arial" w:cs="Arial" w:eastAsia="Arial" w:hAnsi="Arial"/>
          <w:sz w:val="36"/>
          <w:szCs w:val="36"/>
          <w:color w:val="00C1DE"/>
          <w:vertAlign w:val="subscript"/>
        </w:rPr>
      </w:pPr>
    </w:p>
    <w:p>
      <w:pPr>
        <w:ind w:left="400" w:hanging="233"/>
        <w:spacing w:after="0" w:line="180" w:lineRule="auto"/>
        <w:tabs>
          <w:tab w:leader="none" w:pos="400" w:val="left"/>
        </w:tabs>
        <w:numPr>
          <w:ilvl w:val="0"/>
          <w:numId w:val="44"/>
        </w:numPr>
        <w:rPr>
          <w:rFonts w:ascii="Arial" w:cs="Arial" w:eastAsia="Arial" w:hAnsi="Arial"/>
          <w:sz w:val="36"/>
          <w:szCs w:val="36"/>
          <w:color w:val="00C1DE"/>
          <w:vertAlign w:val="subscript"/>
        </w:rPr>
      </w:pPr>
      <w:r>
        <w:rPr>
          <w:rFonts w:ascii="Arial" w:cs="Arial" w:eastAsia="Arial" w:hAnsi="Arial"/>
          <w:sz w:val="16"/>
          <w:szCs w:val="16"/>
          <w:color w:val="0071CE"/>
        </w:rPr>
        <w:t xml:space="preserve">Wellness and Benefits: </w:t>
      </w:r>
      <w:r>
        <w:rPr>
          <w:rFonts w:ascii="Arial" w:cs="Arial" w:eastAsia="Arial" w:hAnsi="Arial"/>
          <w:sz w:val="16"/>
          <w:szCs w:val="16"/>
          <w:color w:val="3E3935"/>
        </w:rPr>
        <w:t>Providing benefits that help</w:t>
      </w:r>
      <w:r>
        <w:rPr>
          <w:rFonts w:ascii="Arial" w:cs="Arial" w:eastAsia="Arial" w:hAnsi="Arial"/>
          <w:sz w:val="16"/>
          <w:szCs w:val="16"/>
          <w:color w:val="0071CE"/>
        </w:rPr>
        <w:t xml:space="preserve"> </w:t>
      </w:r>
      <w:r>
        <w:rPr>
          <w:rFonts w:ascii="Arial" w:cs="Arial" w:eastAsia="Arial" w:hAnsi="Arial"/>
          <w:sz w:val="16"/>
          <w:szCs w:val="16"/>
          <w:color w:val="3E3935"/>
        </w:rPr>
        <w:t>employees balance their jobs with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247" w:right="20"/>
        <w:spacing w:after="0" w:line="227" w:lineRule="auto"/>
        <w:rPr>
          <w:sz w:val="20"/>
          <w:szCs w:val="20"/>
          <w:color w:val="auto"/>
        </w:rPr>
      </w:pPr>
      <w:r>
        <w:rPr>
          <w:rFonts w:ascii="Arial" w:cs="Arial" w:eastAsia="Arial" w:hAnsi="Arial"/>
          <w:sz w:val="20"/>
          <w:szCs w:val="20"/>
          <w:color w:val="3E3935"/>
        </w:rPr>
        <w:t>aspects of their lives: market competitive pay; quality health care; 401(k) plans with Company contributions and matching programs; paid time off for vacations, illness, family care needs, and military leave; physical and mental health and well-being programs; and support for flexible and alternative work arrangements.</w:t>
      </w:r>
    </w:p>
    <w:p>
      <w:pPr>
        <w:spacing w:after="0" w:line="59" w:lineRule="exact"/>
        <w:rPr>
          <w:sz w:val="20"/>
          <w:szCs w:val="20"/>
          <w:color w:val="auto"/>
        </w:rPr>
      </w:pPr>
    </w:p>
    <w:p>
      <w:pPr>
        <w:jc w:val="both"/>
        <w:ind w:left="247" w:right="20" w:hanging="247"/>
        <w:spacing w:after="0" w:line="181" w:lineRule="auto"/>
        <w:tabs>
          <w:tab w:leader="none" w:pos="247" w:val="left"/>
        </w:tabs>
        <w:numPr>
          <w:ilvl w:val="0"/>
          <w:numId w:val="45"/>
        </w:numPr>
        <w:rPr>
          <w:rFonts w:ascii="Arial" w:cs="Arial" w:eastAsia="Arial" w:hAnsi="Arial"/>
          <w:sz w:val="47"/>
          <w:szCs w:val="47"/>
          <w:color w:val="00C1DE"/>
          <w:vertAlign w:val="subscript"/>
        </w:rPr>
      </w:pPr>
      <w:r>
        <w:rPr>
          <w:rFonts w:ascii="Arial" w:cs="Arial" w:eastAsia="Arial" w:hAnsi="Arial"/>
          <w:sz w:val="18"/>
          <w:szCs w:val="18"/>
          <w:color w:val="0071CE"/>
        </w:rPr>
        <w:t xml:space="preserve">Labor Relations: </w:t>
      </w:r>
      <w:r>
        <w:rPr>
          <w:rFonts w:ascii="Arial" w:cs="Arial" w:eastAsia="Arial" w:hAnsi="Arial"/>
          <w:sz w:val="18"/>
          <w:szCs w:val="18"/>
          <w:color w:val="3E3935"/>
        </w:rPr>
        <w:t>Respecting our employees’ right to</w:t>
      </w:r>
      <w:r>
        <w:rPr>
          <w:rFonts w:ascii="Arial" w:cs="Arial" w:eastAsia="Arial" w:hAnsi="Arial"/>
          <w:sz w:val="18"/>
          <w:szCs w:val="18"/>
          <w:color w:val="0071CE"/>
        </w:rPr>
        <w:t xml:space="preserve"> </w:t>
      </w:r>
      <w:r>
        <w:rPr>
          <w:rFonts w:ascii="Arial" w:cs="Arial" w:eastAsia="Arial" w:hAnsi="Arial"/>
          <w:sz w:val="18"/>
          <w:szCs w:val="18"/>
          <w:color w:val="3E3935"/>
        </w:rPr>
        <w:t>freedom of association in all countries, complying with all local labor laws and regulations, and engaging our workforce in our collective future.</w:t>
      </w:r>
    </w:p>
    <w:p>
      <w:pPr>
        <w:spacing w:after="0" w:line="200"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253" w:lineRule="exact"/>
        <w:rPr>
          <w:sz w:val="20"/>
          <w:szCs w:val="20"/>
          <w:color w:val="auto"/>
        </w:rPr>
      </w:pPr>
    </w:p>
    <w:p>
      <w:pPr>
        <w:ind w:left="700" w:hanging="533"/>
        <w:spacing w:after="0"/>
        <w:tabs>
          <w:tab w:leader="none" w:pos="700" w:val="left"/>
        </w:tabs>
        <w:numPr>
          <w:ilvl w:val="0"/>
          <w:numId w:val="46"/>
        </w:numPr>
        <w:rPr>
          <w:rFonts w:ascii="Arial" w:cs="Arial" w:eastAsia="Arial" w:hAnsi="Arial"/>
          <w:sz w:val="21"/>
          <w:szCs w:val="21"/>
          <w:color w:val="0071CE"/>
        </w:rPr>
      </w:pPr>
      <w:r>
        <w:rPr>
          <w:rFonts w:ascii="Arial" w:cs="Arial" w:eastAsia="Arial" w:hAnsi="Arial"/>
          <w:sz w:val="25"/>
          <w:szCs w:val="25"/>
          <w:color w:val="3E3935"/>
        </w:rPr>
        <w:t>Diversity, Equity, and Inclusion</w:t>
      </w:r>
    </w:p>
    <w:p>
      <w:pPr>
        <w:spacing w:after="0" w:line="202"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3E3935"/>
        </w:rPr>
        <w:t>While we have a longstanding history of valuing diversity, equity, and inclusion, in 2020, as social and racial justice protests escalated across the United States, we took decisive actions to lead by example and stand up against injustices prevalent in society by setting an aspirational goal to become the world’s most inclusive company. As part of this effort, Ms. Barra, our Chairman and CEO, commissioned an Inclusion Advisory Board (“IAB”) composed of both internal and external leaders. The IAB’s role is to consult with GM’s Senior Leadership Team with the long-term goal of inspiring the Company to be inclusive through our words, deeds, and culture. We know there is more work ahead, yet we are proud of our efforts to create positive, sustainable social change, including the following:</w:t>
      </w:r>
    </w:p>
    <w:p>
      <w:pPr>
        <w:spacing w:after="0" w:line="71" w:lineRule="exact"/>
        <w:rPr>
          <w:sz w:val="20"/>
          <w:szCs w:val="20"/>
          <w:color w:val="auto"/>
        </w:rPr>
      </w:pPr>
    </w:p>
    <w:p>
      <w:pPr>
        <w:ind w:left="400" w:hanging="233"/>
        <w:spacing w:after="0" w:line="180" w:lineRule="auto"/>
        <w:tabs>
          <w:tab w:leader="none" w:pos="400" w:val="left"/>
        </w:tabs>
        <w:numPr>
          <w:ilvl w:val="0"/>
          <w:numId w:val="47"/>
        </w:numPr>
        <w:rPr>
          <w:rFonts w:ascii="Arial" w:cs="Arial" w:eastAsia="Arial" w:hAnsi="Arial"/>
          <w:sz w:val="36"/>
          <w:szCs w:val="36"/>
          <w:color w:val="00C1DE"/>
          <w:vertAlign w:val="subscript"/>
        </w:rPr>
      </w:pPr>
      <w:r>
        <w:rPr>
          <w:rFonts w:ascii="Arial" w:cs="Arial" w:eastAsia="Arial" w:hAnsi="Arial"/>
          <w:sz w:val="16"/>
          <w:szCs w:val="16"/>
          <w:color w:val="3E3935"/>
        </w:rPr>
        <w:t>GM has long been a global leader in advocating for women’s equity in the workplace,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47" w:right="20"/>
        <w:spacing w:after="0" w:line="227" w:lineRule="auto"/>
        <w:rPr>
          <w:sz w:val="20"/>
          <w:szCs w:val="20"/>
          <w:color w:val="auto"/>
        </w:rPr>
      </w:pPr>
      <w:r>
        <w:rPr>
          <w:rFonts w:ascii="Arial" w:cs="Arial" w:eastAsia="Arial" w:hAnsi="Arial"/>
          <w:sz w:val="20"/>
          <w:szCs w:val="20"/>
          <w:color w:val="3E3935"/>
        </w:rPr>
        <w:t>women in 30% of our top management positions within two levels of the CEO. We have also been recognized by organizations such as Equileap and the Bloomberg Gender-Equality Index for gender equality in the corporate sector.</w:t>
      </w:r>
    </w:p>
    <w:p>
      <w:pPr>
        <w:spacing w:after="0" w:line="63" w:lineRule="exact"/>
        <w:rPr>
          <w:sz w:val="20"/>
          <w:szCs w:val="20"/>
          <w:color w:val="auto"/>
        </w:rPr>
      </w:pPr>
    </w:p>
    <w:p>
      <w:pPr>
        <w:jc w:val="both"/>
        <w:ind w:left="247" w:right="20" w:hanging="247"/>
        <w:spacing w:after="0" w:line="195" w:lineRule="auto"/>
        <w:tabs>
          <w:tab w:leader="none" w:pos="247" w:val="left"/>
        </w:tabs>
        <w:numPr>
          <w:ilvl w:val="0"/>
          <w:numId w:val="48"/>
        </w:numPr>
        <w:rPr>
          <w:rFonts w:ascii="Arial" w:cs="Arial" w:eastAsia="Arial" w:hAnsi="Arial"/>
          <w:sz w:val="53"/>
          <w:szCs w:val="53"/>
          <w:color w:val="00C1DE"/>
          <w:vertAlign w:val="subscript"/>
        </w:rPr>
      </w:pPr>
      <w:r>
        <w:rPr>
          <w:rFonts w:ascii="Arial" w:cs="Arial" w:eastAsia="Arial" w:hAnsi="Arial"/>
          <w:sz w:val="20"/>
          <w:szCs w:val="20"/>
          <w:color w:val="3E3935"/>
        </w:rPr>
        <w:t>GM’s policies and practices support the LGBTQ+ community. We extended same-sex domestic partner benefits early on and continue to provide full benefits to married LGBTQ+ couples. We also have a strong anti-discrimination policy that protects LGBTQ+ employees at GM. Beyond these measures designed to increase inclusion for our own employees, GM became a signatory to the Business Coalition for the Corporate Equality Act, which provides the same workplace protections to LGBTQ+ people as are provided to other protected groups under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182880</wp:posOffset>
            </wp:positionV>
            <wp:extent cx="5927725" cy="1016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73" w:lineRule="exact"/>
        <w:rPr>
          <w:sz w:val="20"/>
          <w:szCs w:val="20"/>
          <w:color w:val="auto"/>
        </w:rPr>
      </w:pPr>
    </w:p>
    <w:p>
      <w:pPr>
        <w:ind w:left="4867"/>
        <w:spacing w:after="0"/>
        <w:rPr>
          <w:sz w:val="20"/>
          <w:szCs w:val="20"/>
          <w:color w:val="auto"/>
        </w:rPr>
      </w:pPr>
      <w:r>
        <w:rPr>
          <w:rFonts w:ascii="Arial" w:cs="Arial" w:eastAsia="Arial" w:hAnsi="Arial"/>
          <w:sz w:val="14"/>
          <w:szCs w:val="14"/>
          <w:color w:val="0071CE"/>
        </w:rPr>
        <w:t>33</w:t>
      </w:r>
    </w:p>
    <w:p>
      <w:pPr>
        <w:sectPr>
          <w:pgSz w:w="11900" w:h="16838" w:orient="portrait"/>
          <w:cols w:equalWidth="0" w:num="2">
            <w:col w:w="5400" w:space="333"/>
            <w:col w:w="5347"/>
          </w:cols>
          <w:pgMar w:left="320" w:top="456" w:right="4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69" w:lineRule="exact"/>
        <w:rPr>
          <w:sz w:val="20"/>
          <w:szCs w:val="20"/>
          <w:color w:val="auto"/>
        </w:rPr>
      </w:pPr>
    </w:p>
    <w:p>
      <w:pPr>
        <w:jc w:val="both"/>
        <w:ind w:left="400" w:hanging="233"/>
        <w:spacing w:after="0" w:line="183" w:lineRule="auto"/>
        <w:tabs>
          <w:tab w:leader="none" w:pos="400" w:val="left"/>
        </w:tabs>
        <w:numPr>
          <w:ilvl w:val="0"/>
          <w:numId w:val="49"/>
        </w:numPr>
        <w:rPr>
          <w:rFonts w:ascii="Arial" w:cs="Arial" w:eastAsia="Arial" w:hAnsi="Arial"/>
          <w:sz w:val="53"/>
          <w:szCs w:val="53"/>
          <w:color w:val="00C1DE"/>
          <w:vertAlign w:val="subscript"/>
        </w:rPr>
      </w:pPr>
      <w:r>
        <w:rPr>
          <w:rFonts w:ascii="Arial" w:cs="Arial" w:eastAsia="Arial" w:hAnsi="Arial"/>
          <w:sz w:val="20"/>
          <w:szCs w:val="20"/>
          <w:color w:val="3E3935"/>
        </w:rPr>
        <w:t>GM joined the Business Roundtable’s Multiple Pathways Initiative to hire employees based on the value of skills rather than just degrees and to improve equity and diversity in the workplace. GM also joined OneTen, a consortium of companies who have committed to create career opportunities for 1 million Black Americans over the next 10 years.</w:t>
      </w:r>
    </w:p>
    <w:p>
      <w:pPr>
        <w:spacing w:after="0" w:line="61" w:lineRule="exact"/>
        <w:rPr>
          <w:rFonts w:ascii="Arial" w:cs="Arial" w:eastAsia="Arial" w:hAnsi="Arial"/>
          <w:sz w:val="53"/>
          <w:szCs w:val="53"/>
          <w:color w:val="00C1DE"/>
          <w:vertAlign w:val="subscript"/>
        </w:rPr>
      </w:pPr>
    </w:p>
    <w:p>
      <w:pPr>
        <w:jc w:val="both"/>
        <w:ind w:left="400" w:hanging="233"/>
        <w:spacing w:after="0" w:line="199" w:lineRule="auto"/>
        <w:tabs>
          <w:tab w:leader="none" w:pos="400" w:val="left"/>
        </w:tabs>
        <w:numPr>
          <w:ilvl w:val="0"/>
          <w:numId w:val="49"/>
        </w:numPr>
        <w:rPr>
          <w:rFonts w:ascii="Arial" w:cs="Arial" w:eastAsia="Arial" w:hAnsi="Arial"/>
          <w:sz w:val="53"/>
          <w:szCs w:val="53"/>
          <w:color w:val="00C1DE"/>
          <w:vertAlign w:val="subscript"/>
        </w:rPr>
      </w:pPr>
      <w:r>
        <w:rPr>
          <w:rFonts w:ascii="Arial" w:cs="Arial" w:eastAsia="Arial" w:hAnsi="Arial"/>
          <w:sz w:val="20"/>
          <w:szCs w:val="20"/>
          <w:color w:val="3E3935"/>
        </w:rPr>
        <w:t>We signed the Gender and Diversity KPI Alliance (“KPI Alliance”) on International Women’s Day in 2021. The KPI Alliance is a group of diversity, equity, and inclusion advocates, corporations, academics, and trade organizations that support the adoption and use of a set of key performance indicators to measure gender and diversity. By signing on to the KPI Alliance, GM continues to advance its commitment to workplace inclusion and pledges to use three key performance indicators – percentage of representation on the GM board, percentage of representation by employee category, and pay equality – as part of its efforts to measure and improve diversity in its organization.</w:t>
      </w:r>
    </w:p>
    <w:p>
      <w:pPr>
        <w:spacing w:after="0" w:line="44" w:lineRule="exact"/>
        <w:rPr>
          <w:rFonts w:ascii="Arial" w:cs="Arial" w:eastAsia="Arial" w:hAnsi="Arial"/>
          <w:sz w:val="53"/>
          <w:szCs w:val="53"/>
          <w:color w:val="00C1DE"/>
          <w:vertAlign w:val="subscript"/>
        </w:rPr>
      </w:pPr>
    </w:p>
    <w:p>
      <w:pPr>
        <w:jc w:val="both"/>
        <w:ind w:left="400" w:hanging="233"/>
        <w:spacing w:after="0" w:line="186" w:lineRule="auto"/>
        <w:tabs>
          <w:tab w:leader="none" w:pos="400" w:val="left"/>
        </w:tabs>
        <w:numPr>
          <w:ilvl w:val="0"/>
          <w:numId w:val="49"/>
        </w:numPr>
        <w:rPr>
          <w:rFonts w:ascii="Arial" w:cs="Arial" w:eastAsia="Arial" w:hAnsi="Arial"/>
          <w:sz w:val="53"/>
          <w:szCs w:val="53"/>
          <w:color w:val="00C1DE"/>
          <w:vertAlign w:val="subscript"/>
        </w:rPr>
      </w:pPr>
      <w:r>
        <w:rPr>
          <w:rFonts w:ascii="Arial" w:cs="Arial" w:eastAsia="Arial" w:hAnsi="Arial"/>
          <w:sz w:val="20"/>
          <w:szCs w:val="20"/>
          <w:color w:val="3E3935"/>
        </w:rPr>
        <w:t xml:space="preserve">GM has also introduced a new employee behavior: </w:t>
      </w:r>
      <w:r>
        <w:rPr>
          <w:rFonts w:ascii="Arial" w:cs="Arial" w:eastAsia="Arial" w:hAnsi="Arial"/>
          <w:sz w:val="20"/>
          <w:szCs w:val="20"/>
          <w:b w:val="1"/>
          <w:bCs w:val="1"/>
          <w:color w:val="0071CE"/>
        </w:rPr>
        <w:t>Be</w:t>
      </w:r>
      <w:r>
        <w:rPr>
          <w:rFonts w:ascii="Arial" w:cs="Arial" w:eastAsia="Arial" w:hAnsi="Arial"/>
          <w:sz w:val="20"/>
          <w:szCs w:val="20"/>
          <w:color w:val="3E3935"/>
        </w:rPr>
        <w:t xml:space="preserve"> </w:t>
      </w:r>
      <w:r>
        <w:rPr>
          <w:rFonts w:ascii="Arial" w:cs="Arial" w:eastAsia="Arial" w:hAnsi="Arial"/>
          <w:sz w:val="20"/>
          <w:szCs w:val="20"/>
          <w:b w:val="1"/>
          <w:bCs w:val="1"/>
          <w:color w:val="0071CE"/>
        </w:rPr>
        <w:t>Inclusive</w:t>
      </w:r>
      <w:r>
        <w:rPr>
          <w:rFonts w:ascii="Arial" w:cs="Arial" w:eastAsia="Arial" w:hAnsi="Arial"/>
          <w:sz w:val="20"/>
          <w:szCs w:val="20"/>
          <w:color w:val="3E3935"/>
        </w:rPr>
        <w:t>. This behavior involves creating moments</w:t>
      </w:r>
      <w:r>
        <w:rPr>
          <w:rFonts w:ascii="Arial" w:cs="Arial" w:eastAsia="Arial" w:hAnsi="Arial"/>
          <w:sz w:val="20"/>
          <w:szCs w:val="20"/>
          <w:b w:val="1"/>
          <w:bCs w:val="1"/>
          <w:color w:val="0071CE"/>
        </w:rPr>
        <w:t xml:space="preserve"> </w:t>
      </w:r>
      <w:r>
        <w:rPr>
          <w:rFonts w:ascii="Arial" w:cs="Arial" w:eastAsia="Arial" w:hAnsi="Arial"/>
          <w:sz w:val="20"/>
          <w:szCs w:val="20"/>
          <w:color w:val="3E3935"/>
        </w:rPr>
        <w:t>every day that value backgrounds, opinions, and ideas that may be different from a person’s own. It also means creating opportunities where everyone can speak up and be heard, have active dialogues, be curious, and value differences.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both"/>
        <w:ind w:left="247" w:right="20" w:hanging="247"/>
        <w:spacing w:after="0" w:line="202" w:lineRule="auto"/>
        <w:tabs>
          <w:tab w:leader="none" w:pos="247" w:val="left"/>
        </w:tabs>
        <w:numPr>
          <w:ilvl w:val="0"/>
          <w:numId w:val="50"/>
        </w:numPr>
        <w:rPr>
          <w:rFonts w:ascii="Arial" w:cs="Arial" w:eastAsia="Arial" w:hAnsi="Arial"/>
          <w:sz w:val="52"/>
          <w:szCs w:val="52"/>
          <w:color w:val="00C1DE"/>
          <w:vertAlign w:val="subscript"/>
        </w:rPr>
      </w:pPr>
      <w:r>
        <w:rPr>
          <w:rFonts w:ascii="Arial" w:cs="Arial" w:eastAsia="Arial" w:hAnsi="Arial"/>
          <w:sz w:val="19"/>
          <w:szCs w:val="19"/>
          <w:color w:val="3E3935"/>
        </w:rPr>
        <w:t>GM has 11 Employee Resource Groups (“ERGs”) which are voluntary, employee-led groups that serve as a resource for their constituent members and a catalyst for promoting a diverse, inclusive workplace that aligns with the vision and core values of the Company. These ERGs, with chapters across the U.S. and the globe, all work toward our corporate effort to make GM the most inclusive company in the world. Importantly, ERGs are fully open to anyone interested in joining, and we are proud that one in three GM employees participates in an 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-1936750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3383915" cy="1863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83915" cy="186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2347" w:right="40"/>
        <w:spacing w:after="0" w:line="234" w:lineRule="auto"/>
        <w:rPr>
          <w:sz w:val="20"/>
          <w:szCs w:val="20"/>
          <w:color w:val="auto"/>
        </w:rPr>
      </w:pPr>
      <w:r>
        <w:rPr>
          <w:rFonts w:ascii="Arial" w:cs="Arial" w:eastAsia="Arial" w:hAnsi="Arial"/>
          <w:sz w:val="18"/>
          <w:szCs w:val="18"/>
          <w:color w:val="0071CE"/>
        </w:rPr>
        <w:t>“At GM, promoting a culture that is inclusive and free of any and all discrimination allows our team members to proudly be who they are at work – in an environment that is open, supportive, and empowering – where everyone is valued and accepted.”</w:t>
      </w:r>
    </w:p>
    <w:p>
      <w:pPr>
        <w:spacing w:after="0" w:line="333" w:lineRule="exact"/>
        <w:rPr>
          <w:sz w:val="20"/>
          <w:szCs w:val="20"/>
          <w:color w:val="auto"/>
        </w:rPr>
      </w:pPr>
    </w:p>
    <w:p>
      <w:pPr>
        <w:ind w:left="127"/>
        <w:spacing w:after="0"/>
        <w:rPr>
          <w:sz w:val="20"/>
          <w:szCs w:val="20"/>
          <w:color w:val="auto"/>
        </w:rPr>
      </w:pPr>
      <w:r>
        <w:rPr>
          <w:rFonts w:ascii="Arial" w:cs="Arial" w:eastAsia="Arial" w:hAnsi="Arial"/>
          <w:sz w:val="20"/>
          <w:szCs w:val="20"/>
          <w:color w:val="0071CE"/>
        </w:rPr>
        <w:t>Telva McGruder</w:t>
      </w:r>
    </w:p>
    <w:p>
      <w:pPr>
        <w:ind w:left="127"/>
        <w:spacing w:after="0"/>
        <w:rPr>
          <w:sz w:val="20"/>
          <w:szCs w:val="20"/>
          <w:color w:val="auto"/>
        </w:rPr>
      </w:pPr>
      <w:r>
        <w:rPr>
          <w:rFonts w:ascii="Arial" w:cs="Arial" w:eastAsia="Arial" w:hAnsi="Arial"/>
          <w:sz w:val="20"/>
          <w:szCs w:val="20"/>
          <w:i w:val="1"/>
          <w:iCs w:val="1"/>
          <w:color w:val="00C1DE"/>
        </w:rPr>
        <w:t>Chief of Diversity, Equity, and Inclusion</w:t>
      </w:r>
    </w:p>
    <w:p>
      <w:pPr>
        <w:spacing w:after="0" w:line="872" w:lineRule="exact"/>
        <w:rPr>
          <w:sz w:val="20"/>
          <w:szCs w:val="20"/>
          <w:color w:val="auto"/>
        </w:rPr>
      </w:pPr>
    </w:p>
    <w:p>
      <w:pPr>
        <w:sectPr>
          <w:pgSz w:w="11900" w:h="16838" w:orient="portrait"/>
          <w:cols w:equalWidth="0" w:num="2">
            <w:col w:w="5400" w:space="333"/>
            <w:col w:w="5347"/>
          </w:cols>
          <w:pgMar w:left="320" w:top="456" w:right="499" w:bottom="1440" w:gutter="0" w:footer="0" w:header="0"/>
        </w:sect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Our Communities</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GM’s philanthropic investments create inclusive and sustainable solutions for our communities. This work puts people at the center and is structured under three focus areas aligned with the United Nations Sustainable Development Goals: expand access to science, technology, engineering, and math (“STEM”) educational opportunities, vehicle and road safety, and community development. We also prioritize programs that create equitable opportunities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2218055</wp:posOffset>
            </wp:positionV>
            <wp:extent cx="5927725" cy="101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advance diversity, equity, and inclusion. In 2020, more than 65% of our grant funding supported a variety of diverse communities. While our social investments last year supported many COVID-related response programs, we maintained a portfolio of nearly $35 million in funding to 357 U.S.-based nonprofits. Together, these projects will impact an estimated 5 million individuals through a variety of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447675</wp:posOffset>
            </wp:positionV>
            <wp:extent cx="5825490" cy="1809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5490" cy="1809115"/>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34</w:t>
      </w:r>
    </w:p>
    <w:p>
      <w:pPr>
        <w:sectPr>
          <w:pgSz w:w="11900" w:h="16838" w:orient="portrait"/>
          <w:cols w:equalWidth="0" w:num="1">
            <w:col w:w="11080"/>
          </w:cols>
          <w:pgMar w:left="320" w:top="456" w:right="4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Our Environment</w:t>
      </w:r>
    </w:p>
    <w:p>
      <w:pPr>
        <w:spacing w:after="0" w:line="202"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Advancing an all-electric, zero-carbon future is not just our commitment – we are already underway. Earlier this year, we announced the following:</w:t>
      </w:r>
    </w:p>
    <w:p>
      <w:pPr>
        <w:spacing w:after="0" w:line="61" w:lineRule="exact"/>
        <w:rPr>
          <w:sz w:val="20"/>
          <w:szCs w:val="20"/>
          <w:color w:val="auto"/>
        </w:rPr>
      </w:pPr>
    </w:p>
    <w:p>
      <w:pPr>
        <w:jc w:val="both"/>
        <w:ind w:left="400" w:hanging="233"/>
        <w:spacing w:after="0" w:line="182" w:lineRule="auto"/>
        <w:tabs>
          <w:tab w:leader="none" w:pos="400" w:val="left"/>
        </w:tabs>
        <w:numPr>
          <w:ilvl w:val="0"/>
          <w:numId w:val="51"/>
        </w:numPr>
        <w:rPr>
          <w:rFonts w:ascii="Arial" w:cs="Arial" w:eastAsia="Arial" w:hAnsi="Arial"/>
          <w:sz w:val="42"/>
          <w:szCs w:val="42"/>
          <w:color w:val="00C1DE"/>
          <w:vertAlign w:val="subscript"/>
        </w:rPr>
      </w:pPr>
      <w:r>
        <w:rPr>
          <w:rFonts w:ascii="Arial" w:cs="Arial" w:eastAsia="Arial" w:hAnsi="Arial"/>
          <w:sz w:val="17"/>
          <w:szCs w:val="17"/>
          <w:color w:val="3E3935"/>
        </w:rPr>
        <w:t>We plan to be carbon neutral in our global products and operations by 2040, 10 years ahead of the goals set forth in the Paris Agreement on climate change.</w:t>
      </w:r>
    </w:p>
    <w:p>
      <w:pPr>
        <w:spacing w:after="0" w:line="59" w:lineRule="exact"/>
        <w:rPr>
          <w:rFonts w:ascii="Arial" w:cs="Arial" w:eastAsia="Arial" w:hAnsi="Arial"/>
          <w:sz w:val="42"/>
          <w:szCs w:val="42"/>
          <w:color w:val="00C1DE"/>
          <w:vertAlign w:val="subscript"/>
        </w:rPr>
      </w:pPr>
    </w:p>
    <w:p>
      <w:pPr>
        <w:jc w:val="both"/>
        <w:ind w:left="400" w:right="20" w:hanging="233"/>
        <w:spacing w:after="0" w:line="213" w:lineRule="auto"/>
        <w:tabs>
          <w:tab w:leader="none" w:pos="400" w:val="left"/>
        </w:tabs>
        <w:numPr>
          <w:ilvl w:val="0"/>
          <w:numId w:val="51"/>
        </w:numPr>
        <w:rPr>
          <w:rFonts w:ascii="Arial" w:cs="Arial" w:eastAsia="Arial" w:hAnsi="Arial"/>
          <w:sz w:val="47"/>
          <w:szCs w:val="47"/>
          <w:color w:val="00C1DE"/>
          <w:vertAlign w:val="subscript"/>
        </w:rPr>
      </w:pPr>
      <w:r>
        <w:rPr>
          <w:rFonts w:ascii="Arial" w:cs="Arial" w:eastAsia="Arial" w:hAnsi="Arial"/>
          <w:sz w:val="18"/>
          <w:szCs w:val="18"/>
          <w:color w:val="3E3935"/>
        </w:rPr>
        <w:t>We signed the Business Ambition for 1.5° C commitment and set science-based targets that align with the Paris Agreement.</w:t>
      </w:r>
    </w:p>
    <w:p>
      <w:pPr>
        <w:spacing w:after="0" w:line="58" w:lineRule="exact"/>
        <w:rPr>
          <w:rFonts w:ascii="Arial" w:cs="Arial" w:eastAsia="Arial" w:hAnsi="Arial"/>
          <w:sz w:val="47"/>
          <w:szCs w:val="47"/>
          <w:color w:val="00C1DE"/>
          <w:vertAlign w:val="subscript"/>
        </w:rPr>
      </w:pPr>
    </w:p>
    <w:p>
      <w:pPr>
        <w:ind w:left="400" w:hanging="233"/>
        <w:spacing w:after="0" w:line="180" w:lineRule="auto"/>
        <w:tabs>
          <w:tab w:leader="none" w:pos="400" w:val="left"/>
        </w:tabs>
        <w:numPr>
          <w:ilvl w:val="0"/>
          <w:numId w:val="51"/>
        </w:numPr>
        <w:rPr>
          <w:rFonts w:ascii="Arial" w:cs="Arial" w:eastAsia="Arial" w:hAnsi="Arial"/>
          <w:sz w:val="36"/>
          <w:szCs w:val="36"/>
          <w:color w:val="00C1DE"/>
          <w:vertAlign w:val="subscript"/>
        </w:rPr>
      </w:pPr>
      <w:r>
        <w:rPr>
          <w:rFonts w:ascii="Arial" w:cs="Arial" w:eastAsia="Arial" w:hAnsi="Arial"/>
          <w:sz w:val="16"/>
          <w:szCs w:val="16"/>
          <w:color w:val="3E3935"/>
        </w:rPr>
        <w:t>We aspire to eliminate tailpipe emissions from new light-duty vehicles by 2035.</w:t>
      </w:r>
    </w:p>
    <w:p>
      <w:pPr>
        <w:spacing w:after="0" w:line="59" w:lineRule="exact"/>
        <w:rPr>
          <w:rFonts w:ascii="Arial" w:cs="Arial" w:eastAsia="Arial" w:hAnsi="Arial"/>
          <w:sz w:val="36"/>
          <w:szCs w:val="36"/>
          <w:color w:val="00C1DE"/>
          <w:vertAlign w:val="subscript"/>
        </w:rPr>
      </w:pPr>
    </w:p>
    <w:p>
      <w:pPr>
        <w:jc w:val="both"/>
        <w:ind w:left="400" w:hanging="233"/>
        <w:spacing w:after="0" w:line="182" w:lineRule="auto"/>
        <w:tabs>
          <w:tab w:leader="none" w:pos="400" w:val="left"/>
        </w:tabs>
        <w:numPr>
          <w:ilvl w:val="0"/>
          <w:numId w:val="51"/>
        </w:numPr>
        <w:rPr>
          <w:rFonts w:ascii="Arial" w:cs="Arial" w:eastAsia="Arial" w:hAnsi="Arial"/>
          <w:sz w:val="42"/>
          <w:szCs w:val="42"/>
          <w:color w:val="00C1DE"/>
          <w:vertAlign w:val="subscript"/>
        </w:rPr>
      </w:pPr>
      <w:r>
        <w:rPr>
          <w:rFonts w:ascii="Arial" w:cs="Arial" w:eastAsia="Arial" w:hAnsi="Arial"/>
          <w:sz w:val="17"/>
          <w:szCs w:val="17"/>
          <w:color w:val="3E3935"/>
        </w:rPr>
        <w:t>We will source 100% renewable energy to power our U.S. facilities by 2030 and our global facilities by 2035, five years earlier than our previously announced goal.</w:t>
      </w:r>
    </w:p>
    <w:p>
      <w:pPr>
        <w:spacing w:after="0" w:line="126"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Last year, we accelerated our transition to an all-electric lineup and announced our investment of more than $27 billion through 2025 on electric and autonomous vehicle programs. These investments will allow GM to offer 30 EVs globally by 2025. In that same year, 40% of GM’s U.S. models will be battery electric vehicles. Cadillac, GMC, Chevrolet, and Buick will all be represented, with EVs at price points for work, adventure, performance, and family use.</w:t>
      </w:r>
    </w:p>
    <w:p>
      <w:pPr>
        <w:spacing w:after="0" w:line="133"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As we strive to meet our renewable energy goals, we expect to be 60% of the way toward our U.S. renewable energy commitment by 2023. GM is also currently the tenth largest off-taker of renewable energy in the world. In recognition of this, last year we received the 2020 Green Power Leadership Award from the U.S. Environmental Protection Agency.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We also recently announced that GM plans to reduce the water intensity of its operations by 35% by 2035, compared to a 2010 baseline. Ms. Barra has also signed the CEO Water Mandate – a U.N. Global Compact Initiative – joining other global business leaders to address the key challenges around water security and further aligning to the U.N. Sustainable Development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-1834515</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0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 xml:space="preserve">You can learn more about our sustainability accomplishments and goals in our 2020 Sustainability Report available at </w:t>
      </w:r>
      <w:r>
        <w:rPr>
          <w:rFonts w:ascii="Arial" w:cs="Arial" w:eastAsia="Arial" w:hAnsi="Arial"/>
          <w:sz w:val="20"/>
          <w:szCs w:val="20"/>
          <w:i w:val="1"/>
          <w:iCs w:val="1"/>
          <w:color w:val="00C1DE"/>
        </w:rPr>
        <w:t>gmsustainability.com</w:t>
      </w:r>
      <w:r>
        <w:rPr>
          <w:rFonts w:ascii="Arial" w:cs="Arial" w:eastAsia="Arial" w:hAnsi="Arial"/>
          <w:sz w:val="20"/>
          <w:szCs w:val="20"/>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225425</wp:posOffset>
            </wp:positionV>
            <wp:extent cx="3383915" cy="19913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83915" cy="199136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2340" w:right="40"/>
        <w:spacing w:after="0" w:line="232" w:lineRule="auto"/>
        <w:rPr>
          <w:sz w:val="20"/>
          <w:szCs w:val="20"/>
          <w:color w:val="auto"/>
        </w:rPr>
      </w:pPr>
      <w:r>
        <w:rPr>
          <w:rFonts w:ascii="Arial" w:cs="Arial" w:eastAsia="Arial" w:hAnsi="Arial"/>
          <w:sz w:val="18"/>
          <w:szCs w:val="18"/>
          <w:color w:val="0071CE"/>
        </w:rPr>
        <w:t>“Sustainability to me is about making sure that people can thrive now and in the future. That means things like having an inhabitable planet, safe ways for people to provide for themselves and their families, and helping to create a world in which everyone is treated equitably. As we continue to take bold action toward our vision of a world with zero</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0071CE"/>
        </w:rPr>
        <w:t>emissions, we will focus equally on bringing everyone along.”</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0"/>
          <w:szCs w:val="20"/>
          <w:color w:val="0071CE"/>
        </w:rPr>
        <w:t>Kristen Siemen</w:t>
      </w:r>
    </w:p>
    <w:p>
      <w:pPr>
        <w:ind w:left="120"/>
        <w:spacing w:after="0"/>
        <w:rPr>
          <w:sz w:val="20"/>
          <w:szCs w:val="20"/>
          <w:color w:val="auto"/>
        </w:rPr>
      </w:pPr>
      <w:r>
        <w:rPr>
          <w:rFonts w:ascii="Arial" w:cs="Arial" w:eastAsia="Arial" w:hAnsi="Arial"/>
          <w:sz w:val="20"/>
          <w:szCs w:val="20"/>
          <w:i w:val="1"/>
          <w:iCs w:val="1"/>
          <w:color w:val="00C1DE"/>
        </w:rPr>
        <w:t>Chief Sustainability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1010920</wp:posOffset>
            </wp:positionV>
            <wp:extent cx="5927725" cy="1016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60"/>
        <w:spacing w:after="0"/>
        <w:rPr>
          <w:sz w:val="20"/>
          <w:szCs w:val="20"/>
          <w:color w:val="auto"/>
        </w:rPr>
      </w:pPr>
      <w:r>
        <w:rPr>
          <w:rFonts w:ascii="Arial" w:cs="Arial" w:eastAsia="Arial" w:hAnsi="Arial"/>
          <w:sz w:val="14"/>
          <w:szCs w:val="14"/>
          <w:color w:val="0071CE"/>
        </w:rPr>
        <w:t>35</w:t>
      </w:r>
    </w:p>
    <w:p>
      <w:pPr>
        <w:sectPr>
          <w:pgSz w:w="11900" w:h="16838" w:orient="portrait"/>
          <w:cols w:equalWidth="0" w:num="2">
            <w:col w:w="5400" w:space="340"/>
            <w:col w:w="534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SECURITY OWNERSHIP INFORMATION</w:t>
      </w:r>
    </w:p>
    <w:p>
      <w:pPr>
        <w:spacing w:after="0" w:line="193" w:lineRule="exact"/>
        <w:rPr>
          <w:sz w:val="20"/>
          <w:szCs w:val="20"/>
          <w:color w:val="auto"/>
        </w:rPr>
      </w:pPr>
    </w:p>
    <w:p>
      <w:pPr>
        <w:ind w:left="160" w:right="1020"/>
        <w:spacing w:after="0" w:line="248" w:lineRule="auto"/>
        <w:rPr>
          <w:sz w:val="20"/>
          <w:szCs w:val="20"/>
          <w:color w:val="auto"/>
        </w:rPr>
      </w:pPr>
      <w:r>
        <w:rPr>
          <w:rFonts w:ascii="Arial" w:cs="Arial" w:eastAsia="Arial" w:hAnsi="Arial"/>
          <w:sz w:val="29"/>
          <w:szCs w:val="29"/>
          <w:color w:val="3E3935"/>
        </w:rPr>
        <w:t>Security Ownership of Directors, Named Executive Officers, and Certain Other Beneficial Owners</w:t>
      </w:r>
    </w:p>
    <w:p>
      <w:pPr>
        <w:spacing w:after="0" w:line="127"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following table and accompanying footnotes show information regarding the beneficial ownership of GM’s issued and outstanding common stock by (i) each of our directors and NEOs, and all directors and executive officers as a group, each as of April 15, 2021, and (ii) each person known by us to beneficially own more than 5% of the issued and outstanding common stock as of the dates indicated in the footnotes. All directors and executive officers have sole voting and dispositive power over their shares. The Percentage of Outstanding Shares is based on 1,451,247,770 shares issued and outstanding as of April 15, 2021.</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00" w:type="dxa"/>
            <w:vAlign w:val="bottom"/>
            <w:tcBorders>
              <w:top w:val="single" w:sz="8" w:color="00C1DE"/>
            </w:tcBorders>
          </w:tcPr>
          <w:p>
            <w:pPr>
              <w:spacing w:after="0"/>
              <w:rPr>
                <w:sz w:val="17"/>
                <w:szCs w:val="17"/>
                <w:color w:val="auto"/>
              </w:rPr>
            </w:pPr>
          </w:p>
        </w:tc>
        <w:tc>
          <w:tcPr>
            <w:tcW w:w="2080" w:type="dxa"/>
            <w:vAlign w:val="bottom"/>
            <w:tcBorders>
              <w:top w:val="single" w:sz="8" w:color="00C1DE"/>
            </w:tcBorders>
          </w:tcPr>
          <w:p>
            <w:pPr>
              <w:spacing w:after="0"/>
              <w:rPr>
                <w:sz w:val="17"/>
                <w:szCs w:val="17"/>
                <w:color w:val="auto"/>
              </w:rPr>
            </w:pPr>
          </w:p>
        </w:tc>
        <w:tc>
          <w:tcPr>
            <w:tcW w:w="120" w:type="dxa"/>
            <w:vAlign w:val="bottom"/>
            <w:tcBorders>
              <w:top w:val="single" w:sz="8" w:color="00C1DE"/>
            </w:tcBorders>
          </w:tcPr>
          <w:p>
            <w:pPr>
              <w:spacing w:after="0"/>
              <w:rPr>
                <w:sz w:val="17"/>
                <w:szCs w:val="17"/>
                <w:color w:val="auto"/>
              </w:rPr>
            </w:pPr>
          </w:p>
        </w:tc>
        <w:tc>
          <w:tcPr>
            <w:tcW w:w="540" w:type="dxa"/>
            <w:vAlign w:val="bottom"/>
            <w:tcBorders>
              <w:top w:val="single" w:sz="8" w:color="00C1DE"/>
            </w:tcBorders>
          </w:tcPr>
          <w:p>
            <w:pPr>
              <w:spacing w:after="0"/>
              <w:rPr>
                <w:sz w:val="17"/>
                <w:szCs w:val="17"/>
                <w:color w:val="auto"/>
              </w:rPr>
            </w:pPr>
          </w:p>
        </w:tc>
        <w:tc>
          <w:tcPr>
            <w:tcW w:w="4100" w:type="dxa"/>
            <w:vAlign w:val="bottom"/>
            <w:tcBorders>
              <w:top w:val="single" w:sz="8" w:color="00C1DE"/>
            </w:tcBorders>
          </w:tcPr>
          <w:p>
            <w:pPr>
              <w:spacing w:after="0"/>
              <w:rPr>
                <w:sz w:val="17"/>
                <w:szCs w:val="17"/>
                <w:color w:val="auto"/>
              </w:rPr>
            </w:pPr>
          </w:p>
        </w:tc>
        <w:tc>
          <w:tcPr>
            <w:tcW w:w="2340" w:type="dxa"/>
            <w:vAlign w:val="bottom"/>
            <w:tcBorders>
              <w:top w:val="single" w:sz="8" w:color="00C1DE"/>
            </w:tcBorders>
          </w:tcPr>
          <w:p>
            <w:pPr>
              <w:jc w:val="right"/>
              <w:ind w:right="351"/>
              <w:spacing w:after="0" w:line="205" w:lineRule="exact"/>
              <w:rPr>
                <w:sz w:val="20"/>
                <w:szCs w:val="20"/>
                <w:color w:val="auto"/>
              </w:rPr>
            </w:pPr>
            <w:r>
              <w:rPr>
                <w:rFonts w:ascii="Arial" w:cs="Arial" w:eastAsia="Arial" w:hAnsi="Arial"/>
                <w:sz w:val="18"/>
                <w:szCs w:val="18"/>
                <w:b w:val="1"/>
                <w:bCs w:val="1"/>
                <w:color w:val="00C1DE"/>
              </w:rPr>
              <w:t>Shares of Common</w:t>
            </w:r>
          </w:p>
        </w:tc>
        <w:tc>
          <w:tcPr>
            <w:tcW w:w="1640" w:type="dxa"/>
            <w:vAlign w:val="bottom"/>
            <w:tcBorders>
              <w:top w:val="single" w:sz="8" w:color="00C1DE"/>
            </w:tcBorders>
          </w:tcPr>
          <w:p>
            <w:pPr>
              <w:jc w:val="right"/>
              <w:ind w:right="131"/>
              <w:spacing w:after="0" w:line="205" w:lineRule="exact"/>
              <w:rPr>
                <w:sz w:val="20"/>
                <w:szCs w:val="20"/>
                <w:color w:val="auto"/>
              </w:rPr>
            </w:pPr>
            <w:r>
              <w:rPr>
                <w:rFonts w:ascii="Arial" w:cs="Arial" w:eastAsia="Arial" w:hAnsi="Arial"/>
                <w:sz w:val="18"/>
                <w:szCs w:val="18"/>
                <w:b w:val="1"/>
                <w:bCs w:val="1"/>
                <w:color w:val="00C1DE"/>
              </w:rPr>
              <w:t>Percentage of</w:t>
            </w:r>
          </w:p>
        </w:tc>
      </w:tr>
      <w:tr>
        <w:trPr>
          <w:trHeight w:val="201"/>
        </w:trPr>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340" w:type="dxa"/>
            <w:vAlign w:val="bottom"/>
          </w:tcPr>
          <w:p>
            <w:pPr>
              <w:jc w:val="right"/>
              <w:ind w:right="351"/>
              <w:spacing w:after="0" w:line="201" w:lineRule="exact"/>
              <w:rPr>
                <w:sz w:val="20"/>
                <w:szCs w:val="20"/>
                <w:color w:val="auto"/>
              </w:rPr>
            </w:pPr>
            <w:r>
              <w:rPr>
                <w:rFonts w:ascii="Arial" w:cs="Arial" w:eastAsia="Arial" w:hAnsi="Arial"/>
                <w:sz w:val="18"/>
                <w:szCs w:val="18"/>
                <w:b w:val="1"/>
                <w:bCs w:val="1"/>
                <w:color w:val="00C1DE"/>
              </w:rPr>
              <w:t>Stock Beneficially</w:t>
            </w:r>
          </w:p>
        </w:tc>
        <w:tc>
          <w:tcPr>
            <w:tcW w:w="1640" w:type="dxa"/>
            <w:vAlign w:val="bottom"/>
          </w:tcPr>
          <w:p>
            <w:pPr>
              <w:jc w:val="right"/>
              <w:ind w:right="131"/>
              <w:spacing w:after="0" w:line="201" w:lineRule="exact"/>
              <w:rPr>
                <w:sz w:val="20"/>
                <w:szCs w:val="20"/>
                <w:color w:val="auto"/>
              </w:rPr>
            </w:pPr>
            <w:r>
              <w:rPr>
                <w:rFonts w:ascii="Arial" w:cs="Arial" w:eastAsia="Arial" w:hAnsi="Arial"/>
                <w:sz w:val="18"/>
                <w:szCs w:val="18"/>
                <w:b w:val="1"/>
                <w:bCs w:val="1"/>
                <w:color w:val="00C1DE"/>
              </w:rPr>
              <w:t>Outstanding</w:t>
            </w:r>
          </w:p>
        </w:tc>
      </w:tr>
      <w:tr>
        <w:trPr>
          <w:trHeight w:val="249"/>
        </w:trPr>
        <w:tc>
          <w:tcPr>
            <w:tcW w:w="100" w:type="dxa"/>
            <w:vAlign w:val="bottom"/>
          </w:tcPr>
          <w:p>
            <w:pPr>
              <w:spacing w:after="0"/>
              <w:rPr>
                <w:sz w:val="21"/>
                <w:szCs w:val="21"/>
                <w:color w:val="auto"/>
              </w:rPr>
            </w:pPr>
          </w:p>
        </w:tc>
        <w:tc>
          <w:tcPr>
            <w:tcW w:w="6840" w:type="dxa"/>
            <w:vAlign w:val="bottom"/>
            <w:gridSpan w:val="4"/>
          </w:tcPr>
          <w:p>
            <w:pPr>
              <w:spacing w:after="0"/>
              <w:rPr>
                <w:sz w:val="20"/>
                <w:szCs w:val="20"/>
                <w:color w:val="auto"/>
              </w:rPr>
            </w:pPr>
            <w:r>
              <w:rPr>
                <w:rFonts w:ascii="Arial" w:cs="Arial" w:eastAsia="Arial" w:hAnsi="Arial"/>
                <w:sz w:val="18"/>
                <w:szCs w:val="18"/>
                <w:b w:val="1"/>
                <w:bCs w:val="1"/>
                <w:color w:val="00C1DE"/>
              </w:rPr>
              <w:t>Name</w:t>
            </w:r>
          </w:p>
        </w:tc>
        <w:tc>
          <w:tcPr>
            <w:tcW w:w="2340" w:type="dxa"/>
            <w:vAlign w:val="bottom"/>
          </w:tcPr>
          <w:p>
            <w:pPr>
              <w:jc w:val="right"/>
              <w:ind w:right="351"/>
              <w:spacing w:after="0"/>
              <w:rPr>
                <w:sz w:val="20"/>
                <w:szCs w:val="20"/>
                <w:color w:val="auto"/>
              </w:rPr>
            </w:pPr>
            <w:r>
              <w:rPr>
                <w:rFonts w:ascii="Arial" w:cs="Arial" w:eastAsia="Arial" w:hAnsi="Arial"/>
                <w:sz w:val="18"/>
                <w:szCs w:val="18"/>
                <w:b w:val="1"/>
                <w:bCs w:val="1"/>
                <w:color w:val="00C1DE"/>
              </w:rPr>
              <w:t>Owned</w:t>
            </w:r>
          </w:p>
        </w:tc>
        <w:tc>
          <w:tcPr>
            <w:tcW w:w="1640" w:type="dxa"/>
            <w:vAlign w:val="bottom"/>
          </w:tcPr>
          <w:p>
            <w:pPr>
              <w:jc w:val="right"/>
              <w:ind w:right="131"/>
              <w:spacing w:after="0"/>
              <w:rPr>
                <w:sz w:val="20"/>
                <w:szCs w:val="20"/>
                <w:color w:val="auto"/>
              </w:rPr>
            </w:pPr>
            <w:r>
              <w:rPr>
                <w:rFonts w:ascii="Arial" w:cs="Arial" w:eastAsia="Arial" w:hAnsi="Arial"/>
                <w:sz w:val="18"/>
                <w:szCs w:val="18"/>
                <w:b w:val="1"/>
                <w:bCs w:val="1"/>
                <w:color w:val="00C1DE"/>
              </w:rPr>
              <w:t>Shares</w:t>
            </w:r>
          </w:p>
        </w:tc>
      </w:tr>
      <w:tr>
        <w:trPr>
          <w:trHeight w:val="68"/>
        </w:trPr>
        <w:tc>
          <w:tcPr>
            <w:tcW w:w="100" w:type="dxa"/>
            <w:vAlign w:val="bottom"/>
            <w:tcBorders>
              <w:bottom w:val="single" w:sz="8" w:color="00C1DE"/>
            </w:tcBorders>
          </w:tcPr>
          <w:p>
            <w:pPr>
              <w:spacing w:after="0"/>
              <w:rPr>
                <w:sz w:val="5"/>
                <w:szCs w:val="5"/>
                <w:color w:val="auto"/>
              </w:rPr>
            </w:pPr>
          </w:p>
        </w:tc>
        <w:tc>
          <w:tcPr>
            <w:tcW w:w="2080" w:type="dxa"/>
            <w:vAlign w:val="bottom"/>
            <w:tcBorders>
              <w:bottom w:val="single" w:sz="8" w:color="00C1DE"/>
            </w:tcBorders>
          </w:tcPr>
          <w:p>
            <w:pPr>
              <w:spacing w:after="0"/>
              <w:rPr>
                <w:sz w:val="5"/>
                <w:szCs w:val="5"/>
                <w:color w:val="auto"/>
              </w:rPr>
            </w:pPr>
          </w:p>
        </w:tc>
        <w:tc>
          <w:tcPr>
            <w:tcW w:w="120" w:type="dxa"/>
            <w:vAlign w:val="bottom"/>
            <w:tcBorders>
              <w:bottom w:val="single" w:sz="8" w:color="00C1DE"/>
            </w:tcBorders>
          </w:tcPr>
          <w:p>
            <w:pPr>
              <w:spacing w:after="0"/>
              <w:rPr>
                <w:sz w:val="5"/>
                <w:szCs w:val="5"/>
                <w:color w:val="auto"/>
              </w:rPr>
            </w:pPr>
          </w:p>
        </w:tc>
        <w:tc>
          <w:tcPr>
            <w:tcW w:w="540" w:type="dxa"/>
            <w:vAlign w:val="bottom"/>
            <w:tcBorders>
              <w:bottom w:val="single" w:sz="8" w:color="00C1DE"/>
            </w:tcBorders>
          </w:tcPr>
          <w:p>
            <w:pPr>
              <w:spacing w:after="0"/>
              <w:rPr>
                <w:sz w:val="5"/>
                <w:szCs w:val="5"/>
                <w:color w:val="auto"/>
              </w:rPr>
            </w:pPr>
          </w:p>
        </w:tc>
        <w:tc>
          <w:tcPr>
            <w:tcW w:w="4100" w:type="dxa"/>
            <w:vAlign w:val="bottom"/>
            <w:tcBorders>
              <w:bottom w:val="single" w:sz="8" w:color="00C1DE"/>
            </w:tcBorders>
          </w:tcPr>
          <w:p>
            <w:pPr>
              <w:spacing w:after="0"/>
              <w:rPr>
                <w:sz w:val="5"/>
                <w:szCs w:val="5"/>
                <w:color w:val="auto"/>
              </w:rPr>
            </w:pPr>
          </w:p>
        </w:tc>
        <w:tc>
          <w:tcPr>
            <w:tcW w:w="2340" w:type="dxa"/>
            <w:vAlign w:val="bottom"/>
            <w:tcBorders>
              <w:bottom w:val="single" w:sz="8" w:color="00C1DE"/>
            </w:tcBorders>
          </w:tcPr>
          <w:p>
            <w:pPr>
              <w:spacing w:after="0"/>
              <w:rPr>
                <w:sz w:val="5"/>
                <w:szCs w:val="5"/>
                <w:color w:val="auto"/>
              </w:rPr>
            </w:pPr>
          </w:p>
        </w:tc>
        <w:tc>
          <w:tcPr>
            <w:tcW w:w="1640" w:type="dxa"/>
            <w:vAlign w:val="bottom"/>
            <w:tcBorders>
              <w:bottom w:val="single" w:sz="8" w:color="00C1DE"/>
            </w:tcBorders>
          </w:tcPr>
          <w:p>
            <w:pPr>
              <w:spacing w:after="0"/>
              <w:rPr>
                <w:sz w:val="5"/>
                <w:szCs w:val="5"/>
                <w:color w:val="auto"/>
              </w:rPr>
            </w:pPr>
          </w:p>
        </w:tc>
      </w:tr>
      <w:tr>
        <w:trPr>
          <w:trHeight w:val="234"/>
        </w:trPr>
        <w:tc>
          <w:tcPr>
            <w:tcW w:w="6940" w:type="dxa"/>
            <w:vAlign w:val="bottom"/>
            <w:gridSpan w:val="5"/>
            <w:shd w:val="clear" w:color="auto" w:fill="EAFAFC"/>
          </w:tcPr>
          <w:p>
            <w:pPr>
              <w:ind w:left="100"/>
              <w:spacing w:after="0"/>
              <w:rPr>
                <w:sz w:val="20"/>
                <w:szCs w:val="20"/>
                <w:color w:val="auto"/>
              </w:rPr>
            </w:pPr>
            <w:r>
              <w:rPr>
                <w:rFonts w:ascii="Arial" w:cs="Arial" w:eastAsia="Arial" w:hAnsi="Arial"/>
                <w:sz w:val="18"/>
                <w:szCs w:val="18"/>
                <w:b w:val="1"/>
                <w:bCs w:val="1"/>
                <w:color w:val="3E3935"/>
              </w:rPr>
              <w:t>Non-Employee Directors</w:t>
            </w:r>
            <w:r>
              <w:rPr>
                <w:rFonts w:ascii="Arial" w:cs="Arial" w:eastAsia="Arial" w:hAnsi="Arial"/>
                <w:sz w:val="15"/>
                <w:szCs w:val="15"/>
                <w:b w:val="1"/>
                <w:bCs w:val="1"/>
                <w:color w:val="3E3935"/>
              </w:rPr>
              <w:t>(1)</w:t>
            </w:r>
          </w:p>
        </w:tc>
        <w:tc>
          <w:tcPr>
            <w:tcW w:w="2340" w:type="dxa"/>
            <w:vAlign w:val="bottom"/>
            <w:shd w:val="clear" w:color="auto" w:fill="EAFAFC"/>
          </w:tcPr>
          <w:p>
            <w:pPr>
              <w:spacing w:after="0"/>
              <w:rPr>
                <w:sz w:val="20"/>
                <w:szCs w:val="20"/>
                <w:color w:val="auto"/>
              </w:rPr>
            </w:pPr>
          </w:p>
        </w:tc>
        <w:tc>
          <w:tcPr>
            <w:tcW w:w="1640" w:type="dxa"/>
            <w:vAlign w:val="bottom"/>
            <w:shd w:val="clear" w:color="auto" w:fill="EAFAFC"/>
          </w:tcPr>
          <w:p>
            <w:pPr>
              <w:spacing w:after="0"/>
              <w:rPr>
                <w:sz w:val="20"/>
                <w:szCs w:val="20"/>
                <w:color w:val="auto"/>
              </w:rPr>
            </w:pPr>
          </w:p>
        </w:tc>
      </w:tr>
      <w:tr>
        <w:trPr>
          <w:trHeight w:val="87"/>
        </w:trPr>
        <w:tc>
          <w:tcPr>
            <w:tcW w:w="100" w:type="dxa"/>
            <w:vAlign w:val="bottom"/>
            <w:tcBorders>
              <w:top w:val="single" w:sz="8" w:color="EAFAFC"/>
              <w:bottom w:val="single" w:sz="8" w:color="3E3935"/>
            </w:tcBorders>
            <w:shd w:val="clear" w:color="auto" w:fill="EAFAFC"/>
          </w:tcPr>
          <w:p>
            <w:pPr>
              <w:spacing w:after="0"/>
              <w:rPr>
                <w:sz w:val="7"/>
                <w:szCs w:val="7"/>
                <w:color w:val="auto"/>
              </w:rPr>
            </w:pPr>
          </w:p>
        </w:tc>
        <w:tc>
          <w:tcPr>
            <w:tcW w:w="2080" w:type="dxa"/>
            <w:vAlign w:val="bottom"/>
            <w:tcBorders>
              <w:top w:val="single" w:sz="8" w:color="3E3935"/>
              <w:bottom w:val="single" w:sz="8" w:color="3E3935"/>
            </w:tcBorders>
            <w:shd w:val="clear" w:color="auto" w:fill="EAFAFC"/>
          </w:tcPr>
          <w:p>
            <w:pPr>
              <w:spacing w:after="0"/>
              <w:rPr>
                <w:sz w:val="7"/>
                <w:szCs w:val="7"/>
                <w:color w:val="auto"/>
              </w:rPr>
            </w:pPr>
          </w:p>
        </w:tc>
        <w:tc>
          <w:tcPr>
            <w:tcW w:w="120" w:type="dxa"/>
            <w:vAlign w:val="bottom"/>
            <w:tcBorders>
              <w:top w:val="single" w:sz="8" w:color="EAFAFC"/>
              <w:bottom w:val="single" w:sz="8" w:color="3E3935"/>
            </w:tcBorders>
            <w:shd w:val="clear" w:color="auto" w:fill="EAFAFC"/>
          </w:tcPr>
          <w:p>
            <w:pPr>
              <w:spacing w:after="0"/>
              <w:rPr>
                <w:sz w:val="7"/>
                <w:szCs w:val="7"/>
                <w:color w:val="auto"/>
              </w:rPr>
            </w:pPr>
          </w:p>
        </w:tc>
        <w:tc>
          <w:tcPr>
            <w:tcW w:w="540" w:type="dxa"/>
            <w:vAlign w:val="bottom"/>
            <w:tcBorders>
              <w:top w:val="single" w:sz="8" w:color="EAFAFC"/>
              <w:bottom w:val="single" w:sz="8" w:color="3E3935"/>
            </w:tcBorders>
            <w:shd w:val="clear" w:color="auto" w:fill="EAFAFC"/>
          </w:tcPr>
          <w:p>
            <w:pPr>
              <w:spacing w:after="0"/>
              <w:rPr>
                <w:sz w:val="7"/>
                <w:szCs w:val="7"/>
                <w:color w:val="auto"/>
              </w:rPr>
            </w:pPr>
          </w:p>
        </w:tc>
        <w:tc>
          <w:tcPr>
            <w:tcW w:w="4100" w:type="dxa"/>
            <w:vAlign w:val="bottom"/>
            <w:tcBorders>
              <w:top w:val="single" w:sz="8" w:color="EAFAFC"/>
              <w:bottom w:val="single" w:sz="8" w:color="3E3935"/>
            </w:tcBorders>
            <w:shd w:val="clear" w:color="auto" w:fill="EAFAFC"/>
          </w:tcPr>
          <w:p>
            <w:pPr>
              <w:spacing w:after="0"/>
              <w:rPr>
                <w:sz w:val="7"/>
                <w:szCs w:val="7"/>
                <w:color w:val="auto"/>
              </w:rPr>
            </w:pPr>
          </w:p>
        </w:tc>
        <w:tc>
          <w:tcPr>
            <w:tcW w:w="2340" w:type="dxa"/>
            <w:vAlign w:val="bottom"/>
            <w:tcBorders>
              <w:top w:val="single" w:sz="8" w:color="EAFAFC"/>
              <w:bottom w:val="single" w:sz="8" w:color="3E3935"/>
            </w:tcBorders>
            <w:shd w:val="clear" w:color="auto" w:fill="EAFAFC"/>
          </w:tcPr>
          <w:p>
            <w:pPr>
              <w:spacing w:after="0"/>
              <w:rPr>
                <w:sz w:val="7"/>
                <w:szCs w:val="7"/>
                <w:color w:val="auto"/>
              </w:rPr>
            </w:pPr>
          </w:p>
        </w:tc>
        <w:tc>
          <w:tcPr>
            <w:tcW w:w="1640" w:type="dxa"/>
            <w:vAlign w:val="bottom"/>
            <w:tcBorders>
              <w:top w:val="single" w:sz="8" w:color="EAFAFC"/>
              <w:bottom w:val="single" w:sz="8" w:color="3E3935"/>
            </w:tcBorders>
            <w:shd w:val="clear" w:color="auto" w:fill="EAFAFC"/>
          </w:tcPr>
          <w:p>
            <w:pPr>
              <w:spacing w:after="0"/>
              <w:rPr>
                <w:sz w:val="7"/>
                <w:szCs w:val="7"/>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Wesley G. Bush</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10,000</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Linda R. Gooden</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1,000</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Joseph Jimenez</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32,330</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Jane L. Mendillo</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4,560</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Judith A. Miscik</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Patricia F. Russo</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25,000</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Thomas M. Schoewe</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22,005</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Theodore M. Solso</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6,561</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Carol M. Stephenson</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800</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Mark A. Tatum</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Devin N. Wenig</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Margaret C. Whitman</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w:t>
            </w:r>
            <w:r>
              <w:rPr>
                <w:rFonts w:ascii="Arial" w:cs="Arial" w:eastAsia="Arial" w:hAnsi="Arial"/>
                <w:sz w:val="15"/>
                <w:szCs w:val="15"/>
                <w:color w:val="3E3935"/>
              </w:rPr>
              <w:t>(2)</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34"/>
        </w:trPr>
        <w:tc>
          <w:tcPr>
            <w:tcW w:w="6940" w:type="dxa"/>
            <w:vAlign w:val="bottom"/>
            <w:gridSpan w:val="5"/>
            <w:shd w:val="clear" w:color="auto" w:fill="EAFAFC"/>
          </w:tcPr>
          <w:p>
            <w:pPr>
              <w:ind w:left="100"/>
              <w:spacing w:after="0"/>
              <w:rPr>
                <w:sz w:val="20"/>
                <w:szCs w:val="20"/>
                <w:color w:val="auto"/>
              </w:rPr>
            </w:pPr>
            <w:r>
              <w:rPr>
                <w:rFonts w:ascii="Arial" w:cs="Arial" w:eastAsia="Arial" w:hAnsi="Arial"/>
                <w:sz w:val="18"/>
                <w:szCs w:val="18"/>
                <w:b w:val="1"/>
                <w:bCs w:val="1"/>
                <w:color w:val="3E3935"/>
              </w:rPr>
              <w:t>Named Executive Officers</w:t>
            </w:r>
            <w:r>
              <w:rPr>
                <w:rFonts w:ascii="Arial" w:cs="Arial" w:eastAsia="Arial" w:hAnsi="Arial"/>
                <w:sz w:val="15"/>
                <w:szCs w:val="15"/>
                <w:b w:val="1"/>
                <w:bCs w:val="1"/>
                <w:color w:val="3E3935"/>
              </w:rPr>
              <w:t>(1)</w:t>
            </w:r>
          </w:p>
        </w:tc>
        <w:tc>
          <w:tcPr>
            <w:tcW w:w="2340" w:type="dxa"/>
            <w:vAlign w:val="bottom"/>
            <w:shd w:val="clear" w:color="auto" w:fill="EAFAFC"/>
          </w:tcPr>
          <w:p>
            <w:pPr>
              <w:spacing w:after="0"/>
              <w:rPr>
                <w:sz w:val="20"/>
                <w:szCs w:val="20"/>
                <w:color w:val="auto"/>
              </w:rPr>
            </w:pPr>
          </w:p>
        </w:tc>
        <w:tc>
          <w:tcPr>
            <w:tcW w:w="1640" w:type="dxa"/>
            <w:vAlign w:val="bottom"/>
            <w:shd w:val="clear" w:color="auto" w:fill="EAFAFC"/>
          </w:tcPr>
          <w:p>
            <w:pPr>
              <w:spacing w:after="0"/>
              <w:rPr>
                <w:sz w:val="20"/>
                <w:szCs w:val="20"/>
                <w:color w:val="auto"/>
              </w:rPr>
            </w:pPr>
          </w:p>
        </w:tc>
      </w:tr>
      <w:tr>
        <w:trPr>
          <w:trHeight w:val="87"/>
        </w:trPr>
        <w:tc>
          <w:tcPr>
            <w:tcW w:w="100" w:type="dxa"/>
            <w:vAlign w:val="bottom"/>
            <w:tcBorders>
              <w:top w:val="single" w:sz="8" w:color="EAFAFC"/>
              <w:bottom w:val="single" w:sz="8" w:color="3E3935"/>
            </w:tcBorders>
            <w:shd w:val="clear" w:color="auto" w:fill="EAFAFC"/>
          </w:tcPr>
          <w:p>
            <w:pPr>
              <w:spacing w:after="0"/>
              <w:rPr>
                <w:sz w:val="7"/>
                <w:szCs w:val="7"/>
                <w:color w:val="auto"/>
              </w:rPr>
            </w:pPr>
          </w:p>
        </w:tc>
        <w:tc>
          <w:tcPr>
            <w:tcW w:w="2080" w:type="dxa"/>
            <w:vAlign w:val="bottom"/>
            <w:tcBorders>
              <w:top w:val="single" w:sz="8" w:color="3E3935"/>
              <w:bottom w:val="single" w:sz="8" w:color="3E3935"/>
            </w:tcBorders>
            <w:shd w:val="clear" w:color="auto" w:fill="EAFAFC"/>
          </w:tcPr>
          <w:p>
            <w:pPr>
              <w:spacing w:after="0"/>
              <w:rPr>
                <w:sz w:val="7"/>
                <w:szCs w:val="7"/>
                <w:color w:val="auto"/>
              </w:rPr>
            </w:pPr>
          </w:p>
        </w:tc>
        <w:tc>
          <w:tcPr>
            <w:tcW w:w="120" w:type="dxa"/>
            <w:vAlign w:val="bottom"/>
            <w:tcBorders>
              <w:top w:val="single" w:sz="8" w:color="3E3935"/>
              <w:bottom w:val="single" w:sz="8" w:color="3E3935"/>
            </w:tcBorders>
            <w:shd w:val="clear" w:color="auto" w:fill="EAFAFC"/>
          </w:tcPr>
          <w:p>
            <w:pPr>
              <w:spacing w:after="0"/>
              <w:rPr>
                <w:sz w:val="7"/>
                <w:szCs w:val="7"/>
                <w:color w:val="auto"/>
              </w:rPr>
            </w:pPr>
          </w:p>
        </w:tc>
        <w:tc>
          <w:tcPr>
            <w:tcW w:w="540" w:type="dxa"/>
            <w:vAlign w:val="bottom"/>
            <w:tcBorders>
              <w:top w:val="single" w:sz="8" w:color="EAFAFC"/>
              <w:bottom w:val="single" w:sz="8" w:color="3E3935"/>
            </w:tcBorders>
            <w:shd w:val="clear" w:color="auto" w:fill="EAFAFC"/>
          </w:tcPr>
          <w:p>
            <w:pPr>
              <w:spacing w:after="0"/>
              <w:rPr>
                <w:sz w:val="7"/>
                <w:szCs w:val="7"/>
                <w:color w:val="auto"/>
              </w:rPr>
            </w:pPr>
          </w:p>
        </w:tc>
        <w:tc>
          <w:tcPr>
            <w:tcW w:w="4100" w:type="dxa"/>
            <w:vAlign w:val="bottom"/>
            <w:tcBorders>
              <w:top w:val="single" w:sz="8" w:color="EAFAFC"/>
              <w:bottom w:val="single" w:sz="8" w:color="3E3935"/>
            </w:tcBorders>
            <w:shd w:val="clear" w:color="auto" w:fill="EAFAFC"/>
          </w:tcPr>
          <w:p>
            <w:pPr>
              <w:spacing w:after="0"/>
              <w:rPr>
                <w:sz w:val="7"/>
                <w:szCs w:val="7"/>
                <w:color w:val="auto"/>
              </w:rPr>
            </w:pPr>
          </w:p>
        </w:tc>
        <w:tc>
          <w:tcPr>
            <w:tcW w:w="2340" w:type="dxa"/>
            <w:vAlign w:val="bottom"/>
            <w:tcBorders>
              <w:top w:val="single" w:sz="8" w:color="EAFAFC"/>
              <w:bottom w:val="single" w:sz="8" w:color="3E3935"/>
            </w:tcBorders>
            <w:shd w:val="clear" w:color="auto" w:fill="EAFAFC"/>
          </w:tcPr>
          <w:p>
            <w:pPr>
              <w:spacing w:after="0"/>
              <w:rPr>
                <w:sz w:val="7"/>
                <w:szCs w:val="7"/>
                <w:color w:val="auto"/>
              </w:rPr>
            </w:pPr>
          </w:p>
        </w:tc>
        <w:tc>
          <w:tcPr>
            <w:tcW w:w="1640" w:type="dxa"/>
            <w:vAlign w:val="bottom"/>
            <w:tcBorders>
              <w:top w:val="single" w:sz="8" w:color="EAFAFC"/>
              <w:bottom w:val="single" w:sz="8" w:color="3E3935"/>
            </w:tcBorders>
            <w:shd w:val="clear" w:color="auto" w:fill="EAFAFC"/>
          </w:tcPr>
          <w:p>
            <w:pPr>
              <w:spacing w:after="0"/>
              <w:rPr>
                <w:sz w:val="7"/>
                <w:szCs w:val="7"/>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Mary T. Barra</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2,753,251</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Paul A. Jacobson</w:t>
            </w:r>
            <w:r>
              <w:rPr>
                <w:rFonts w:ascii="Arial" w:cs="Arial" w:eastAsia="Arial" w:hAnsi="Arial"/>
                <w:sz w:val="15"/>
                <w:szCs w:val="15"/>
                <w:color w:val="3E3935"/>
              </w:rPr>
              <w:t>(4)</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87,654</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Mark L. Reuss</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670,814</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Douglas L. Parks</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100,868</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Stephen K. Carlisle</w:t>
            </w:r>
            <w:r>
              <w:rPr>
                <w:rFonts w:ascii="Arial" w:cs="Arial" w:eastAsia="Arial" w:hAnsi="Arial"/>
                <w:sz w:val="15"/>
                <w:szCs w:val="15"/>
                <w:color w:val="3E3935"/>
              </w:rPr>
              <w:t>(5)</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83,344</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Dhivya Suryadevara</w:t>
            </w:r>
            <w:r>
              <w:rPr>
                <w:rFonts w:ascii="Arial" w:cs="Arial" w:eastAsia="Arial" w:hAnsi="Arial"/>
                <w:sz w:val="15"/>
                <w:szCs w:val="15"/>
                <w:color w:val="3E3935"/>
              </w:rPr>
              <w:t>(6)</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John P. Stapleton</w:t>
            </w:r>
            <w:r>
              <w:rPr>
                <w:rFonts w:ascii="Arial" w:cs="Arial" w:eastAsia="Arial" w:hAnsi="Arial"/>
                <w:sz w:val="15"/>
                <w:szCs w:val="15"/>
                <w:color w:val="3E3935"/>
              </w:rPr>
              <w:t>(7)</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183,211</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Barry L. Engle II</w:t>
            </w:r>
            <w:r>
              <w:rPr>
                <w:rFonts w:ascii="Arial" w:cs="Arial" w:eastAsia="Arial" w:hAnsi="Arial"/>
                <w:sz w:val="15"/>
                <w:szCs w:val="15"/>
                <w:color w:val="3E3935"/>
              </w:rPr>
              <w:t>(8)</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1,579</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All Directors and Executive Officers as a Group (26 persons, including the foregoing)</w:t>
            </w:r>
          </w:p>
        </w:tc>
        <w:tc>
          <w:tcPr>
            <w:tcW w:w="2340" w:type="dxa"/>
            <w:vAlign w:val="bottom"/>
          </w:tcPr>
          <w:p>
            <w:pPr>
              <w:jc w:val="right"/>
              <w:ind w:right="151"/>
              <w:spacing w:after="0"/>
              <w:rPr>
                <w:sz w:val="20"/>
                <w:szCs w:val="20"/>
                <w:color w:val="auto"/>
              </w:rPr>
            </w:pPr>
            <w:r>
              <w:rPr>
                <w:rFonts w:ascii="Arial" w:cs="Arial" w:eastAsia="Arial" w:hAnsi="Arial"/>
                <w:sz w:val="18"/>
                <w:szCs w:val="18"/>
                <w:color w:val="3E3935"/>
              </w:rPr>
              <w:t>5,766,125</w:t>
            </w:r>
            <w:r>
              <w:rPr>
                <w:rFonts w:ascii="Arial" w:cs="Arial" w:eastAsia="Arial" w:hAnsi="Arial"/>
                <w:sz w:val="15"/>
                <w:szCs w:val="15"/>
                <w:color w:val="3E3935"/>
              </w:rPr>
              <w:t>(3)</w:t>
            </w:r>
          </w:p>
        </w:tc>
        <w:tc>
          <w:tcPr>
            <w:tcW w:w="1640" w:type="dxa"/>
            <w:vAlign w:val="bottom"/>
          </w:tcPr>
          <w:p>
            <w:pPr>
              <w:jc w:val="right"/>
              <w:ind w:right="131"/>
              <w:spacing w:after="0"/>
              <w:rPr>
                <w:sz w:val="20"/>
                <w:szCs w:val="20"/>
                <w:color w:val="auto"/>
              </w:rPr>
            </w:pPr>
            <w:r>
              <w:rPr>
                <w:rFonts w:ascii="Arial" w:cs="Arial" w:eastAsia="Arial" w:hAnsi="Arial"/>
                <w:sz w:val="18"/>
                <w:szCs w:val="18"/>
                <w:color w:val="3E3935"/>
              </w:rPr>
              <w:t>*</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34"/>
        </w:trPr>
        <w:tc>
          <w:tcPr>
            <w:tcW w:w="6940" w:type="dxa"/>
            <w:vAlign w:val="bottom"/>
            <w:gridSpan w:val="5"/>
            <w:shd w:val="clear" w:color="auto" w:fill="EAFAFC"/>
          </w:tcPr>
          <w:p>
            <w:pPr>
              <w:ind w:left="100"/>
              <w:spacing w:after="0"/>
              <w:rPr>
                <w:sz w:val="20"/>
                <w:szCs w:val="20"/>
                <w:color w:val="auto"/>
              </w:rPr>
            </w:pPr>
            <w:r>
              <w:rPr>
                <w:rFonts w:ascii="Arial" w:cs="Arial" w:eastAsia="Arial" w:hAnsi="Arial"/>
                <w:sz w:val="18"/>
                <w:szCs w:val="18"/>
                <w:b w:val="1"/>
                <w:bCs w:val="1"/>
                <w:color w:val="3E3935"/>
              </w:rPr>
              <w:t>Certain Other Beneficial Owners</w:t>
            </w:r>
            <w:r>
              <w:rPr>
                <w:rFonts w:ascii="Arial" w:cs="Arial" w:eastAsia="Arial" w:hAnsi="Arial"/>
                <w:sz w:val="15"/>
                <w:szCs w:val="15"/>
                <w:b w:val="1"/>
                <w:bCs w:val="1"/>
                <w:color w:val="3E3935"/>
              </w:rPr>
              <w:t>(9)</w:t>
            </w:r>
          </w:p>
        </w:tc>
        <w:tc>
          <w:tcPr>
            <w:tcW w:w="2340" w:type="dxa"/>
            <w:vAlign w:val="bottom"/>
            <w:shd w:val="clear" w:color="auto" w:fill="EAFAFC"/>
          </w:tcPr>
          <w:p>
            <w:pPr>
              <w:spacing w:after="0"/>
              <w:rPr>
                <w:sz w:val="20"/>
                <w:szCs w:val="20"/>
                <w:color w:val="auto"/>
              </w:rPr>
            </w:pPr>
          </w:p>
        </w:tc>
        <w:tc>
          <w:tcPr>
            <w:tcW w:w="1640" w:type="dxa"/>
            <w:vAlign w:val="bottom"/>
            <w:shd w:val="clear" w:color="auto" w:fill="EAFAFC"/>
          </w:tcPr>
          <w:p>
            <w:pPr>
              <w:spacing w:after="0"/>
              <w:rPr>
                <w:sz w:val="20"/>
                <w:szCs w:val="20"/>
                <w:color w:val="auto"/>
              </w:rPr>
            </w:pPr>
          </w:p>
        </w:tc>
      </w:tr>
      <w:tr>
        <w:trPr>
          <w:trHeight w:val="87"/>
        </w:trPr>
        <w:tc>
          <w:tcPr>
            <w:tcW w:w="100" w:type="dxa"/>
            <w:vAlign w:val="bottom"/>
            <w:tcBorders>
              <w:top w:val="single" w:sz="8" w:color="EAFAFC"/>
              <w:bottom w:val="single" w:sz="8" w:color="3E3935"/>
            </w:tcBorders>
            <w:shd w:val="clear" w:color="auto" w:fill="EAFAFC"/>
          </w:tcPr>
          <w:p>
            <w:pPr>
              <w:spacing w:after="0"/>
              <w:rPr>
                <w:sz w:val="7"/>
                <w:szCs w:val="7"/>
                <w:color w:val="auto"/>
              </w:rPr>
            </w:pPr>
          </w:p>
        </w:tc>
        <w:tc>
          <w:tcPr>
            <w:tcW w:w="2080" w:type="dxa"/>
            <w:vAlign w:val="bottom"/>
            <w:tcBorders>
              <w:top w:val="single" w:sz="8" w:color="3E3935"/>
              <w:bottom w:val="single" w:sz="8" w:color="3E3935"/>
            </w:tcBorders>
            <w:shd w:val="clear" w:color="auto" w:fill="EAFAFC"/>
          </w:tcPr>
          <w:p>
            <w:pPr>
              <w:spacing w:after="0"/>
              <w:rPr>
                <w:sz w:val="7"/>
                <w:szCs w:val="7"/>
                <w:color w:val="auto"/>
              </w:rPr>
            </w:pPr>
          </w:p>
        </w:tc>
        <w:tc>
          <w:tcPr>
            <w:tcW w:w="120" w:type="dxa"/>
            <w:vAlign w:val="bottom"/>
            <w:tcBorders>
              <w:top w:val="single" w:sz="8" w:color="3E3935"/>
              <w:bottom w:val="single" w:sz="8" w:color="3E3935"/>
            </w:tcBorders>
            <w:shd w:val="clear" w:color="auto" w:fill="EAFAFC"/>
          </w:tcPr>
          <w:p>
            <w:pPr>
              <w:spacing w:after="0"/>
              <w:rPr>
                <w:sz w:val="7"/>
                <w:szCs w:val="7"/>
                <w:color w:val="auto"/>
              </w:rPr>
            </w:pPr>
          </w:p>
        </w:tc>
        <w:tc>
          <w:tcPr>
            <w:tcW w:w="540" w:type="dxa"/>
            <w:vAlign w:val="bottom"/>
            <w:tcBorders>
              <w:top w:val="single" w:sz="8" w:color="3E3935"/>
              <w:bottom w:val="single" w:sz="8" w:color="3E3935"/>
            </w:tcBorders>
            <w:shd w:val="clear" w:color="auto" w:fill="EAFAFC"/>
          </w:tcPr>
          <w:p>
            <w:pPr>
              <w:spacing w:after="0"/>
              <w:rPr>
                <w:sz w:val="7"/>
                <w:szCs w:val="7"/>
                <w:color w:val="auto"/>
              </w:rPr>
            </w:pPr>
          </w:p>
        </w:tc>
        <w:tc>
          <w:tcPr>
            <w:tcW w:w="4100" w:type="dxa"/>
            <w:vAlign w:val="bottom"/>
            <w:tcBorders>
              <w:top w:val="single" w:sz="8" w:color="EAFAFC"/>
              <w:bottom w:val="single" w:sz="8" w:color="3E3935"/>
            </w:tcBorders>
            <w:shd w:val="clear" w:color="auto" w:fill="EAFAFC"/>
          </w:tcPr>
          <w:p>
            <w:pPr>
              <w:spacing w:after="0"/>
              <w:rPr>
                <w:sz w:val="7"/>
                <w:szCs w:val="7"/>
                <w:color w:val="auto"/>
              </w:rPr>
            </w:pPr>
          </w:p>
        </w:tc>
        <w:tc>
          <w:tcPr>
            <w:tcW w:w="2340" w:type="dxa"/>
            <w:vAlign w:val="bottom"/>
            <w:tcBorders>
              <w:top w:val="single" w:sz="8" w:color="EAFAFC"/>
              <w:bottom w:val="single" w:sz="8" w:color="3E3935"/>
            </w:tcBorders>
            <w:shd w:val="clear" w:color="auto" w:fill="EAFAFC"/>
          </w:tcPr>
          <w:p>
            <w:pPr>
              <w:spacing w:after="0"/>
              <w:rPr>
                <w:sz w:val="7"/>
                <w:szCs w:val="7"/>
                <w:color w:val="auto"/>
              </w:rPr>
            </w:pPr>
          </w:p>
        </w:tc>
        <w:tc>
          <w:tcPr>
            <w:tcW w:w="1640" w:type="dxa"/>
            <w:vAlign w:val="bottom"/>
            <w:tcBorders>
              <w:top w:val="single" w:sz="8" w:color="EAFAFC"/>
              <w:bottom w:val="single" w:sz="8" w:color="3E3935"/>
            </w:tcBorders>
            <w:shd w:val="clear" w:color="auto" w:fill="EAFAFC"/>
          </w:tcPr>
          <w:p>
            <w:pPr>
              <w:spacing w:after="0"/>
              <w:rPr>
                <w:sz w:val="7"/>
                <w:szCs w:val="7"/>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BlackRock, Inc.</w:t>
            </w:r>
            <w:r>
              <w:rPr>
                <w:rFonts w:ascii="Arial" w:cs="Arial" w:eastAsia="Arial" w:hAnsi="Arial"/>
                <w:sz w:val="15"/>
                <w:szCs w:val="15"/>
                <w:color w:val="3E3935"/>
              </w:rPr>
              <w:t>(10)</w:t>
            </w:r>
          </w:p>
        </w:tc>
        <w:tc>
          <w:tcPr>
            <w:tcW w:w="2340" w:type="dxa"/>
            <w:vAlign w:val="bottom"/>
          </w:tcPr>
          <w:p>
            <w:pPr>
              <w:jc w:val="right"/>
              <w:ind w:right="351"/>
              <w:spacing w:after="0"/>
              <w:rPr>
                <w:sz w:val="20"/>
                <w:szCs w:val="20"/>
                <w:color w:val="auto"/>
              </w:rPr>
            </w:pPr>
            <w:r>
              <w:rPr>
                <w:rFonts w:ascii="Arial" w:cs="Arial" w:eastAsia="Arial" w:hAnsi="Arial"/>
                <w:sz w:val="18"/>
                <w:szCs w:val="18"/>
                <w:color w:val="3E3935"/>
              </w:rPr>
              <w:t>106,303,679</w:t>
            </w:r>
          </w:p>
        </w:tc>
        <w:tc>
          <w:tcPr>
            <w:tcW w:w="1640" w:type="dxa"/>
            <w:vAlign w:val="bottom"/>
          </w:tcPr>
          <w:p>
            <w:pPr>
              <w:jc w:val="right"/>
              <w:spacing w:after="0"/>
              <w:rPr>
                <w:sz w:val="20"/>
                <w:szCs w:val="20"/>
                <w:color w:val="auto"/>
              </w:rPr>
            </w:pPr>
            <w:r>
              <w:rPr>
                <w:rFonts w:ascii="Arial" w:cs="Arial" w:eastAsia="Arial" w:hAnsi="Arial"/>
                <w:sz w:val="18"/>
                <w:szCs w:val="18"/>
                <w:color w:val="3E3935"/>
              </w:rPr>
              <w:t>7.3%</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The Vanguard Group</w:t>
            </w:r>
            <w:r>
              <w:rPr>
                <w:rFonts w:ascii="Arial" w:cs="Arial" w:eastAsia="Arial" w:hAnsi="Arial"/>
                <w:sz w:val="15"/>
                <w:szCs w:val="15"/>
                <w:color w:val="3E3935"/>
              </w:rPr>
              <w:t>(11)</w:t>
            </w:r>
          </w:p>
        </w:tc>
        <w:tc>
          <w:tcPr>
            <w:tcW w:w="2340" w:type="dxa"/>
            <w:vAlign w:val="bottom"/>
          </w:tcPr>
          <w:p>
            <w:pPr>
              <w:jc w:val="right"/>
              <w:ind w:right="351"/>
              <w:spacing w:after="0"/>
              <w:rPr>
                <w:sz w:val="20"/>
                <w:szCs w:val="20"/>
                <w:color w:val="auto"/>
              </w:rPr>
            </w:pPr>
            <w:r>
              <w:rPr>
                <w:rFonts w:ascii="Arial" w:cs="Arial" w:eastAsia="Arial" w:hAnsi="Arial"/>
                <w:sz w:val="18"/>
                <w:szCs w:val="18"/>
                <w:color w:val="3E3935"/>
              </w:rPr>
              <w:t>90,641,771</w:t>
            </w:r>
          </w:p>
        </w:tc>
        <w:tc>
          <w:tcPr>
            <w:tcW w:w="1640" w:type="dxa"/>
            <w:vAlign w:val="bottom"/>
          </w:tcPr>
          <w:p>
            <w:pPr>
              <w:jc w:val="right"/>
              <w:spacing w:after="0"/>
              <w:rPr>
                <w:sz w:val="20"/>
                <w:szCs w:val="20"/>
                <w:color w:val="auto"/>
              </w:rPr>
            </w:pPr>
            <w:r>
              <w:rPr>
                <w:rFonts w:ascii="Arial" w:cs="Arial" w:eastAsia="Arial" w:hAnsi="Arial"/>
                <w:sz w:val="18"/>
                <w:szCs w:val="18"/>
                <w:color w:val="3E3935"/>
              </w:rPr>
              <w:t>6.2%</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Capital Research Global Investors</w:t>
            </w:r>
            <w:r>
              <w:rPr>
                <w:rFonts w:ascii="Arial" w:cs="Arial" w:eastAsia="Arial" w:hAnsi="Arial"/>
                <w:sz w:val="15"/>
                <w:szCs w:val="15"/>
                <w:color w:val="3E3935"/>
              </w:rPr>
              <w:t>(12)</w:t>
            </w:r>
          </w:p>
        </w:tc>
        <w:tc>
          <w:tcPr>
            <w:tcW w:w="2340" w:type="dxa"/>
            <w:vAlign w:val="bottom"/>
          </w:tcPr>
          <w:p>
            <w:pPr>
              <w:jc w:val="right"/>
              <w:ind w:right="351"/>
              <w:spacing w:after="0"/>
              <w:rPr>
                <w:sz w:val="20"/>
                <w:szCs w:val="20"/>
                <w:color w:val="auto"/>
              </w:rPr>
            </w:pPr>
            <w:r>
              <w:rPr>
                <w:rFonts w:ascii="Arial" w:cs="Arial" w:eastAsia="Arial" w:hAnsi="Arial"/>
                <w:sz w:val="18"/>
                <w:szCs w:val="18"/>
                <w:color w:val="3E3935"/>
              </w:rPr>
              <w:t>90,122,701</w:t>
            </w:r>
          </w:p>
        </w:tc>
        <w:tc>
          <w:tcPr>
            <w:tcW w:w="1640" w:type="dxa"/>
            <w:vAlign w:val="bottom"/>
          </w:tcPr>
          <w:p>
            <w:pPr>
              <w:jc w:val="right"/>
              <w:spacing w:after="0"/>
              <w:rPr>
                <w:sz w:val="20"/>
                <w:szCs w:val="20"/>
                <w:color w:val="auto"/>
              </w:rPr>
            </w:pPr>
            <w:r>
              <w:rPr>
                <w:rFonts w:ascii="Arial" w:cs="Arial" w:eastAsia="Arial" w:hAnsi="Arial"/>
                <w:sz w:val="18"/>
                <w:szCs w:val="18"/>
                <w:color w:val="3E3935"/>
              </w:rPr>
              <w:t>6.2%</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Capital World Investors</w:t>
            </w:r>
            <w:r>
              <w:rPr>
                <w:rFonts w:ascii="Arial" w:cs="Arial" w:eastAsia="Arial" w:hAnsi="Arial"/>
                <w:sz w:val="15"/>
                <w:szCs w:val="15"/>
                <w:color w:val="3E3935"/>
              </w:rPr>
              <w:t>(13)</w:t>
            </w:r>
          </w:p>
        </w:tc>
        <w:tc>
          <w:tcPr>
            <w:tcW w:w="2340" w:type="dxa"/>
            <w:vAlign w:val="bottom"/>
          </w:tcPr>
          <w:p>
            <w:pPr>
              <w:jc w:val="right"/>
              <w:ind w:right="351"/>
              <w:spacing w:after="0"/>
              <w:rPr>
                <w:sz w:val="20"/>
                <w:szCs w:val="20"/>
                <w:color w:val="auto"/>
              </w:rPr>
            </w:pPr>
            <w:r>
              <w:rPr>
                <w:rFonts w:ascii="Arial" w:cs="Arial" w:eastAsia="Arial" w:hAnsi="Arial"/>
                <w:sz w:val="18"/>
                <w:szCs w:val="18"/>
                <w:color w:val="3E3935"/>
              </w:rPr>
              <w:t>81,002,941</w:t>
            </w:r>
          </w:p>
        </w:tc>
        <w:tc>
          <w:tcPr>
            <w:tcW w:w="1640" w:type="dxa"/>
            <w:vAlign w:val="bottom"/>
          </w:tcPr>
          <w:p>
            <w:pPr>
              <w:jc w:val="right"/>
              <w:spacing w:after="0"/>
              <w:rPr>
                <w:sz w:val="20"/>
                <w:szCs w:val="20"/>
                <w:color w:val="auto"/>
              </w:rPr>
            </w:pPr>
            <w:r>
              <w:rPr>
                <w:rFonts w:ascii="Arial" w:cs="Arial" w:eastAsia="Arial" w:hAnsi="Arial"/>
                <w:sz w:val="18"/>
                <w:szCs w:val="18"/>
                <w:color w:val="3E3935"/>
              </w:rPr>
              <w:t>5.6%</w:t>
            </w:r>
          </w:p>
        </w:tc>
      </w:tr>
      <w:tr>
        <w:trPr>
          <w:trHeight w:val="68"/>
        </w:trPr>
        <w:tc>
          <w:tcPr>
            <w:tcW w:w="10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20" w:type="dxa"/>
            <w:vAlign w:val="bottom"/>
            <w:tcBorders>
              <w:bottom w:val="single" w:sz="8" w:color="3E3935"/>
            </w:tcBorders>
          </w:tcPr>
          <w:p>
            <w:pPr>
              <w:spacing w:after="0"/>
              <w:rPr>
                <w:sz w:val="5"/>
                <w:szCs w:val="5"/>
                <w:color w:val="auto"/>
              </w:rPr>
            </w:pPr>
          </w:p>
        </w:tc>
        <w:tc>
          <w:tcPr>
            <w:tcW w:w="540" w:type="dxa"/>
            <w:vAlign w:val="bottom"/>
            <w:tcBorders>
              <w:bottom w:val="single" w:sz="8" w:color="3E3935"/>
            </w:tcBorders>
          </w:tcPr>
          <w:p>
            <w:pPr>
              <w:spacing w:after="0"/>
              <w:rPr>
                <w:sz w:val="5"/>
                <w:szCs w:val="5"/>
                <w:color w:val="auto"/>
              </w:rPr>
            </w:pPr>
          </w:p>
        </w:tc>
        <w:tc>
          <w:tcPr>
            <w:tcW w:w="4100" w:type="dxa"/>
            <w:vAlign w:val="bottom"/>
            <w:tcBorders>
              <w:bottom w:val="single" w:sz="8" w:color="3E3935"/>
            </w:tcBorders>
          </w:tcPr>
          <w:p>
            <w:pPr>
              <w:spacing w:after="0"/>
              <w:rPr>
                <w:sz w:val="5"/>
                <w:szCs w:val="5"/>
                <w:color w:val="auto"/>
              </w:rPr>
            </w:pPr>
          </w:p>
        </w:tc>
        <w:tc>
          <w:tcPr>
            <w:tcW w:w="2340" w:type="dxa"/>
            <w:vAlign w:val="bottom"/>
            <w:tcBorders>
              <w:bottom w:val="single" w:sz="8" w:color="3E3935"/>
            </w:tcBorders>
          </w:tcPr>
          <w:p>
            <w:pPr>
              <w:spacing w:after="0"/>
              <w:rPr>
                <w:sz w:val="5"/>
                <w:szCs w:val="5"/>
                <w:color w:val="auto"/>
              </w:rPr>
            </w:pPr>
          </w:p>
        </w:tc>
        <w:tc>
          <w:tcPr>
            <w:tcW w:w="1640" w:type="dxa"/>
            <w:vAlign w:val="bottom"/>
            <w:tcBorders>
              <w:bottom w:val="single" w:sz="8" w:color="3E3935"/>
            </w:tcBorders>
          </w:tcPr>
          <w:p>
            <w:pPr>
              <w:spacing w:after="0"/>
              <w:rPr>
                <w:sz w:val="5"/>
                <w:szCs w:val="5"/>
                <w:color w:val="auto"/>
              </w:rPr>
            </w:pPr>
          </w:p>
        </w:tc>
      </w:tr>
      <w:tr>
        <w:trPr>
          <w:trHeight w:val="273"/>
        </w:trPr>
        <w:tc>
          <w:tcPr>
            <w:tcW w:w="6940" w:type="dxa"/>
            <w:vAlign w:val="bottom"/>
            <w:gridSpan w:val="5"/>
          </w:tcPr>
          <w:p>
            <w:pPr>
              <w:ind w:left="100"/>
              <w:spacing w:after="0"/>
              <w:rPr>
                <w:sz w:val="20"/>
                <w:szCs w:val="20"/>
                <w:color w:val="auto"/>
              </w:rPr>
            </w:pPr>
            <w:r>
              <w:rPr>
                <w:rFonts w:ascii="Arial" w:cs="Arial" w:eastAsia="Arial" w:hAnsi="Arial"/>
                <w:sz w:val="18"/>
                <w:szCs w:val="18"/>
                <w:color w:val="3E3935"/>
              </w:rPr>
              <w:t>Berkshire Hathaway Inc.</w:t>
            </w:r>
            <w:r>
              <w:rPr>
                <w:rFonts w:ascii="Arial" w:cs="Arial" w:eastAsia="Arial" w:hAnsi="Arial"/>
                <w:sz w:val="15"/>
                <w:szCs w:val="15"/>
                <w:color w:val="3E3935"/>
              </w:rPr>
              <w:t>(14)</w:t>
            </w:r>
          </w:p>
        </w:tc>
        <w:tc>
          <w:tcPr>
            <w:tcW w:w="2340" w:type="dxa"/>
            <w:vAlign w:val="bottom"/>
          </w:tcPr>
          <w:p>
            <w:pPr>
              <w:jc w:val="right"/>
              <w:ind w:right="351"/>
              <w:spacing w:after="0"/>
              <w:rPr>
                <w:sz w:val="20"/>
                <w:szCs w:val="20"/>
                <w:color w:val="auto"/>
              </w:rPr>
            </w:pPr>
            <w:r>
              <w:rPr>
                <w:rFonts w:ascii="Arial" w:cs="Arial" w:eastAsia="Arial" w:hAnsi="Arial"/>
                <w:sz w:val="18"/>
                <w:szCs w:val="18"/>
                <w:color w:val="3E3935"/>
              </w:rPr>
              <w:t>72,500,000</w:t>
            </w:r>
          </w:p>
        </w:tc>
        <w:tc>
          <w:tcPr>
            <w:tcW w:w="1640" w:type="dxa"/>
            <w:vAlign w:val="bottom"/>
          </w:tcPr>
          <w:p>
            <w:pPr>
              <w:jc w:val="right"/>
              <w:spacing w:after="0"/>
              <w:rPr>
                <w:sz w:val="20"/>
                <w:szCs w:val="20"/>
                <w:color w:val="auto"/>
              </w:rPr>
            </w:pPr>
            <w:r>
              <w:rPr>
                <w:rFonts w:ascii="Arial" w:cs="Arial" w:eastAsia="Arial" w:hAnsi="Arial"/>
                <w:sz w:val="18"/>
                <w:szCs w:val="18"/>
                <w:color w:val="3E3935"/>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ind w:left="600" w:hanging="433"/>
        <w:spacing w:after="0"/>
        <w:tabs>
          <w:tab w:leader="none" w:pos="600" w:val="left"/>
        </w:tabs>
        <w:numPr>
          <w:ilvl w:val="0"/>
          <w:numId w:val="52"/>
        </w:numPr>
        <w:rPr>
          <w:rFonts w:ascii="Arial" w:cs="Arial" w:eastAsia="Arial" w:hAnsi="Arial"/>
          <w:sz w:val="18"/>
          <w:szCs w:val="18"/>
          <w:i w:val="1"/>
          <w:iCs w:val="1"/>
          <w:color w:val="3E3935"/>
        </w:rPr>
      </w:pPr>
      <w:r>
        <w:rPr>
          <w:rFonts w:ascii="Arial" w:cs="Arial" w:eastAsia="Arial" w:hAnsi="Arial"/>
          <w:sz w:val="18"/>
          <w:szCs w:val="18"/>
          <w:i w:val="1"/>
          <w:iCs w:val="1"/>
          <w:color w:val="3E3935"/>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101600</wp:posOffset>
            </wp:positionV>
            <wp:extent cx="5927725" cy="101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4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36</w:t>
      </w:r>
    </w:p>
    <w:p>
      <w:pPr>
        <w:sectPr>
          <w:pgSz w:w="11900" w:h="16838" w:orient="portrait"/>
          <w:cols w:equalWidth="0" w:num="1">
            <w:col w:w="11080"/>
          </w:cols>
          <w:pgMar w:left="320" w:top="456" w:right="499" w:bottom="642"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hanging="433"/>
        <w:spacing w:after="0"/>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c/o General Motors Company, 300 Renaissance Center, Detroit, Michigan 48265.</w:t>
      </w:r>
    </w:p>
    <w:p>
      <w:pPr>
        <w:spacing w:after="0" w:line="73" w:lineRule="exact"/>
        <w:rPr>
          <w:rFonts w:ascii="Arial" w:cs="Arial" w:eastAsia="Arial" w:hAnsi="Arial"/>
          <w:sz w:val="18"/>
          <w:szCs w:val="18"/>
          <w:i w:val="1"/>
          <w:iCs w:val="1"/>
          <w:color w:val="3E3935"/>
        </w:rPr>
      </w:pPr>
    </w:p>
    <w:p>
      <w:pPr>
        <w:jc w:val="both"/>
        <w:ind w:left="600" w:hanging="433"/>
        <w:spacing w:after="0" w:line="239"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represent common stock only and do not include DSUs, which are unit equivalents of our common stock, under the Director Compensation Plan described on page 12 of this Proxy Statement. Directors hold the following number of DSUs: 16,348 DSUs for Mr. Bush; 26,416 DSUs for Ms. Gooden; 49,863 DSUs for Mr. Jimenez; 39,363 DSUs for Ms. Mendillo; 9,695 DSUs for Ms. Miscik; 51,164 DSUs for Ms. Russo; 40,336 DSUs for Mr. Schoewe; 102,143 DSUs for Mr. Solso; 76,552 DSUs for Ms. Stephenson; 0 DSUs for Mr. Tatum; 24,461 DSUs for Mr. Wenig; and 0 DSUs for Ms. Whitman.</w:t>
      </w:r>
    </w:p>
    <w:p>
      <w:pPr>
        <w:spacing w:after="0" w:line="52" w:lineRule="exact"/>
        <w:rPr>
          <w:rFonts w:ascii="Arial" w:cs="Arial" w:eastAsia="Arial" w:hAnsi="Arial"/>
          <w:sz w:val="18"/>
          <w:szCs w:val="18"/>
          <w:i w:val="1"/>
          <w:iCs w:val="1"/>
          <w:color w:val="3E3935"/>
        </w:rPr>
      </w:pPr>
    </w:p>
    <w:p>
      <w:pPr>
        <w:jc w:val="both"/>
        <w:ind w:left="600" w:hanging="433"/>
        <w:spacing w:after="0" w:line="246"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include shares that may be acquired upon exercise of stock options that are currently exercisable or will become exercisable within 60 days of April 15, 2021, as follows: 1,627,619 shares for Ms. Barra; 12,654 shares for Mr. Jacobson; 530,644 shares for Mr. Reuss; 73,046 shares for Mr. Parks; 24,306 shares for Mr. Carlisle; and 162,301 shares for Mr. Stapleton.</w:t>
      </w:r>
    </w:p>
    <w:p>
      <w:pPr>
        <w:spacing w:after="0" w:line="45" w:lineRule="exact"/>
        <w:rPr>
          <w:rFonts w:ascii="Arial" w:cs="Arial" w:eastAsia="Arial" w:hAnsi="Arial"/>
          <w:sz w:val="18"/>
          <w:szCs w:val="18"/>
          <w:i w:val="1"/>
          <w:iCs w:val="1"/>
          <w:color w:val="3E3935"/>
        </w:rPr>
      </w:pPr>
    </w:p>
    <w:p>
      <w:pPr>
        <w:ind w:left="600" w:hanging="433"/>
        <w:spacing w:after="0"/>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Mr. Jacobson joined the Company as the Executive Vice President and Chief Financial Officer, effective December 1, 2020.</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Mr. Carlisle was named Executive Vice President and President, North America, effective July 15, 2020.</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Ms. Suryadevara resigned as Executive Vice President and Chief Financial Officer, effective September 1, 2020.</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Mr. Stapleton served as the Acting Chief Financial Officer from August 15, 2020, through November 30, 2020.</w:t>
      </w:r>
    </w:p>
    <w:p>
      <w:pPr>
        <w:spacing w:after="0" w:line="73" w:lineRule="exact"/>
        <w:rPr>
          <w:rFonts w:ascii="Arial" w:cs="Arial" w:eastAsia="Arial" w:hAnsi="Arial"/>
          <w:sz w:val="18"/>
          <w:szCs w:val="18"/>
          <w:i w:val="1"/>
          <w:iCs w:val="1"/>
          <w:color w:val="3E3935"/>
        </w:rPr>
      </w:pPr>
    </w:p>
    <w:p>
      <w:pPr>
        <w:ind w:left="600" w:hanging="433"/>
        <w:spacing w:after="0" w:line="260"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On July 6, 2020, the Company determined that Mr. Engle would leave his position as Executive Vice President and President, North America, and separated from the Company effective September 1, 2020.</w:t>
      </w:r>
    </w:p>
    <w:p>
      <w:pPr>
        <w:spacing w:after="0" w:line="32" w:lineRule="exact"/>
        <w:rPr>
          <w:rFonts w:ascii="Arial" w:cs="Arial" w:eastAsia="Arial" w:hAnsi="Arial"/>
          <w:sz w:val="18"/>
          <w:szCs w:val="18"/>
          <w:i w:val="1"/>
          <w:iCs w:val="1"/>
          <w:color w:val="3E3935"/>
        </w:rPr>
      </w:pPr>
    </w:p>
    <w:p>
      <w:pPr>
        <w:jc w:val="both"/>
        <w:ind w:left="600" w:hanging="433"/>
        <w:spacing w:after="0" w:line="290" w:lineRule="auto"/>
        <w:tabs>
          <w:tab w:leader="none" w:pos="600" w:val="left"/>
        </w:tabs>
        <w:numPr>
          <w:ilvl w:val="0"/>
          <w:numId w:val="53"/>
        </w:numPr>
        <w:rPr>
          <w:rFonts w:ascii="Arial" w:cs="Arial" w:eastAsia="Arial" w:hAnsi="Arial"/>
          <w:sz w:val="17"/>
          <w:szCs w:val="17"/>
          <w:i w:val="1"/>
          <w:iCs w:val="1"/>
          <w:color w:val="3E3935"/>
        </w:rPr>
      </w:pPr>
      <w:r>
        <w:rPr>
          <w:rFonts w:ascii="Arial" w:cs="Arial" w:eastAsia="Arial" w:hAnsi="Arial"/>
          <w:sz w:val="17"/>
          <w:szCs w:val="17"/>
          <w:i w:val="1"/>
          <w:iCs w:val="1"/>
          <w:color w:val="3E3935"/>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9" w:lineRule="exact"/>
        <w:rPr>
          <w:rFonts w:ascii="Arial" w:cs="Arial" w:eastAsia="Arial" w:hAnsi="Arial"/>
          <w:sz w:val="17"/>
          <w:szCs w:val="17"/>
          <w:i w:val="1"/>
          <w:iCs w:val="1"/>
          <w:color w:val="3E3935"/>
        </w:rPr>
      </w:pPr>
    </w:p>
    <w:p>
      <w:pPr>
        <w:jc w:val="both"/>
        <w:ind w:left="600" w:hanging="433"/>
        <w:spacing w:after="0" w:line="239"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January 29, 2021, BlackRock, Inc., reported that it and its subsidiaries listed on Exhibit A to Schedule 13G/A were the beneficial owners of 106,303,679 shares of GM’s outstanding common stock as of December 31, 2020. BlackRock reported having sole voting power over 94,239,240 shares and sole dispositive power over 106,303,679 shares. No shared voting or dispositive powers were reported. The address for BlackRock, Inc., is 55 East 52nd Street, New York, New York 10055.</w:t>
      </w:r>
    </w:p>
    <w:p>
      <w:pPr>
        <w:spacing w:after="0" w:line="52" w:lineRule="exact"/>
        <w:rPr>
          <w:rFonts w:ascii="Arial" w:cs="Arial" w:eastAsia="Arial" w:hAnsi="Arial"/>
          <w:sz w:val="18"/>
          <w:szCs w:val="18"/>
          <w:i w:val="1"/>
          <w:iCs w:val="1"/>
          <w:color w:val="3E3935"/>
        </w:rPr>
      </w:pPr>
    </w:p>
    <w:p>
      <w:pPr>
        <w:jc w:val="both"/>
        <w:ind w:left="600" w:hanging="433"/>
        <w:spacing w:after="0" w:line="239"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10, 2021, The Vanguard Group reported that it and its subsidiaries listed on Appendix A of Schedule 13G/A were the beneficial owners of 90,641,771 shares of GM’s outstanding common stock as of December 31, 2020. The Vanguard Group reported having sole dispositive power over 85,272,471 shares, shared voting power over 2,017,193 shares, and shared dispositive power over 5,369,300 shares. No sole voting power was reported. The address for The Vanguard Group is 100 Vanguard Boulevard, Malvern, Pennsylvania 19355.</w:t>
      </w:r>
    </w:p>
    <w:p>
      <w:pPr>
        <w:spacing w:after="0" w:line="52"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 filed with the SEC on February 16, 2021, Capital Research Global Investors reported that it is the beneficial owner of 90,122,701 shares of GM’s outstanding common stock as of December 31, 2020. Capital Research Global Investors reported having sole voting power over 90,119,869 shares and sole dispositive power over 90,122,701 shares. No shared voting or dispositive powers were reported.</w:t>
      </w:r>
    </w:p>
    <w:p>
      <w:pPr>
        <w:spacing w:after="0" w:line="47"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53"/>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16, 2021, Capital World Investors reported that it is the beneficial owner of 81,002,941 shares of GM’s outstanding common stock as of December 31, 2020. Capital World Investors reported having sole voting power over 80,878,094 shares and sole dispositive power over 81,002,941 shares. No shared voting or dispositive powers were reported.</w:t>
      </w:r>
    </w:p>
    <w:p>
      <w:pPr>
        <w:spacing w:after="0" w:line="47" w:lineRule="exact"/>
        <w:rPr>
          <w:rFonts w:ascii="Arial" w:cs="Arial" w:eastAsia="Arial" w:hAnsi="Arial"/>
          <w:sz w:val="18"/>
          <w:szCs w:val="18"/>
          <w:i w:val="1"/>
          <w:iCs w:val="1"/>
          <w:color w:val="3E3935"/>
        </w:rPr>
      </w:pPr>
    </w:p>
    <w:p>
      <w:pPr>
        <w:jc w:val="both"/>
        <w:ind w:left="600" w:hanging="433"/>
        <w:spacing w:after="0" w:line="260" w:lineRule="auto"/>
        <w:tabs>
          <w:tab w:leader="none" w:pos="600" w:val="left"/>
        </w:tabs>
        <w:numPr>
          <w:ilvl w:val="0"/>
          <w:numId w:val="53"/>
        </w:numPr>
        <w:rPr>
          <w:rFonts w:ascii="Arial" w:cs="Arial" w:eastAsia="Arial" w:hAnsi="Arial"/>
          <w:sz w:val="17"/>
          <w:szCs w:val="17"/>
          <w:i w:val="1"/>
          <w:iCs w:val="1"/>
          <w:color w:val="3E3935"/>
        </w:rPr>
      </w:pPr>
      <w:r>
        <w:rPr>
          <w:rFonts w:ascii="Arial" w:cs="Arial" w:eastAsia="Arial" w:hAnsi="Arial"/>
          <w:sz w:val="17"/>
          <w:szCs w:val="17"/>
          <w:i w:val="1"/>
          <w:iCs w:val="1"/>
          <w:color w:val="3E3935"/>
        </w:rPr>
        <w:t>Based solely on information set forth in a Schedule 13G/A filed with the SEC on February 16, 2021, Warren E. Buffett and Berkshire Hathaway Inc. and its subsidiaries listed on Exhibit A to Schedule 13G/A reported being the beneficial owners of 72,500,000 shares of GM’s outstanding common stock as of December 31, 2020, over which they had shared voting and dispositive power. No sole voting or dispositive power was reported. The address for Berkshire Hathaway Inc. is 3555 Farnam Street, Omaha, Nebraska 68131.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76835</wp:posOffset>
            </wp:positionV>
            <wp:extent cx="5927725" cy="1016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6"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37</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AUDIT COMMITTEE REPORT</w:t>
      </w:r>
    </w:p>
    <w:p>
      <w:pPr>
        <w:spacing w:after="0" w:line="194"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Audit Committee of the Board of Directors of General Motors Company is a standing committee composed of five directors: Thomas M. Schoewe (Chair), Wesley G. Bush, Linda R. Gooden, and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175895</wp:posOffset>
            </wp:positionV>
            <wp:extent cx="6369050" cy="8832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69050" cy="88328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Purpose</w:t>
      </w:r>
    </w:p>
    <w:p>
      <w:pPr>
        <w:spacing w:after="0" w:line="202"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Audit Committee’s core purpose is to assist the Board by providing oversight of:</w:t>
      </w:r>
    </w:p>
    <w:p>
      <w:pPr>
        <w:ind w:left="640" w:hanging="259"/>
        <w:spacing w:after="0" w:line="181" w:lineRule="auto"/>
        <w:tabs>
          <w:tab w:leader="none" w:pos="640" w:val="left"/>
        </w:tabs>
        <w:numPr>
          <w:ilvl w:val="0"/>
          <w:numId w:val="54"/>
        </w:numPr>
        <w:rPr>
          <w:rFonts w:ascii="Arial" w:cs="Arial" w:eastAsia="Arial" w:hAnsi="Arial"/>
          <w:sz w:val="34"/>
          <w:szCs w:val="34"/>
          <w:color w:val="00C1DE"/>
          <w:vertAlign w:val="subscript"/>
        </w:rPr>
      </w:pPr>
      <w:r>
        <w:rPr>
          <w:rFonts w:ascii="Arial" w:cs="Arial" w:eastAsia="Arial" w:hAnsi="Arial"/>
          <w:sz w:val="16"/>
          <w:szCs w:val="16"/>
          <w:color w:val="3E3935"/>
        </w:rPr>
        <w:t>The quality and integrity of GM’s financial statements;</w:t>
      </w:r>
    </w:p>
    <w:p>
      <w:pPr>
        <w:spacing w:after="0" w:line="152" w:lineRule="exact"/>
        <w:rPr>
          <w:rFonts w:ascii="Arial" w:cs="Arial" w:eastAsia="Arial" w:hAnsi="Arial"/>
          <w:sz w:val="34"/>
          <w:szCs w:val="34"/>
          <w:color w:val="00C1DE"/>
          <w:vertAlign w:val="subscript"/>
        </w:rPr>
      </w:pPr>
    </w:p>
    <w:p>
      <w:pPr>
        <w:ind w:left="640" w:right="20" w:hanging="259"/>
        <w:spacing w:after="0" w:line="223" w:lineRule="auto"/>
        <w:tabs>
          <w:tab w:leader="none" w:pos="640" w:val="left"/>
        </w:tabs>
        <w:numPr>
          <w:ilvl w:val="0"/>
          <w:numId w:val="54"/>
        </w:numPr>
        <w:rPr>
          <w:rFonts w:ascii="Arial" w:cs="Arial" w:eastAsia="Arial" w:hAnsi="Arial"/>
          <w:sz w:val="42"/>
          <w:szCs w:val="42"/>
          <w:color w:val="00C1DE"/>
          <w:vertAlign w:val="subscript"/>
        </w:rPr>
      </w:pPr>
      <w:r>
        <w:rPr>
          <w:rFonts w:ascii="Arial" w:cs="Arial" w:eastAsia="Arial" w:hAnsi="Arial"/>
          <w:sz w:val="17"/>
          <w:szCs w:val="17"/>
          <w:color w:val="3E3935"/>
        </w:rPr>
        <w:t>GM’s compliance with legal and regulatory requirements; and</w:t>
      </w:r>
    </w:p>
    <w:p>
      <w:pPr>
        <w:spacing w:after="0" w:line="59" w:lineRule="exact"/>
        <w:rPr>
          <w:rFonts w:ascii="Arial" w:cs="Arial" w:eastAsia="Arial" w:hAnsi="Arial"/>
          <w:sz w:val="42"/>
          <w:szCs w:val="42"/>
          <w:color w:val="00C1DE"/>
          <w:vertAlign w:val="subscript"/>
        </w:rPr>
      </w:pPr>
    </w:p>
    <w:p>
      <w:pPr>
        <w:jc w:val="both"/>
        <w:ind w:left="640" w:hanging="259"/>
        <w:spacing w:after="0" w:line="182" w:lineRule="auto"/>
        <w:tabs>
          <w:tab w:leader="none" w:pos="640" w:val="left"/>
        </w:tabs>
        <w:numPr>
          <w:ilvl w:val="0"/>
          <w:numId w:val="54"/>
        </w:numPr>
        <w:rPr>
          <w:rFonts w:ascii="Arial" w:cs="Arial" w:eastAsia="Arial" w:hAnsi="Arial"/>
          <w:sz w:val="42"/>
          <w:szCs w:val="42"/>
          <w:color w:val="00C1DE"/>
          <w:vertAlign w:val="subscript"/>
        </w:rPr>
      </w:pPr>
      <w:r>
        <w:rPr>
          <w:rFonts w:ascii="Arial" w:cs="Arial" w:eastAsia="Arial" w:hAnsi="Arial"/>
          <w:sz w:val="17"/>
          <w:szCs w:val="17"/>
          <w:color w:val="3E3935"/>
        </w:rPr>
        <w:t>The qualifications and independence of GM’s external auditors and the performance of GM’s internal audit staff and external auditors.</w:t>
      </w:r>
    </w:p>
    <w:p>
      <w:pPr>
        <w:spacing w:after="0" w:line="11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 xml:space="preserve">The Audit Committee operates under a written charter adopted by the Audit Committee and approved by the Board of Directors. The Audit Committee’s charter is posted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 The Audit Committee’s charter is reviewed at least annually and updated as necessary to address changes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regulatory requirements, authoritative guidance, evolving oversight practices, and shareholder feedback.</w:t>
      </w:r>
    </w:p>
    <w:p>
      <w:pPr>
        <w:spacing w:after="0" w:line="11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3E3935"/>
        </w:rPr>
        <w:t>Management is responsible for the Company’s internal controls and the financial reporting process and has delivered its opinion on the effectiveness of the Company’s controls. EY is responsible for performing an independent audit of the Company’s consolidated financial statements and opining on the effectiveness of internal controls over financial reporting in accordance with the standards of the Public Company Accounting Oversight Board (United States) (the “PCAOB”) and issuing its reports thereon. As provided in its charter, the Audit Committee’s responsibilities include monitoring and overseeing these processes.</w:t>
      </w:r>
    </w:p>
    <w:p>
      <w:pPr>
        <w:spacing w:after="0" w:line="75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Required Disclosures</w:t>
      </w:r>
    </w:p>
    <w:p>
      <w:pPr>
        <w:spacing w:after="0" w:line="202"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3E3935"/>
        </w:rPr>
        <w:t>In 2020, the Audit Committee met seven times and fulfilled all of its core charter obligations. Consistent with its charter responsibilities, the Audit Committee met and held discussions with management and EY regarding the Company’s audited financial statements and internal controls for the year ended December 31, 2020.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to be discussed by the requirements of the PCAOB and the SEC. This review included a discussion with management and EY of the quality, not merely the acceptability, of GM’s accounting principles, the reasonableness of significant estimates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182245</wp:posOffset>
            </wp:positionV>
            <wp:extent cx="5927725" cy="1016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71" w:lineRule="exact"/>
        <w:rPr>
          <w:sz w:val="20"/>
          <w:szCs w:val="20"/>
          <w:color w:val="auto"/>
        </w:rPr>
      </w:pPr>
    </w:p>
    <w:p>
      <w:pPr>
        <w:jc w:val="center"/>
        <w:ind w:right="4920"/>
        <w:spacing w:after="0"/>
        <w:rPr>
          <w:sz w:val="20"/>
          <w:szCs w:val="20"/>
          <w:color w:val="auto"/>
        </w:rPr>
      </w:pPr>
      <w:r>
        <w:rPr>
          <w:rFonts w:ascii="Arial" w:cs="Arial" w:eastAsia="Arial" w:hAnsi="Arial"/>
          <w:sz w:val="14"/>
          <w:szCs w:val="14"/>
          <w:color w:val="0071CE"/>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3E3935"/>
        </w:rPr>
        <w:t>judgments, and the clarity of disclosure in GM’s financial statements, including the disclosures related to critical accounting estimates and critical audit matters. EY also provided to the Audit Committee the written disclosures and letter required by the applicable requirements of the PCAOB concerning independence, and the Audit Committee discussed with EY the auditor’s independence. The Audit Committee also considered and determined that the provision of non-audit services to GM is compatible with maintaining EY’s independence. The Audit Committee concluded that EY was independent from the Company and management.</w:t>
      </w:r>
    </w:p>
    <w:p>
      <w:pPr>
        <w:spacing w:after="0" w:line="12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For additional information about GM’s policies and procedures related to the approval of EY’s audit and non-audit services, see “Policy for Approval of Audit and Permitted Non-Audit Services” on page 40 of this Proxy Statement.</w:t>
      </w:r>
    </w:p>
    <w:p>
      <w:pPr>
        <w:sectPr>
          <w:pgSz w:w="11900" w:h="16838" w:orient="portrait"/>
          <w:cols w:equalWidth="0" w:num="2">
            <w:col w:w="5400" w:space="340"/>
            <w:col w:w="5340"/>
          </w:cols>
          <w:pgMar w:left="320" w:top="456" w:right="4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9"/>
          <w:szCs w:val="29"/>
          <w:color w:val="3E3935"/>
        </w:rPr>
        <w:t>Recommendation</w:t>
      </w:r>
    </w:p>
    <w:p>
      <w:pPr>
        <w:spacing w:after="0" w:line="186" w:lineRule="exact"/>
        <w:rPr>
          <w:sz w:val="20"/>
          <w:szCs w:val="20"/>
          <w:color w:val="auto"/>
        </w:rPr>
      </w:pPr>
    </w:p>
    <w:p>
      <w:pPr>
        <w:ind w:left="160"/>
        <w:spacing w:after="0"/>
        <w:tabs>
          <w:tab w:leader="none" w:pos="880" w:val="left"/>
          <w:tab w:leader="none" w:pos="1500" w:val="left"/>
          <w:tab w:leader="none" w:pos="1940" w:val="left"/>
          <w:tab w:leader="none" w:pos="2580" w:val="left"/>
          <w:tab w:leader="none" w:pos="3840" w:val="left"/>
          <w:tab w:leader="none" w:pos="5040" w:val="left"/>
        </w:tabs>
        <w:rPr>
          <w:sz w:val="20"/>
          <w:szCs w:val="20"/>
          <w:color w:val="auto"/>
        </w:rPr>
      </w:pPr>
      <w:r>
        <w:rPr>
          <w:rFonts w:ascii="Arial" w:cs="Arial" w:eastAsia="Arial" w:hAnsi="Arial"/>
          <w:sz w:val="20"/>
          <w:szCs w:val="20"/>
          <w:color w:val="3E3935"/>
        </w:rPr>
        <w:t>Based</w:t>
        <w:tab/>
        <w:t>upon</w:t>
        <w:tab/>
        <w:t>the</w:t>
        <w:tab/>
        <w:t>Audit</w:t>
        <w:tab/>
        <w:t>Committee’s</w:t>
        <w:tab/>
        <w:t>discussions</w:t>
      </w:r>
      <w:r>
        <w:rPr>
          <w:sz w:val="20"/>
          <w:szCs w:val="20"/>
          <w:color w:val="auto"/>
        </w:rPr>
        <w:tab/>
      </w:r>
      <w:r>
        <w:rPr>
          <w:rFonts w:ascii="Arial" w:cs="Arial" w:eastAsia="Arial" w:hAnsi="Arial"/>
          <w:sz w:val="19"/>
          <w:szCs w:val="19"/>
          <w:color w:val="3E3935"/>
        </w:rPr>
        <w:t>with</w:t>
      </w:r>
    </w:p>
    <w:p>
      <w:pPr>
        <w:ind w:left="160"/>
        <w:spacing w:after="0" w:line="223" w:lineRule="auto"/>
        <w:rPr>
          <w:sz w:val="20"/>
          <w:szCs w:val="20"/>
          <w:color w:val="auto"/>
        </w:rPr>
      </w:pPr>
      <w:r>
        <w:rPr>
          <w:rFonts w:ascii="Arial" w:cs="Arial" w:eastAsia="Arial" w:hAnsi="Arial"/>
          <w:sz w:val="20"/>
          <w:szCs w:val="20"/>
          <w:color w:val="3E3935"/>
        </w:rPr>
        <w:t>management and EY as described in this report and the</w:t>
      </w:r>
    </w:p>
    <w:p>
      <w:pPr>
        <w:ind w:left="160"/>
        <w:spacing w:after="0" w:line="235" w:lineRule="auto"/>
        <w:tabs>
          <w:tab w:leader="none" w:pos="800" w:val="left"/>
          <w:tab w:leader="none" w:pos="2100" w:val="left"/>
          <w:tab w:leader="none" w:pos="2880" w:val="left"/>
          <w:tab w:leader="none" w:pos="3260" w:val="left"/>
          <w:tab w:leader="none" w:pos="3740" w:val="left"/>
          <w:tab w:leader="none" w:pos="5220" w:val="left"/>
        </w:tabs>
        <w:rPr>
          <w:sz w:val="20"/>
          <w:szCs w:val="20"/>
          <w:color w:val="auto"/>
        </w:rPr>
      </w:pPr>
      <w:r>
        <w:rPr>
          <w:rFonts w:ascii="Arial" w:cs="Arial" w:eastAsia="Arial" w:hAnsi="Arial"/>
          <w:sz w:val="20"/>
          <w:szCs w:val="20"/>
          <w:color w:val="3E3935"/>
        </w:rPr>
        <w:t>Audit</w:t>
        <w:tab/>
        <w:t>Committee’s</w:t>
        <w:tab/>
        <w:t>review</w:t>
        <w:tab/>
        <w:t>of</w:t>
        <w:tab/>
        <w:t>the</w:t>
        <w:tab/>
        <w:t>representation</w:t>
      </w:r>
      <w:r>
        <w:rPr>
          <w:sz w:val="20"/>
          <w:szCs w:val="20"/>
          <w:color w:val="auto"/>
        </w:rPr>
        <w:tab/>
      </w:r>
      <w:r>
        <w:rPr>
          <w:rFonts w:ascii="Arial" w:cs="Arial" w:eastAsia="Arial" w:hAnsi="Arial"/>
          <w:sz w:val="19"/>
          <w:szCs w:val="19"/>
          <w:color w:val="3E3935"/>
        </w:rPr>
        <w:t>of</w:t>
      </w:r>
    </w:p>
    <w:p>
      <w:pPr>
        <w:ind w:left="160"/>
        <w:spacing w:after="0" w:line="223" w:lineRule="auto"/>
        <w:rPr>
          <w:sz w:val="20"/>
          <w:szCs w:val="20"/>
          <w:color w:val="auto"/>
        </w:rPr>
      </w:pPr>
      <w:r>
        <w:rPr>
          <w:rFonts w:ascii="Arial" w:cs="Arial" w:eastAsia="Arial" w:hAnsi="Arial"/>
          <w:sz w:val="20"/>
          <w:szCs w:val="20"/>
          <w:color w:val="3E3935"/>
        </w:rPr>
        <w:t>management and the reports of EY to the Audit Committee,</w:t>
      </w:r>
    </w:p>
    <w:p>
      <w:pPr>
        <w:ind w:left="160"/>
        <w:spacing w:after="0" w:line="223" w:lineRule="auto"/>
        <w:tabs>
          <w:tab w:leader="none" w:pos="580" w:val="left"/>
          <w:tab w:leader="none" w:pos="1200" w:val="left"/>
          <w:tab w:leader="none" w:pos="2320" w:val="left"/>
          <w:tab w:leader="none" w:pos="3740" w:val="left"/>
          <w:tab w:leader="none" w:pos="4080" w:val="left"/>
          <w:tab w:leader="none" w:pos="4520" w:val="left"/>
          <w:tab w:leader="none" w:pos="5200" w:val="left"/>
        </w:tabs>
        <w:rPr>
          <w:sz w:val="20"/>
          <w:szCs w:val="20"/>
          <w:color w:val="auto"/>
        </w:rPr>
      </w:pPr>
      <w:r>
        <w:rPr>
          <w:rFonts w:ascii="Arial" w:cs="Arial" w:eastAsia="Arial" w:hAnsi="Arial"/>
          <w:sz w:val="20"/>
          <w:szCs w:val="20"/>
          <w:color w:val="3E3935"/>
        </w:rPr>
        <w:t>the</w:t>
        <w:tab/>
        <w:t>Audit</w:t>
        <w:tab/>
        <w:t>Committee</w:t>
        <w:tab/>
        <w:t>recommended</w:t>
        <w:tab/>
        <w:t>to</w:t>
        <w:tab/>
        <w:t>the</w:t>
        <w:tab/>
        <w:t>Board</w:t>
        <w:tab/>
        <w:t>of</w:t>
      </w:r>
    </w:p>
    <w:p>
      <w:pPr>
        <w:ind w:left="160"/>
        <w:spacing w:after="0"/>
        <w:tabs>
          <w:tab w:leader="none" w:pos="1160" w:val="left"/>
          <w:tab w:leader="none" w:pos="1660" w:val="left"/>
          <w:tab w:leader="none" w:pos="2100" w:val="left"/>
          <w:tab w:leader="none" w:pos="2780" w:val="left"/>
          <w:tab w:leader="none" w:pos="3120" w:val="left"/>
          <w:tab w:leader="none" w:pos="4080" w:val="left"/>
          <w:tab w:leader="none" w:pos="5120" w:val="left"/>
        </w:tabs>
        <w:rPr>
          <w:sz w:val="20"/>
          <w:szCs w:val="20"/>
          <w:color w:val="auto"/>
        </w:rPr>
      </w:pPr>
      <w:r>
        <w:rPr>
          <w:rFonts w:ascii="Arial" w:cs="Arial" w:eastAsia="Arial" w:hAnsi="Arial"/>
          <w:sz w:val="20"/>
          <w:szCs w:val="20"/>
          <w:color w:val="3E3935"/>
        </w:rPr>
        <w:t>Directors,</w:t>
        <w:tab/>
        <w:t>and</w:t>
        <w:tab/>
        <w:t>the</w:t>
        <w:tab/>
        <w:t>Board</w:t>
        <w:tab/>
        <w:t>of</w:t>
        <w:tab/>
        <w:t>Directors</w:t>
        <w:tab/>
        <w:t>approved,</w:t>
      </w:r>
      <w:r>
        <w:rPr>
          <w:sz w:val="20"/>
          <w:szCs w:val="20"/>
          <w:color w:val="auto"/>
        </w:rPr>
        <w:tab/>
      </w:r>
      <w:r>
        <w:rPr>
          <w:rFonts w:ascii="Arial" w:cs="Arial" w:eastAsia="Arial" w:hAnsi="Arial"/>
          <w:sz w:val="17"/>
          <w:szCs w:val="17"/>
          <w:color w:val="3E3935"/>
        </w:rPr>
        <w:t>the</w:t>
      </w:r>
    </w:p>
    <w:p>
      <w:pPr>
        <w:ind w:left="160"/>
        <w:spacing w:after="0" w:line="223" w:lineRule="auto"/>
        <w:rPr>
          <w:sz w:val="20"/>
          <w:szCs w:val="20"/>
          <w:color w:val="auto"/>
        </w:rPr>
      </w:pPr>
      <w:r>
        <w:rPr>
          <w:rFonts w:ascii="Arial" w:cs="Arial" w:eastAsia="Arial" w:hAnsi="Arial"/>
          <w:sz w:val="20"/>
          <w:szCs w:val="20"/>
          <w:color w:val="3E3935"/>
        </w:rPr>
        <w:t>inclusion of the audited consolidated financial statements in</w:t>
      </w:r>
    </w:p>
    <w:p>
      <w:pPr>
        <w:ind w:left="160"/>
        <w:spacing w:after="0" w:line="223" w:lineRule="auto"/>
        <w:rPr>
          <w:sz w:val="20"/>
          <w:szCs w:val="20"/>
          <w:color w:val="auto"/>
        </w:rPr>
      </w:pPr>
      <w:r>
        <w:rPr>
          <w:rFonts w:ascii="Arial" w:cs="Arial" w:eastAsia="Arial" w:hAnsi="Arial"/>
          <w:sz w:val="20"/>
          <w:szCs w:val="20"/>
          <w:color w:val="3E3935"/>
        </w:rPr>
        <w:t>the Company’s Annual Report on Form 10-K for the year</w:t>
      </w:r>
    </w:p>
    <w:p>
      <w:pPr>
        <w:ind w:left="160"/>
        <w:spacing w:after="0" w:line="224" w:lineRule="auto"/>
        <w:rPr>
          <w:sz w:val="20"/>
          <w:szCs w:val="20"/>
          <w:color w:val="auto"/>
        </w:rPr>
      </w:pPr>
      <w:r>
        <w:rPr>
          <w:rFonts w:ascii="Arial" w:cs="Arial" w:eastAsia="Arial" w:hAnsi="Arial"/>
          <w:sz w:val="20"/>
          <w:szCs w:val="20"/>
          <w:color w:val="3E3935"/>
        </w:rPr>
        <w:t>ended December 31, 2020, as filed with the U.S. Securities</w:t>
      </w:r>
    </w:p>
    <w:p>
      <w:pPr>
        <w:ind w:left="160"/>
        <w:spacing w:after="0"/>
        <w:rPr>
          <w:sz w:val="20"/>
          <w:szCs w:val="20"/>
          <w:color w:val="auto"/>
        </w:rPr>
      </w:pPr>
      <w:r>
        <w:rPr>
          <w:rFonts w:ascii="Arial" w:cs="Arial" w:eastAsia="Arial" w:hAnsi="Arial"/>
          <w:sz w:val="20"/>
          <w:szCs w:val="20"/>
          <w:color w:val="3E3935"/>
        </w:rPr>
        <w:t>and Exchange Commission on February 10, 2021.</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Audit Committee</w:t>
      </w:r>
    </w:p>
    <w:p>
      <w:pPr>
        <w:ind w:left="160"/>
        <w:spacing w:after="0" w:line="231" w:lineRule="auto"/>
        <w:rPr>
          <w:sz w:val="20"/>
          <w:szCs w:val="20"/>
          <w:color w:val="auto"/>
        </w:rPr>
      </w:pPr>
      <w:r>
        <w:rPr>
          <w:rFonts w:ascii="Arial" w:cs="Arial" w:eastAsia="Arial" w:hAnsi="Arial"/>
          <w:sz w:val="20"/>
          <w:szCs w:val="20"/>
          <w:color w:val="3E3935"/>
        </w:rPr>
        <w:t>Thomas M. Schoewe (Chair)</w:t>
      </w:r>
    </w:p>
    <w:p>
      <w:pPr>
        <w:ind w:left="160"/>
        <w:spacing w:after="0" w:line="223" w:lineRule="auto"/>
        <w:rPr>
          <w:sz w:val="20"/>
          <w:szCs w:val="20"/>
          <w:color w:val="auto"/>
        </w:rPr>
      </w:pPr>
      <w:r>
        <w:rPr>
          <w:rFonts w:ascii="Arial" w:cs="Arial" w:eastAsia="Arial" w:hAnsi="Arial"/>
          <w:sz w:val="20"/>
          <w:szCs w:val="20"/>
          <w:color w:val="3E3935"/>
        </w:rPr>
        <w:t>Wesley G. Bush</w:t>
      </w:r>
    </w:p>
    <w:p>
      <w:pPr>
        <w:ind w:left="160"/>
        <w:spacing w:after="0" w:line="224" w:lineRule="auto"/>
        <w:rPr>
          <w:sz w:val="20"/>
          <w:szCs w:val="20"/>
          <w:color w:val="auto"/>
        </w:rPr>
      </w:pPr>
      <w:r>
        <w:rPr>
          <w:rFonts w:ascii="Arial" w:cs="Arial" w:eastAsia="Arial" w:hAnsi="Arial"/>
          <w:sz w:val="20"/>
          <w:szCs w:val="20"/>
          <w:color w:val="3E3935"/>
        </w:rPr>
        <w:t>Linda R. Gooden</w:t>
      </w:r>
    </w:p>
    <w:p>
      <w:pPr>
        <w:ind w:left="160"/>
        <w:spacing w:after="0"/>
        <w:rPr>
          <w:sz w:val="20"/>
          <w:szCs w:val="20"/>
          <w:color w:val="auto"/>
        </w:rPr>
      </w:pPr>
      <w:r>
        <w:rPr>
          <w:rFonts w:ascii="Arial" w:cs="Arial" w:eastAsia="Arial" w:hAnsi="Arial"/>
          <w:sz w:val="20"/>
          <w:szCs w:val="20"/>
          <w:color w:val="3E3935"/>
        </w:rPr>
        <w:t>Jane L. Mendillo</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3E3935"/>
        </w:rPr>
        <w:t>The preceding Audit Committee Report shall not be deemed</w:t>
      </w:r>
    </w:p>
    <w:p>
      <w:pPr>
        <w:ind w:left="160"/>
        <w:spacing w:after="0"/>
        <w:tabs>
          <w:tab w:leader="none" w:pos="1420" w:val="left"/>
          <w:tab w:leader="none" w:pos="1800" w:val="left"/>
          <w:tab w:leader="none" w:pos="2820" w:val="left"/>
          <w:tab w:leader="none" w:pos="3200" w:val="left"/>
          <w:tab w:leader="none" w:pos="3700" w:val="left"/>
          <w:tab w:leader="none" w:pos="4520" w:val="left"/>
        </w:tabs>
        <w:rPr>
          <w:sz w:val="20"/>
          <w:szCs w:val="20"/>
          <w:color w:val="auto"/>
        </w:rPr>
      </w:pPr>
      <w:r>
        <w:rPr>
          <w:rFonts w:ascii="Arial" w:cs="Arial" w:eastAsia="Arial" w:hAnsi="Arial"/>
          <w:sz w:val="20"/>
          <w:szCs w:val="20"/>
          <w:i w:val="1"/>
          <w:iCs w:val="1"/>
          <w:color w:val="3E3935"/>
        </w:rPr>
        <w:t>incorporated</w:t>
        <w:tab/>
        <w:t>by</w:t>
        <w:tab/>
        <w:t>reference</w:t>
        <w:tab/>
        <w:t>by</w:t>
        <w:tab/>
        <w:t>any</w:t>
        <w:tab/>
        <w:t>general</w:t>
      </w:r>
      <w:r>
        <w:rPr>
          <w:sz w:val="20"/>
          <w:szCs w:val="20"/>
          <w:color w:val="auto"/>
        </w:rPr>
        <w:tab/>
      </w:r>
      <w:r>
        <w:rPr>
          <w:rFonts w:ascii="Arial" w:cs="Arial" w:eastAsia="Arial" w:hAnsi="Arial"/>
          <w:sz w:val="19"/>
          <w:szCs w:val="19"/>
          <w:i w:val="1"/>
          <w:iCs w:val="1"/>
          <w:color w:val="3E3935"/>
        </w:rPr>
        <w:t>statement</w:t>
      </w:r>
    </w:p>
    <w:p>
      <w:pPr>
        <w:ind w:left="160"/>
        <w:spacing w:after="0" w:line="223" w:lineRule="auto"/>
        <w:rPr>
          <w:sz w:val="20"/>
          <w:szCs w:val="20"/>
          <w:color w:val="auto"/>
        </w:rPr>
      </w:pPr>
      <w:r>
        <w:rPr>
          <w:rFonts w:ascii="Arial" w:cs="Arial" w:eastAsia="Arial" w:hAnsi="Arial"/>
          <w:sz w:val="20"/>
          <w:szCs w:val="20"/>
          <w:i w:val="1"/>
          <w:iCs w:val="1"/>
          <w:color w:val="3E3935"/>
        </w:rPr>
        <w:t>incorporating by reference this Proxy Statement or any</w:t>
      </w:r>
    </w:p>
    <w:p>
      <w:pPr>
        <w:ind w:left="160"/>
        <w:spacing w:after="0" w:line="223" w:lineRule="auto"/>
        <w:rPr>
          <w:sz w:val="20"/>
          <w:szCs w:val="20"/>
          <w:color w:val="auto"/>
        </w:rPr>
      </w:pPr>
      <w:r>
        <w:rPr>
          <w:rFonts w:ascii="Arial" w:cs="Arial" w:eastAsia="Arial" w:hAnsi="Arial"/>
          <w:sz w:val="20"/>
          <w:szCs w:val="20"/>
          <w:i w:val="1"/>
          <w:iCs w:val="1"/>
          <w:color w:val="3E3935"/>
        </w:rPr>
        <w:t>portion hereof into any filing under the Securities Act of</w:t>
      </w:r>
    </w:p>
    <w:p>
      <w:pPr>
        <w:ind w:left="160"/>
        <w:spacing w:after="0" w:line="223" w:lineRule="auto"/>
        <w:rPr>
          <w:sz w:val="20"/>
          <w:szCs w:val="20"/>
          <w:color w:val="auto"/>
        </w:rPr>
      </w:pPr>
      <w:r>
        <w:rPr>
          <w:rFonts w:ascii="Arial" w:cs="Arial" w:eastAsia="Arial" w:hAnsi="Arial"/>
          <w:sz w:val="20"/>
          <w:szCs w:val="20"/>
          <w:i w:val="1"/>
          <w:iCs w:val="1"/>
          <w:color w:val="3E3935"/>
        </w:rPr>
        <w:t>1933, as amended, or the Securities Exchange Act of 1934,</w:t>
      </w:r>
    </w:p>
    <w:p>
      <w:pPr>
        <w:ind w:left="160"/>
        <w:spacing w:after="0" w:line="224" w:lineRule="auto"/>
        <w:rPr>
          <w:sz w:val="20"/>
          <w:szCs w:val="20"/>
          <w:color w:val="auto"/>
        </w:rPr>
      </w:pPr>
      <w:r>
        <w:rPr>
          <w:rFonts w:ascii="Arial" w:cs="Arial" w:eastAsia="Arial" w:hAnsi="Arial"/>
          <w:sz w:val="20"/>
          <w:szCs w:val="20"/>
          <w:i w:val="1"/>
          <w:iCs w:val="1"/>
          <w:color w:val="3E3935"/>
        </w:rPr>
        <w:t>as amended, and shall not otherwise be deemed filed</w:t>
      </w:r>
    </w:p>
    <w:p>
      <w:pPr>
        <w:ind w:left="160"/>
        <w:spacing w:after="0"/>
        <w:rPr>
          <w:sz w:val="20"/>
          <w:szCs w:val="20"/>
          <w:color w:val="auto"/>
        </w:rPr>
      </w:pPr>
      <w:r>
        <w:rPr>
          <w:rFonts w:ascii="Arial" w:cs="Arial" w:eastAsia="Arial" w:hAnsi="Arial"/>
          <w:sz w:val="20"/>
          <w:szCs w:val="20"/>
          <w:i w:val="1"/>
          <w:iCs w:val="1"/>
          <w:color w:val="3E3935"/>
        </w:rPr>
        <w:t>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179070</wp:posOffset>
            </wp:positionV>
            <wp:extent cx="5927725" cy="101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color w:val="0071CE"/>
        </w:rPr>
        <w:t>39</w:t>
      </w:r>
    </w:p>
    <w:p>
      <w:pPr>
        <w:sectPr>
          <w:pgSz w:w="11900" w:h="16838" w:orient="portrait"/>
          <w:cols w:equalWidth="0" w:num="1">
            <w:col w:w="10760"/>
          </w:cols>
          <w:pgMar w:left="320" w:top="456" w:right="8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Fees Paid to Independent Registered Public Accounting Firm</w:t>
      </w:r>
    </w:p>
    <w:p>
      <w:pPr>
        <w:sectPr>
          <w:pgSz w:w="11900" w:h="16838" w:orient="portrait"/>
          <w:cols w:equalWidth="0" w:num="1">
            <w:col w:w="11080"/>
          </w:cols>
          <w:pgMar w:left="320" w:top="456" w:right="499" w:bottom="1440" w:gutter="0" w:footer="0" w:header="0"/>
        </w:sectPr>
      </w:pPr>
    </w:p>
    <w:p>
      <w:pPr>
        <w:spacing w:after="0" w:line="21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following table summarizes the fees for professional services provided by EY for the audit of GM’s annual financial statements and internal control over financial reporting for the years ended December 31, 2020 and 2019, together with the fees billed for other services rendered by EY during these periods.</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060" w:type="dxa"/>
            <w:vAlign w:val="bottom"/>
            <w:tcBorders>
              <w:top w:val="single" w:sz="8" w:color="00C1DE"/>
            </w:tcBorders>
          </w:tcPr>
          <w:p>
            <w:pPr>
              <w:spacing w:after="0"/>
              <w:rPr>
                <w:sz w:val="18"/>
                <w:szCs w:val="18"/>
                <w:color w:val="auto"/>
              </w:rPr>
            </w:pPr>
          </w:p>
        </w:tc>
        <w:tc>
          <w:tcPr>
            <w:tcW w:w="1760" w:type="dxa"/>
            <w:vAlign w:val="bottom"/>
            <w:tcBorders>
              <w:top w:val="single" w:sz="8" w:color="00C1DE"/>
            </w:tcBorders>
          </w:tcPr>
          <w:p>
            <w:pPr>
              <w:jc w:val="right"/>
              <w:ind w:right="2"/>
              <w:spacing w:after="0" w:line="213" w:lineRule="exact"/>
              <w:rPr>
                <w:sz w:val="20"/>
                <w:szCs w:val="20"/>
                <w:color w:val="auto"/>
              </w:rPr>
            </w:pPr>
            <w:r>
              <w:rPr>
                <w:rFonts w:ascii="Arial" w:cs="Arial" w:eastAsia="Arial" w:hAnsi="Arial"/>
                <w:sz w:val="20"/>
                <w:szCs w:val="20"/>
                <w:b w:val="1"/>
                <w:bCs w:val="1"/>
                <w:color w:val="00C1DE"/>
              </w:rPr>
              <w:t>2020</w:t>
            </w:r>
          </w:p>
        </w:tc>
        <w:tc>
          <w:tcPr>
            <w:tcW w:w="1420" w:type="dxa"/>
            <w:vAlign w:val="bottom"/>
            <w:tcBorders>
              <w:top w:val="single" w:sz="8" w:color="00C1DE"/>
            </w:tcBorders>
          </w:tcPr>
          <w:p>
            <w:pPr>
              <w:jc w:val="right"/>
              <w:spacing w:after="0" w:line="213" w:lineRule="exact"/>
              <w:rPr>
                <w:sz w:val="20"/>
                <w:szCs w:val="20"/>
                <w:color w:val="auto"/>
              </w:rPr>
            </w:pPr>
            <w:r>
              <w:rPr>
                <w:rFonts w:ascii="Arial" w:cs="Arial" w:eastAsia="Arial" w:hAnsi="Arial"/>
                <w:sz w:val="20"/>
                <w:szCs w:val="20"/>
                <w:b w:val="1"/>
                <w:bCs w:val="1"/>
                <w:color w:val="00C1DE"/>
              </w:rPr>
              <w:t>2019</w:t>
            </w:r>
          </w:p>
        </w:tc>
      </w:tr>
      <w:tr>
        <w:trPr>
          <w:trHeight w:val="273"/>
        </w:trPr>
        <w:tc>
          <w:tcPr>
            <w:tcW w:w="2060" w:type="dxa"/>
            <w:vAlign w:val="bottom"/>
          </w:tcPr>
          <w:p>
            <w:pPr>
              <w:ind w:left="20"/>
              <w:spacing w:after="0"/>
              <w:rPr>
                <w:sz w:val="20"/>
                <w:szCs w:val="20"/>
                <w:color w:val="auto"/>
              </w:rPr>
            </w:pPr>
            <w:r>
              <w:rPr>
                <w:rFonts w:ascii="Arial" w:cs="Arial" w:eastAsia="Arial" w:hAnsi="Arial"/>
                <w:sz w:val="20"/>
                <w:szCs w:val="20"/>
                <w:b w:val="1"/>
                <w:bCs w:val="1"/>
                <w:color w:val="00C1DE"/>
              </w:rPr>
              <w:t>Type of Fees</w:t>
            </w:r>
          </w:p>
        </w:tc>
        <w:tc>
          <w:tcPr>
            <w:tcW w:w="1760" w:type="dxa"/>
            <w:vAlign w:val="bottom"/>
          </w:tcPr>
          <w:p>
            <w:pPr>
              <w:jc w:val="right"/>
              <w:ind w:right="2"/>
              <w:spacing w:after="0"/>
              <w:rPr>
                <w:sz w:val="20"/>
                <w:szCs w:val="20"/>
                <w:color w:val="auto"/>
              </w:rPr>
            </w:pPr>
            <w:r>
              <w:rPr>
                <w:rFonts w:ascii="Arial" w:cs="Arial" w:eastAsia="Arial" w:hAnsi="Arial"/>
                <w:sz w:val="20"/>
                <w:szCs w:val="20"/>
                <w:b w:val="1"/>
                <w:bCs w:val="1"/>
                <w:color w:val="00C1DE"/>
              </w:rPr>
              <w:t>($ in millions)</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C1DE"/>
              </w:rPr>
              <w:t>($ in millions)</w:t>
            </w:r>
          </w:p>
        </w:tc>
      </w:tr>
      <w:tr>
        <w:trPr>
          <w:trHeight w:val="62"/>
        </w:trPr>
        <w:tc>
          <w:tcPr>
            <w:tcW w:w="2060" w:type="dxa"/>
            <w:vAlign w:val="bottom"/>
            <w:tcBorders>
              <w:bottom w:val="single" w:sz="8" w:color="00C1DE"/>
            </w:tcBorders>
          </w:tcPr>
          <w:p>
            <w:pPr>
              <w:spacing w:after="0"/>
              <w:rPr>
                <w:sz w:val="5"/>
                <w:szCs w:val="5"/>
                <w:color w:val="auto"/>
              </w:rPr>
            </w:pPr>
          </w:p>
        </w:tc>
        <w:tc>
          <w:tcPr>
            <w:tcW w:w="1760" w:type="dxa"/>
            <w:vAlign w:val="bottom"/>
            <w:tcBorders>
              <w:bottom w:val="single" w:sz="8" w:color="00C1DE"/>
            </w:tcBorders>
          </w:tcPr>
          <w:p>
            <w:pPr>
              <w:spacing w:after="0"/>
              <w:rPr>
                <w:sz w:val="5"/>
                <w:szCs w:val="5"/>
                <w:color w:val="auto"/>
              </w:rPr>
            </w:pPr>
          </w:p>
        </w:tc>
        <w:tc>
          <w:tcPr>
            <w:tcW w:w="1420" w:type="dxa"/>
            <w:vAlign w:val="bottom"/>
            <w:tcBorders>
              <w:bottom w:val="single" w:sz="8" w:color="00C1DE"/>
            </w:tcBorders>
          </w:tcPr>
          <w:p>
            <w:pPr>
              <w:spacing w:after="0"/>
              <w:rPr>
                <w:sz w:val="5"/>
                <w:szCs w:val="5"/>
                <w:color w:val="auto"/>
              </w:rPr>
            </w:pPr>
          </w:p>
        </w:tc>
      </w:tr>
      <w:tr>
        <w:trPr>
          <w:trHeight w:val="292"/>
        </w:trPr>
        <w:tc>
          <w:tcPr>
            <w:tcW w:w="2060" w:type="dxa"/>
            <w:vAlign w:val="bottom"/>
          </w:tcPr>
          <w:p>
            <w:pPr>
              <w:ind w:left="100"/>
              <w:spacing w:after="0"/>
              <w:rPr>
                <w:sz w:val="20"/>
                <w:szCs w:val="20"/>
                <w:color w:val="auto"/>
              </w:rPr>
            </w:pPr>
            <w:r>
              <w:rPr>
                <w:rFonts w:ascii="Arial" w:cs="Arial" w:eastAsia="Arial" w:hAnsi="Arial"/>
                <w:sz w:val="20"/>
                <w:szCs w:val="20"/>
                <w:color w:val="3E3935"/>
              </w:rPr>
              <w:t>Audit</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21</w:t>
            </w:r>
          </w:p>
        </w:tc>
        <w:tc>
          <w:tcPr>
            <w:tcW w:w="1420" w:type="dxa"/>
            <w:vAlign w:val="bottom"/>
          </w:tcPr>
          <w:p>
            <w:pPr>
              <w:jc w:val="right"/>
              <w:spacing w:after="0"/>
              <w:rPr>
                <w:sz w:val="20"/>
                <w:szCs w:val="20"/>
                <w:color w:val="auto"/>
              </w:rPr>
            </w:pPr>
            <w:r>
              <w:rPr>
                <w:rFonts w:ascii="Arial" w:cs="Arial" w:eastAsia="Arial" w:hAnsi="Arial"/>
                <w:sz w:val="20"/>
                <w:szCs w:val="20"/>
                <w:color w:val="3E3935"/>
              </w:rPr>
              <w:t>22</w:t>
            </w:r>
          </w:p>
        </w:tc>
      </w:tr>
      <w:tr>
        <w:trPr>
          <w:trHeight w:val="62"/>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2"/>
        </w:trPr>
        <w:tc>
          <w:tcPr>
            <w:tcW w:w="2060" w:type="dxa"/>
            <w:vAlign w:val="bottom"/>
          </w:tcPr>
          <w:p>
            <w:pPr>
              <w:ind w:left="100"/>
              <w:spacing w:after="0"/>
              <w:rPr>
                <w:sz w:val="20"/>
                <w:szCs w:val="20"/>
                <w:color w:val="auto"/>
              </w:rPr>
            </w:pPr>
            <w:r>
              <w:rPr>
                <w:rFonts w:ascii="Arial" w:cs="Arial" w:eastAsia="Arial" w:hAnsi="Arial"/>
                <w:sz w:val="20"/>
                <w:szCs w:val="20"/>
                <w:color w:val="3E3935"/>
              </w:rPr>
              <w:t>Audit-Related</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4</w:t>
            </w:r>
          </w:p>
        </w:tc>
        <w:tc>
          <w:tcPr>
            <w:tcW w:w="1420" w:type="dxa"/>
            <w:vAlign w:val="bottom"/>
          </w:tcPr>
          <w:p>
            <w:pPr>
              <w:jc w:val="right"/>
              <w:spacing w:after="0"/>
              <w:rPr>
                <w:sz w:val="20"/>
                <w:szCs w:val="20"/>
                <w:color w:val="auto"/>
              </w:rPr>
            </w:pPr>
            <w:r>
              <w:rPr>
                <w:rFonts w:ascii="Arial" w:cs="Arial" w:eastAsia="Arial" w:hAnsi="Arial"/>
                <w:sz w:val="20"/>
                <w:szCs w:val="20"/>
                <w:color w:val="3E3935"/>
              </w:rPr>
              <w:t>5</w:t>
            </w:r>
          </w:p>
        </w:tc>
      </w:tr>
      <w:tr>
        <w:trPr>
          <w:trHeight w:val="62"/>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2"/>
        </w:trPr>
        <w:tc>
          <w:tcPr>
            <w:tcW w:w="2060" w:type="dxa"/>
            <w:vAlign w:val="bottom"/>
          </w:tcPr>
          <w:p>
            <w:pPr>
              <w:ind w:left="100"/>
              <w:spacing w:after="0"/>
              <w:rPr>
                <w:sz w:val="20"/>
                <w:szCs w:val="20"/>
                <w:color w:val="auto"/>
              </w:rPr>
            </w:pPr>
            <w:r>
              <w:rPr>
                <w:rFonts w:ascii="Arial" w:cs="Arial" w:eastAsia="Arial" w:hAnsi="Arial"/>
                <w:sz w:val="20"/>
                <w:szCs w:val="20"/>
                <w:color w:val="3E3935"/>
              </w:rPr>
              <w:t>Tax</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2</w:t>
            </w:r>
          </w:p>
        </w:tc>
        <w:tc>
          <w:tcPr>
            <w:tcW w:w="1420" w:type="dxa"/>
            <w:vAlign w:val="bottom"/>
          </w:tcPr>
          <w:p>
            <w:pPr>
              <w:jc w:val="right"/>
              <w:spacing w:after="0"/>
              <w:rPr>
                <w:sz w:val="20"/>
                <w:szCs w:val="20"/>
                <w:color w:val="auto"/>
              </w:rPr>
            </w:pPr>
            <w:r>
              <w:rPr>
                <w:rFonts w:ascii="Arial" w:cs="Arial" w:eastAsia="Arial" w:hAnsi="Arial"/>
                <w:sz w:val="20"/>
                <w:szCs w:val="20"/>
                <w:color w:val="3E3935"/>
              </w:rPr>
              <w:t>3</w:t>
            </w:r>
          </w:p>
        </w:tc>
      </w:tr>
      <w:tr>
        <w:trPr>
          <w:trHeight w:val="62"/>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2"/>
        </w:trPr>
        <w:tc>
          <w:tcPr>
            <w:tcW w:w="2060" w:type="dxa"/>
            <w:vAlign w:val="bottom"/>
          </w:tcPr>
          <w:p>
            <w:pPr>
              <w:ind w:left="100"/>
              <w:spacing w:after="0"/>
              <w:rPr>
                <w:sz w:val="20"/>
                <w:szCs w:val="20"/>
                <w:color w:val="auto"/>
              </w:rPr>
            </w:pPr>
            <w:r>
              <w:rPr>
                <w:rFonts w:ascii="Arial" w:cs="Arial" w:eastAsia="Arial" w:hAnsi="Arial"/>
                <w:sz w:val="20"/>
                <w:szCs w:val="20"/>
                <w:color w:val="3E3935"/>
              </w:rPr>
              <w:t>Subtotal</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27</w:t>
            </w:r>
          </w:p>
        </w:tc>
        <w:tc>
          <w:tcPr>
            <w:tcW w:w="1420" w:type="dxa"/>
            <w:vAlign w:val="bottom"/>
          </w:tcPr>
          <w:p>
            <w:pPr>
              <w:jc w:val="right"/>
              <w:spacing w:after="0"/>
              <w:rPr>
                <w:sz w:val="20"/>
                <w:szCs w:val="20"/>
                <w:color w:val="auto"/>
              </w:rPr>
            </w:pPr>
            <w:r>
              <w:rPr>
                <w:rFonts w:ascii="Arial" w:cs="Arial" w:eastAsia="Arial" w:hAnsi="Arial"/>
                <w:sz w:val="20"/>
                <w:szCs w:val="20"/>
                <w:color w:val="3E3935"/>
              </w:rPr>
              <w:t>30</w:t>
            </w:r>
          </w:p>
        </w:tc>
      </w:tr>
      <w:tr>
        <w:trPr>
          <w:trHeight w:val="62"/>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2"/>
        </w:trPr>
        <w:tc>
          <w:tcPr>
            <w:tcW w:w="2060" w:type="dxa"/>
            <w:vAlign w:val="bottom"/>
          </w:tcPr>
          <w:p>
            <w:pPr>
              <w:ind w:left="100"/>
              <w:spacing w:after="0"/>
              <w:rPr>
                <w:sz w:val="20"/>
                <w:szCs w:val="20"/>
                <w:color w:val="auto"/>
              </w:rPr>
            </w:pPr>
            <w:r>
              <w:rPr>
                <w:rFonts w:ascii="Arial" w:cs="Arial" w:eastAsia="Arial" w:hAnsi="Arial"/>
                <w:sz w:val="20"/>
                <w:szCs w:val="20"/>
                <w:color w:val="3E3935"/>
              </w:rPr>
              <w:t>All Other Services</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w:t>
            </w:r>
          </w:p>
        </w:tc>
        <w:tc>
          <w:tcPr>
            <w:tcW w:w="1420" w:type="dxa"/>
            <w:vAlign w:val="bottom"/>
          </w:tcPr>
          <w:p>
            <w:pPr>
              <w:jc w:val="right"/>
              <w:spacing w:after="0"/>
              <w:rPr>
                <w:sz w:val="20"/>
                <w:szCs w:val="20"/>
                <w:color w:val="auto"/>
              </w:rPr>
            </w:pPr>
            <w:r>
              <w:rPr>
                <w:rFonts w:ascii="Arial" w:cs="Arial" w:eastAsia="Arial" w:hAnsi="Arial"/>
                <w:sz w:val="20"/>
                <w:szCs w:val="20"/>
                <w:color w:val="3E3935"/>
              </w:rPr>
              <w:t>—</w:t>
            </w:r>
          </w:p>
        </w:tc>
      </w:tr>
      <w:tr>
        <w:trPr>
          <w:trHeight w:val="62"/>
        </w:trPr>
        <w:tc>
          <w:tcPr>
            <w:tcW w:w="206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420" w:type="dxa"/>
            <w:vAlign w:val="bottom"/>
            <w:tcBorders>
              <w:bottom w:val="single" w:sz="8" w:color="3E3935"/>
            </w:tcBorders>
          </w:tcPr>
          <w:p>
            <w:pPr>
              <w:spacing w:after="0"/>
              <w:rPr>
                <w:sz w:val="5"/>
                <w:szCs w:val="5"/>
                <w:color w:val="auto"/>
              </w:rPr>
            </w:pPr>
          </w:p>
        </w:tc>
      </w:tr>
      <w:tr>
        <w:trPr>
          <w:trHeight w:val="292"/>
        </w:trPr>
        <w:tc>
          <w:tcPr>
            <w:tcW w:w="2060" w:type="dxa"/>
            <w:vAlign w:val="bottom"/>
          </w:tcPr>
          <w:p>
            <w:pPr>
              <w:ind w:left="100"/>
              <w:spacing w:after="0"/>
              <w:rPr>
                <w:sz w:val="20"/>
                <w:szCs w:val="20"/>
                <w:color w:val="auto"/>
              </w:rPr>
            </w:pPr>
            <w:r>
              <w:rPr>
                <w:rFonts w:ascii="Arial" w:cs="Arial" w:eastAsia="Arial" w:hAnsi="Arial"/>
                <w:sz w:val="20"/>
                <w:szCs w:val="20"/>
                <w:b w:val="1"/>
                <w:bCs w:val="1"/>
                <w:color w:val="0071CE"/>
              </w:rPr>
              <w:t>TOTAL</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27</w:t>
            </w:r>
          </w:p>
        </w:tc>
        <w:tc>
          <w:tcPr>
            <w:tcW w:w="1420" w:type="dxa"/>
            <w:vAlign w:val="bottom"/>
          </w:tcPr>
          <w:p>
            <w:pPr>
              <w:jc w:val="right"/>
              <w:spacing w:after="0"/>
              <w:rPr>
                <w:sz w:val="20"/>
                <w:szCs w:val="20"/>
                <w:color w:val="auto"/>
              </w:rPr>
            </w:pPr>
            <w:r>
              <w:rPr>
                <w:rFonts w:ascii="Arial" w:cs="Arial" w:eastAsia="Arial" w:hAnsi="Arial"/>
                <w:sz w:val="20"/>
                <w:szCs w:val="20"/>
                <w:color w:val="3E3935"/>
              </w:rPr>
              <w:t>30</w:t>
            </w:r>
          </w:p>
        </w:tc>
      </w:tr>
      <w:tr>
        <w:trPr>
          <w:trHeight w:val="62"/>
        </w:trPr>
        <w:tc>
          <w:tcPr>
            <w:tcW w:w="2060" w:type="dxa"/>
            <w:vAlign w:val="bottom"/>
            <w:tcBorders>
              <w:bottom w:val="single" w:sz="8" w:color="0071CE"/>
            </w:tcBorders>
          </w:tcPr>
          <w:p>
            <w:pPr>
              <w:spacing w:after="0"/>
              <w:rPr>
                <w:sz w:val="5"/>
                <w:szCs w:val="5"/>
                <w:color w:val="auto"/>
              </w:rPr>
            </w:pPr>
          </w:p>
        </w:tc>
        <w:tc>
          <w:tcPr>
            <w:tcW w:w="1760" w:type="dxa"/>
            <w:vAlign w:val="bottom"/>
            <w:tcBorders>
              <w:bottom w:val="single" w:sz="8" w:color="0071CE"/>
            </w:tcBorders>
          </w:tcPr>
          <w:p>
            <w:pPr>
              <w:spacing w:after="0"/>
              <w:rPr>
                <w:sz w:val="5"/>
                <w:szCs w:val="5"/>
                <w:color w:val="auto"/>
              </w:rPr>
            </w:pPr>
          </w:p>
        </w:tc>
        <w:tc>
          <w:tcPr>
            <w:tcW w:w="1420" w:type="dxa"/>
            <w:vAlign w:val="bottom"/>
            <w:tcBorders>
              <w:bottom w:val="single" w:sz="8" w:color="0071CE"/>
            </w:tcBorders>
          </w:tcPr>
          <w:p>
            <w:pPr>
              <w:spacing w:after="0"/>
              <w:rPr>
                <w:sz w:val="5"/>
                <w:szCs w:val="5"/>
                <w:color w:val="auto"/>
              </w:rPr>
            </w:pPr>
          </w:p>
        </w:tc>
      </w:tr>
    </w:tbl>
    <w:p>
      <w:pPr>
        <w:spacing w:after="0" w:line="12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71CE"/>
        </w:rPr>
        <w:t xml:space="preserve">Audit Fees </w:t>
      </w:r>
      <w:r>
        <w:rPr>
          <w:rFonts w:ascii="Arial" w:cs="Arial" w:eastAsia="Arial" w:hAnsi="Arial"/>
          <w:sz w:val="20"/>
          <w:szCs w:val="20"/>
          <w:color w:val="3E3935"/>
        </w:rPr>
        <w:t>— Includes fees for the integrated audit of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Company’s annual consolidated financial statements and attestation of the effectiveness of the Company’s internal controls over financial reporting, including reviews of the interim financial statements contained in the Company’s Quarterly Reports on Form 10-Q and audits of statutory financial statements.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0071CE"/>
        </w:rPr>
        <w:t xml:space="preserve">Audit-Related Fees </w:t>
      </w:r>
      <w:r>
        <w:rPr>
          <w:rFonts w:ascii="Arial" w:cs="Arial" w:eastAsia="Arial" w:hAnsi="Arial"/>
          <w:sz w:val="20"/>
          <w:szCs w:val="20"/>
          <w:color w:val="3E3935"/>
        </w:rPr>
        <w:t>— Includes fees for assurance and</w:t>
      </w:r>
      <w:r>
        <w:rPr>
          <w:rFonts w:ascii="Arial" w:cs="Arial" w:eastAsia="Arial" w:hAnsi="Arial"/>
          <w:sz w:val="20"/>
          <w:szCs w:val="20"/>
          <w:b w:val="1"/>
          <w:bCs w:val="1"/>
          <w:color w:val="0071CE"/>
        </w:rPr>
        <w:t xml:space="preserve"> </w:t>
      </w:r>
      <w:r>
        <w:rPr>
          <w:rFonts w:ascii="Arial" w:cs="Arial" w:eastAsia="Arial" w:hAnsi="Arial"/>
          <w:sz w:val="20"/>
          <w:szCs w:val="20"/>
          <w:color w:val="3E3935"/>
        </w:rPr>
        <w:t>related services that are traditionally performed by the independent registered public accounting firm. More specifically, these services include employee benefit plan audits, comfort letters in connection with funding transactions, other attestation services, and consultations concerning financial accounting and reporting standards.</w:t>
      </w:r>
    </w:p>
    <w:p>
      <w:pPr>
        <w:spacing w:after="0" w:line="1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0071CE"/>
        </w:rPr>
        <w:t xml:space="preserve">Tax Fees </w:t>
      </w:r>
      <w:r>
        <w:rPr>
          <w:rFonts w:ascii="Arial" w:cs="Arial" w:eastAsia="Arial" w:hAnsi="Arial"/>
          <w:sz w:val="20"/>
          <w:szCs w:val="20"/>
          <w:color w:val="3E3935"/>
        </w:rPr>
        <w:t>— Includes fees for tax compliance, tax planning,</w:t>
      </w:r>
      <w:r>
        <w:rPr>
          <w:rFonts w:ascii="Arial" w:cs="Arial" w:eastAsia="Arial" w:hAnsi="Arial"/>
          <w:sz w:val="20"/>
          <w:szCs w:val="20"/>
          <w:b w:val="1"/>
          <w:bCs w:val="1"/>
          <w:color w:val="0071CE"/>
        </w:rPr>
        <w:t xml:space="preserve"> </w:t>
      </w:r>
      <w:r>
        <w:rPr>
          <w:rFonts w:ascii="Arial" w:cs="Arial" w:eastAsia="Arial" w:hAnsi="Arial"/>
          <w:sz w:val="20"/>
          <w:szCs w:val="20"/>
          <w:color w:val="3E3935"/>
        </w:rPr>
        <w:t>and tax advice. Tax compliance involves preparation of original and amended tax returns 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0071CE"/>
        </w:rPr>
        <w:t xml:space="preserve">All Other Fees </w:t>
      </w:r>
      <w:r>
        <w:rPr>
          <w:rFonts w:ascii="Arial" w:cs="Arial" w:eastAsia="Arial" w:hAnsi="Arial"/>
          <w:sz w:val="20"/>
          <w:szCs w:val="20"/>
          <w:color w:val="3E3935"/>
        </w:rPr>
        <w:t>— Includes fees for services that are not</w:t>
      </w:r>
      <w:r>
        <w:rPr>
          <w:rFonts w:ascii="Arial" w:cs="Arial" w:eastAsia="Arial" w:hAnsi="Arial"/>
          <w:sz w:val="20"/>
          <w:szCs w:val="20"/>
          <w:b w:val="1"/>
          <w:bCs w:val="1"/>
          <w:color w:val="0071CE"/>
        </w:rPr>
        <w:t xml:space="preserve"> </w:t>
      </w:r>
      <w:r>
        <w:rPr>
          <w:rFonts w:ascii="Arial" w:cs="Arial" w:eastAsia="Arial" w:hAnsi="Arial"/>
          <w:sz w:val="20"/>
          <w:szCs w:val="20"/>
          <w:color w:val="3E3935"/>
        </w:rPr>
        <w:t>contained in the above categories and consists of permissible advisory services.</w:t>
      </w:r>
    </w:p>
    <w:p>
      <w:pPr>
        <w:spacing w:after="0" w:line="2032"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28"/>
          <w:szCs w:val="28"/>
          <w:color w:val="3E3935"/>
        </w:rPr>
        <w:t>Policy for Approval of Audit and Permitted Non-Audit Services</w:t>
      </w:r>
    </w:p>
    <w:p>
      <w:pPr>
        <w:sectPr>
          <w:pgSz w:w="11900" w:h="16838" w:orient="portrait"/>
          <w:cols w:equalWidth="0" w:num="1">
            <w:col w:w="11080"/>
          </w:cols>
          <w:pgMar w:left="320" w:top="456" w:right="499" w:bottom="1440" w:gutter="0" w:footer="0" w:header="0"/>
          <w:type w:val="continuous"/>
        </w:sectPr>
      </w:pPr>
    </w:p>
    <w:p>
      <w:pPr>
        <w:spacing w:after="0" w:line="213"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3E3935"/>
        </w:rPr>
        <w:t>The services performed by EY in 2020 were preapproved in accordance with the preapproval policy and procedures established by the Audit Committee. This policy requires that prior to the provision of services by the auditor, the Audit Committee will be presented, for consideration, with a description of the types of Audit-Related, Tax, and All Other Services expected to be performed by the auditor during the fiscal year, with amounts budgeted for each category (Audit-Related, Tax, and All Other Services). Any requests for such services for $1 million or more not contemplated and approved by the Audit Committee initially must thereafter be submitted to the Audit Committee for specific preapproval. Requests for services less than $1 million individually can be approved by management based on the amounts approved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173990</wp:posOffset>
            </wp:positionV>
            <wp:extent cx="5927725" cy="101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category. Management must report actual spending for each category to the full Audit Committee periodically throughout the year.</w:t>
      </w:r>
    </w:p>
    <w:p>
      <w:pPr>
        <w:spacing w:after="0" w:line="1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These services are actively monitored (both spending and work content) by the Audit Committee to maintain the appropriate objectivity and independence in EY’s core work, which is the audit of the Company’s consolidated financial statements and internal controls. The Audit Committee determined that all services provided by EY in 2020 were compatible with maintaining the independence of EY.</w:t>
      </w:r>
    </w:p>
    <w:p>
      <w:pPr>
        <w:spacing w:after="0" w:line="112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79"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40</w:t>
      </w:r>
    </w:p>
    <w:p>
      <w:pPr>
        <w:sectPr>
          <w:pgSz w:w="11900" w:h="16838" w:orient="portrait"/>
          <w:cols w:equalWidth="0" w:num="1">
            <w:col w:w="11080"/>
          </w:cols>
          <w:pgMar w:left="320" w:top="456" w:right="4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295275</wp:posOffset>
            </wp:positionV>
            <wp:extent cx="5876925" cy="135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7692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4500" w:type="dxa"/>
            <w:vAlign w:val="bottom"/>
            <w:gridSpan w:val="5"/>
          </w:tcPr>
          <w:p>
            <w:pPr>
              <w:spacing w:after="0"/>
              <w:rPr>
                <w:sz w:val="20"/>
                <w:szCs w:val="20"/>
                <w:color w:val="auto"/>
              </w:rPr>
            </w:pPr>
            <w:r>
              <w:rPr>
                <w:rFonts w:ascii="Arial" w:cs="Arial" w:eastAsia="Arial" w:hAnsi="Arial"/>
                <w:sz w:val="20"/>
                <w:szCs w:val="20"/>
                <w:b w:val="1"/>
                <w:bCs w:val="1"/>
                <w:color w:val="0071CE"/>
              </w:rPr>
              <w:t>Compensation Discussion and Analysis</w:t>
            </w:r>
          </w:p>
        </w:tc>
        <w:tc>
          <w:tcPr>
            <w:tcW w:w="1060" w:type="dxa"/>
            <w:vAlign w:val="bottom"/>
          </w:tcPr>
          <w:p>
            <w:pPr>
              <w:spacing w:after="0"/>
              <w:rPr>
                <w:sz w:val="22"/>
                <w:szCs w:val="22"/>
                <w:color w:val="auto"/>
              </w:rPr>
            </w:pPr>
          </w:p>
        </w:tc>
        <w:tc>
          <w:tcPr>
            <w:tcW w:w="4360" w:type="dxa"/>
            <w:vAlign w:val="bottom"/>
            <w:gridSpan w:val="8"/>
          </w:tcPr>
          <w:p>
            <w:pPr>
              <w:spacing w:after="0"/>
              <w:rPr>
                <w:sz w:val="20"/>
                <w:szCs w:val="20"/>
                <w:color w:val="auto"/>
              </w:rPr>
            </w:pPr>
            <w:r>
              <w:rPr>
                <w:rFonts w:ascii="Arial" w:cs="Arial" w:eastAsia="Arial" w:hAnsi="Arial"/>
                <w:sz w:val="20"/>
                <w:szCs w:val="20"/>
                <w:b w:val="1"/>
                <w:bCs w:val="1"/>
                <w:color w:val="0071CE"/>
              </w:rPr>
              <w:t>Executive Compensation Tables</w:t>
            </w:r>
          </w:p>
        </w:tc>
        <w:tc>
          <w:tcPr>
            <w:tcW w:w="920" w:type="dxa"/>
            <w:vAlign w:val="bottom"/>
          </w:tcPr>
          <w:p>
            <w:pPr>
              <w:spacing w:after="0"/>
              <w:rPr>
                <w:sz w:val="22"/>
                <w:szCs w:val="22"/>
                <w:color w:val="auto"/>
              </w:rPr>
            </w:pPr>
          </w:p>
        </w:tc>
      </w:tr>
      <w:tr>
        <w:trPr>
          <w:trHeight w:val="183"/>
        </w:trPr>
        <w:tc>
          <w:tcPr>
            <w:tcW w:w="196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Compensation Overview</w:t>
              </w:r>
            </w:hyperlink>
          </w:p>
        </w:tc>
        <w:tc>
          <w:tcPr>
            <w:tcW w:w="2540" w:type="dxa"/>
            <w:vAlign w:val="bottom"/>
            <w:gridSpan w:val="3"/>
          </w:tcPr>
          <w:p>
            <w:pPr>
              <w:spacing w:after="0"/>
              <w:rPr>
                <w:sz w:val="15"/>
                <w:szCs w:val="15"/>
                <w:color w:val="auto"/>
              </w:rPr>
            </w:pPr>
          </w:p>
        </w:tc>
        <w:tc>
          <w:tcPr>
            <w:tcW w:w="1060" w:type="dxa"/>
            <w:vAlign w:val="bottom"/>
          </w:tcPr>
          <w:p>
            <w:pPr>
              <w:jc w:val="right"/>
              <w:ind w:right="311"/>
              <w:spacing w:after="0" w:line="182" w:lineRule="exact"/>
              <w:rPr>
                <w:sz w:val="20"/>
                <w:szCs w:val="20"/>
                <w:color w:val="auto"/>
              </w:rPr>
            </w:pPr>
            <w:r>
              <w:rPr>
                <w:rFonts w:ascii="Arial" w:cs="Arial" w:eastAsia="Arial" w:hAnsi="Arial"/>
                <w:sz w:val="18"/>
                <w:szCs w:val="18"/>
                <w:color w:val="3E3935"/>
              </w:rPr>
              <w:t>42</w:t>
            </w:r>
          </w:p>
        </w:tc>
        <w:tc>
          <w:tcPr>
            <w:tcW w:w="244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Summary Compensation Table</w:t>
              </w:r>
            </w:hyperlink>
          </w:p>
        </w:tc>
        <w:tc>
          <w:tcPr>
            <w:tcW w:w="1920" w:type="dxa"/>
            <w:vAlign w:val="bottom"/>
            <w:gridSpan w:val="5"/>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3E3935"/>
              </w:rPr>
              <w:t>69</w:t>
            </w:r>
          </w:p>
        </w:tc>
      </w:tr>
      <w:tr>
        <w:trPr>
          <w:trHeight w:val="207"/>
        </w:trPr>
        <w:tc>
          <w:tcPr>
            <w:tcW w:w="4500" w:type="dxa"/>
            <w:vAlign w:val="bottom"/>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Compensation Principles</w:t>
              </w:r>
            </w:hyperlink>
          </w:p>
        </w:tc>
        <w:tc>
          <w:tcPr>
            <w:tcW w:w="1060" w:type="dxa"/>
            <w:vAlign w:val="bottom"/>
          </w:tcPr>
          <w:p>
            <w:pPr>
              <w:jc w:val="right"/>
              <w:ind w:right="311"/>
              <w:spacing w:after="0"/>
              <w:rPr>
                <w:sz w:val="20"/>
                <w:szCs w:val="20"/>
                <w:color w:val="auto"/>
              </w:rPr>
            </w:pPr>
            <w:r>
              <w:rPr>
                <w:rFonts w:ascii="Arial" w:cs="Arial" w:eastAsia="Arial" w:hAnsi="Arial"/>
                <w:sz w:val="18"/>
                <w:szCs w:val="18"/>
                <w:color w:val="3E3935"/>
              </w:rPr>
              <w:t>49</w:t>
            </w:r>
          </w:p>
        </w:tc>
        <w:tc>
          <w:tcPr>
            <w:tcW w:w="436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Grants of Plan-Based Awards</w:t>
              </w:r>
            </w:hyperlink>
          </w:p>
        </w:tc>
        <w:tc>
          <w:tcPr>
            <w:tcW w:w="920" w:type="dxa"/>
            <w:vAlign w:val="bottom"/>
          </w:tcPr>
          <w:p>
            <w:pPr>
              <w:jc w:val="right"/>
              <w:spacing w:after="0"/>
              <w:rPr>
                <w:sz w:val="20"/>
                <w:szCs w:val="20"/>
                <w:color w:val="auto"/>
              </w:rPr>
            </w:pPr>
            <w:r>
              <w:rPr>
                <w:rFonts w:ascii="Arial" w:cs="Arial" w:eastAsia="Arial" w:hAnsi="Arial"/>
                <w:sz w:val="18"/>
                <w:szCs w:val="18"/>
                <w:color w:val="3E3935"/>
              </w:rPr>
              <w:t>72</w:t>
            </w:r>
          </w:p>
        </w:tc>
      </w:tr>
      <w:tr>
        <w:trPr>
          <w:trHeight w:val="20"/>
        </w:trPr>
        <w:tc>
          <w:tcPr>
            <w:tcW w:w="1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1960" w:type="dxa"/>
            <w:vAlign w:val="bottom"/>
            <w:gridSpan w:val="2"/>
          </w:tcPr>
          <w:p>
            <w:pP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Compensation Elements</w:t>
              </w:r>
            </w:hyperlink>
          </w:p>
        </w:tc>
        <w:tc>
          <w:tcPr>
            <w:tcW w:w="2540" w:type="dxa"/>
            <w:vAlign w:val="bottom"/>
            <w:gridSpan w:val="3"/>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3E3935"/>
              </w:rPr>
              <w:t>49</w:t>
            </w:r>
          </w:p>
        </w:tc>
        <w:tc>
          <w:tcPr>
            <w:tcW w:w="436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Outstanding Equity Awards at Fiscal Year-End</w:t>
              </w:r>
            </w:hyperlink>
          </w:p>
        </w:tc>
        <w:tc>
          <w:tcPr>
            <w:tcW w:w="920" w:type="dxa"/>
            <w:vAlign w:val="bottom"/>
          </w:tcPr>
          <w:p>
            <w:pPr>
              <w:jc w:val="right"/>
              <w:spacing w:after="0"/>
              <w:rPr>
                <w:sz w:val="20"/>
                <w:szCs w:val="20"/>
                <w:color w:val="auto"/>
              </w:rPr>
            </w:pPr>
            <w:r>
              <w:rPr>
                <w:rFonts w:ascii="Arial" w:cs="Arial" w:eastAsia="Arial" w:hAnsi="Arial"/>
                <w:sz w:val="18"/>
                <w:szCs w:val="18"/>
                <w:color w:val="3E3935"/>
              </w:rPr>
              <w:t>74</w:t>
            </w:r>
          </w:p>
        </w:tc>
      </w:tr>
      <w:tr>
        <w:trPr>
          <w:trHeight w:val="207"/>
        </w:trPr>
        <w:tc>
          <w:tcPr>
            <w:tcW w:w="1960" w:type="dxa"/>
            <w:vAlign w:val="bottom"/>
            <w:tcBorders>
              <w:top w:val="single" w:sz="8" w:color="0000EE"/>
            </w:tcBorders>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Performance Measures</w:t>
              </w:r>
            </w:hyperlink>
          </w:p>
        </w:tc>
        <w:tc>
          <w:tcPr>
            <w:tcW w:w="2540" w:type="dxa"/>
            <w:vAlign w:val="bottom"/>
            <w:gridSpan w:val="3"/>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3E3935"/>
              </w:rPr>
              <w:t>51</w:t>
            </w:r>
          </w:p>
        </w:tc>
        <w:tc>
          <w:tcPr>
            <w:tcW w:w="3640" w:type="dxa"/>
            <w:vAlign w:val="bottom"/>
            <w:tcBorders>
              <w:top w:val="single" w:sz="8" w:color="0000EE"/>
            </w:tcBorders>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Option Exercises and Stock Vested</w:t>
              </w:r>
            </w:hyperlink>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E3935"/>
              </w:rPr>
              <w:t>75</w:t>
            </w:r>
          </w:p>
        </w:tc>
      </w:tr>
      <w:tr>
        <w:trPr>
          <w:trHeight w:val="20"/>
        </w:trPr>
        <w:tc>
          <w:tcPr>
            <w:tcW w:w="18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4500" w:type="dxa"/>
            <w:vAlign w:val="bottom"/>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Performance Results and Compensation Decisions</w:t>
              </w:r>
            </w:hyperlink>
          </w:p>
        </w:tc>
        <w:tc>
          <w:tcPr>
            <w:tcW w:w="1060" w:type="dxa"/>
            <w:vAlign w:val="bottom"/>
          </w:tcPr>
          <w:p>
            <w:pPr>
              <w:jc w:val="right"/>
              <w:ind w:right="311"/>
              <w:spacing w:after="0"/>
              <w:rPr>
                <w:sz w:val="20"/>
                <w:szCs w:val="20"/>
                <w:color w:val="auto"/>
              </w:rPr>
            </w:pPr>
            <w:r>
              <w:rPr>
                <w:rFonts w:ascii="Arial" w:cs="Arial" w:eastAsia="Arial" w:hAnsi="Arial"/>
                <w:sz w:val="18"/>
                <w:szCs w:val="18"/>
                <w:color w:val="3E3935"/>
              </w:rPr>
              <w:t>54</w:t>
            </w:r>
          </w:p>
        </w:tc>
        <w:tc>
          <w:tcPr>
            <w:tcW w:w="4360" w:type="dxa"/>
            <w:vAlign w:val="bottom"/>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Pension Benefits</w:t>
              </w:r>
            </w:hyperlink>
          </w:p>
        </w:tc>
        <w:tc>
          <w:tcPr>
            <w:tcW w:w="920" w:type="dxa"/>
            <w:vAlign w:val="bottom"/>
          </w:tcPr>
          <w:p>
            <w:pPr>
              <w:jc w:val="right"/>
              <w:spacing w:after="0"/>
              <w:rPr>
                <w:sz w:val="20"/>
                <w:szCs w:val="20"/>
                <w:color w:val="auto"/>
              </w:rPr>
            </w:pPr>
            <w:r>
              <w:rPr>
                <w:rFonts w:ascii="Arial" w:cs="Arial" w:eastAsia="Arial" w:hAnsi="Arial"/>
                <w:sz w:val="18"/>
                <w:szCs w:val="18"/>
                <w:color w:val="3E3935"/>
              </w:rPr>
              <w:t>76</w:t>
            </w:r>
          </w:p>
        </w:tc>
      </w:tr>
      <w:tr>
        <w:trPr>
          <w:trHeight w:val="20"/>
        </w:trPr>
        <w:tc>
          <w:tcPr>
            <w:tcW w:w="2640" w:type="dxa"/>
            <w:vAlign w:val="bottom"/>
            <w:gridSpan w:val="3"/>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7"/>
        </w:trPr>
        <w:tc>
          <w:tcPr>
            <w:tcW w:w="40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5">
              <w:r>
                <w:rPr>
                  <w:rFonts w:ascii="Arial" w:cs="Arial" w:eastAsia="Arial" w:hAnsi="Arial"/>
                  <w:sz w:val="18"/>
                  <w:szCs w:val="18"/>
                  <w:color w:val="0000EE"/>
                  <w:w w:val="99"/>
                </w:rPr>
                <w:t>Compensation Policies and Governance Practices</w:t>
              </w:r>
            </w:hyperlink>
          </w:p>
        </w:tc>
        <w:tc>
          <w:tcPr>
            <w:tcW w:w="48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3E3935"/>
              </w:rPr>
              <w:t>65</w:t>
            </w:r>
          </w:p>
        </w:tc>
        <w:tc>
          <w:tcPr>
            <w:tcW w:w="33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88">
              <w:r>
                <w:rPr>
                  <w:rFonts w:ascii="Arial" w:cs="Arial" w:eastAsia="Arial" w:hAnsi="Arial"/>
                  <w:sz w:val="18"/>
                  <w:szCs w:val="18"/>
                  <w:color w:val="0000EE"/>
                  <w:w w:val="98"/>
                </w:rPr>
                <w:t>Nonqualified Deferred Compensation Plan</w:t>
              </w:r>
            </w:hyperlink>
          </w:p>
        </w:tc>
        <w:tc>
          <w:tcPr>
            <w:tcW w:w="102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E3935"/>
              </w:rPr>
              <w:t>78</w:t>
            </w:r>
          </w:p>
        </w:tc>
      </w:tr>
      <w:tr>
        <w:trPr>
          <w:trHeight w:val="207"/>
        </w:trPr>
        <w:tc>
          <w:tcPr>
            <w:tcW w:w="2640" w:type="dxa"/>
            <w:vAlign w:val="bottom"/>
            <w:gridSpan w:val="3"/>
          </w:tcPr>
          <w:p>
            <w:pPr>
              <w:spacing w:after="0"/>
              <w:rPr>
                <w:rFonts w:ascii="Arial" w:cs="Arial" w:eastAsia="Arial" w:hAnsi="Arial"/>
                <w:sz w:val="18"/>
                <w:szCs w:val="18"/>
                <w:color w:val="0000EE"/>
                <w:w w:val="98"/>
              </w:rPr>
            </w:pPr>
            <w:hyperlink w:anchor="page78">
              <w:r>
                <w:rPr>
                  <w:rFonts w:ascii="Arial" w:cs="Arial" w:eastAsia="Arial" w:hAnsi="Arial"/>
                  <w:sz w:val="18"/>
                  <w:szCs w:val="18"/>
                  <w:color w:val="0000EE"/>
                  <w:w w:val="98"/>
                </w:rPr>
                <w:t>Compensation Committee Report</w:t>
              </w:r>
            </w:hyperlink>
          </w:p>
        </w:tc>
        <w:tc>
          <w:tcPr>
            <w:tcW w:w="1860" w:type="dxa"/>
            <w:vAlign w:val="bottom"/>
            <w:gridSpan w:val="2"/>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3E3935"/>
              </w:rPr>
              <w:t>68</w:t>
            </w:r>
          </w:p>
        </w:tc>
        <w:tc>
          <w:tcPr>
            <w:tcW w:w="4360" w:type="dxa"/>
            <w:vAlign w:val="bottom"/>
            <w:gridSpan w:val="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Potential Payments Upon Termination</w:t>
              </w:r>
            </w:hyperlink>
          </w:p>
        </w:tc>
        <w:tc>
          <w:tcPr>
            <w:tcW w:w="920" w:type="dxa"/>
            <w:vAlign w:val="bottom"/>
          </w:tcPr>
          <w:p>
            <w:pPr>
              <w:jc w:val="right"/>
              <w:spacing w:after="0"/>
              <w:rPr>
                <w:sz w:val="20"/>
                <w:szCs w:val="20"/>
                <w:color w:val="auto"/>
              </w:rPr>
            </w:pPr>
            <w:r>
              <w:rPr>
                <w:rFonts w:ascii="Arial" w:cs="Arial" w:eastAsia="Arial" w:hAnsi="Arial"/>
                <w:sz w:val="18"/>
                <w:szCs w:val="18"/>
                <w:color w:val="3E3935"/>
              </w:rPr>
              <w:t>79</w:t>
            </w:r>
          </w:p>
        </w:tc>
      </w:tr>
      <w:tr>
        <w:trPr>
          <w:trHeight w:val="20"/>
        </w:trPr>
        <w:tc>
          <w:tcPr>
            <w:tcW w:w="1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237490</wp:posOffset>
            </wp:positionV>
            <wp:extent cx="5876925" cy="135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7692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620" w:type="dxa"/>
            <w:vAlign w:val="bottom"/>
          </w:tcPr>
          <w:p>
            <w:pPr>
              <w:spacing w:after="0"/>
              <w:rPr>
                <w:sz w:val="20"/>
                <w:szCs w:val="20"/>
                <w:color w:val="auto"/>
              </w:rPr>
            </w:pPr>
            <w:r>
              <w:rPr>
                <w:rFonts w:ascii="Arial" w:cs="Arial" w:eastAsia="Arial" w:hAnsi="Arial"/>
                <w:sz w:val="18"/>
                <w:szCs w:val="18"/>
                <w:color w:val="3E3935"/>
              </w:rPr>
              <w:t>AFCF</w:t>
            </w:r>
          </w:p>
        </w:tc>
        <w:tc>
          <w:tcPr>
            <w:tcW w:w="4280" w:type="dxa"/>
            <w:vAlign w:val="bottom"/>
            <w:gridSpan w:val="2"/>
          </w:tcPr>
          <w:p>
            <w:pPr>
              <w:ind w:left="160"/>
              <w:spacing w:after="0"/>
              <w:rPr>
                <w:sz w:val="20"/>
                <w:szCs w:val="20"/>
                <w:color w:val="auto"/>
              </w:rPr>
            </w:pPr>
            <w:r>
              <w:rPr>
                <w:rFonts w:ascii="Arial" w:cs="Arial" w:eastAsia="Arial" w:hAnsi="Arial"/>
                <w:sz w:val="18"/>
                <w:szCs w:val="18"/>
                <w:color w:val="3E3935"/>
              </w:rPr>
              <w:t>—  Automotive Free Cash Flow</w:t>
            </w:r>
          </w:p>
        </w:tc>
        <w:tc>
          <w:tcPr>
            <w:tcW w:w="1340" w:type="dxa"/>
            <w:vAlign w:val="bottom"/>
          </w:tcPr>
          <w:p>
            <w:pPr>
              <w:ind w:left="660"/>
              <w:spacing w:after="0"/>
              <w:rPr>
                <w:sz w:val="20"/>
                <w:szCs w:val="20"/>
                <w:color w:val="auto"/>
              </w:rPr>
            </w:pPr>
            <w:r>
              <w:rPr>
                <w:rFonts w:ascii="Arial" w:cs="Arial" w:eastAsia="Arial" w:hAnsi="Arial"/>
                <w:sz w:val="18"/>
                <w:szCs w:val="18"/>
                <w:color w:val="3E3935"/>
              </w:rPr>
              <w:t>LTIP</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Long-Term Incentive Plan</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AV</w:t>
            </w:r>
          </w:p>
        </w:tc>
        <w:tc>
          <w:tcPr>
            <w:tcW w:w="400" w:type="dxa"/>
            <w:vAlign w:val="bottom"/>
          </w:tcPr>
          <w:p>
            <w:pPr>
              <w:ind w:left="160"/>
              <w:spacing w:after="0"/>
              <w:rPr>
                <w:sz w:val="20"/>
                <w:szCs w:val="20"/>
                <w:color w:val="auto"/>
              </w:rPr>
            </w:pPr>
            <w:r>
              <w:rPr>
                <w:rFonts w:ascii="Arial" w:cs="Arial" w:eastAsia="Arial" w:hAnsi="Arial"/>
                <w:sz w:val="18"/>
                <w:szCs w:val="18"/>
                <w:color w:val="3E3935"/>
              </w:rPr>
              <w:t>—</w:t>
            </w:r>
          </w:p>
        </w:tc>
        <w:tc>
          <w:tcPr>
            <w:tcW w:w="3880" w:type="dxa"/>
            <w:vAlign w:val="bottom"/>
          </w:tcPr>
          <w:p>
            <w:pPr>
              <w:ind w:left="80"/>
              <w:spacing w:after="0"/>
              <w:rPr>
                <w:sz w:val="20"/>
                <w:szCs w:val="20"/>
                <w:color w:val="auto"/>
              </w:rPr>
            </w:pPr>
            <w:r>
              <w:rPr>
                <w:rFonts w:ascii="Arial" w:cs="Arial" w:eastAsia="Arial" w:hAnsi="Arial"/>
                <w:sz w:val="18"/>
                <w:szCs w:val="18"/>
                <w:color w:val="3E3935"/>
              </w:rPr>
              <w:t>Autonomous Vehicle</w:t>
            </w:r>
          </w:p>
        </w:tc>
        <w:tc>
          <w:tcPr>
            <w:tcW w:w="1340" w:type="dxa"/>
            <w:vAlign w:val="bottom"/>
          </w:tcPr>
          <w:p>
            <w:pPr>
              <w:ind w:left="660"/>
              <w:spacing w:after="0"/>
              <w:rPr>
                <w:sz w:val="20"/>
                <w:szCs w:val="20"/>
                <w:color w:val="auto"/>
              </w:rPr>
            </w:pPr>
            <w:r>
              <w:rPr>
                <w:rFonts w:ascii="Arial" w:cs="Arial" w:eastAsia="Arial" w:hAnsi="Arial"/>
                <w:sz w:val="18"/>
                <w:szCs w:val="18"/>
                <w:color w:val="3E3935"/>
              </w:rPr>
              <w:t>NEO</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Named Executive Officer</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DB</w:t>
            </w:r>
          </w:p>
        </w:tc>
        <w:tc>
          <w:tcPr>
            <w:tcW w:w="400" w:type="dxa"/>
            <w:vAlign w:val="bottom"/>
          </w:tcPr>
          <w:p>
            <w:pPr>
              <w:ind w:left="160"/>
              <w:spacing w:after="0"/>
              <w:rPr>
                <w:sz w:val="20"/>
                <w:szCs w:val="20"/>
                <w:color w:val="auto"/>
              </w:rPr>
            </w:pPr>
            <w:r>
              <w:rPr>
                <w:rFonts w:ascii="Arial" w:cs="Arial" w:eastAsia="Arial" w:hAnsi="Arial"/>
                <w:sz w:val="18"/>
                <w:szCs w:val="18"/>
                <w:color w:val="3E3935"/>
              </w:rPr>
              <w:t>—</w:t>
            </w:r>
          </w:p>
        </w:tc>
        <w:tc>
          <w:tcPr>
            <w:tcW w:w="3880" w:type="dxa"/>
            <w:vAlign w:val="bottom"/>
          </w:tcPr>
          <w:p>
            <w:pPr>
              <w:ind w:left="80"/>
              <w:spacing w:after="0"/>
              <w:rPr>
                <w:sz w:val="20"/>
                <w:szCs w:val="20"/>
                <w:color w:val="auto"/>
              </w:rPr>
            </w:pPr>
            <w:r>
              <w:rPr>
                <w:rFonts w:ascii="Arial" w:cs="Arial" w:eastAsia="Arial" w:hAnsi="Arial"/>
                <w:sz w:val="18"/>
                <w:szCs w:val="18"/>
                <w:color w:val="3E3935"/>
              </w:rPr>
              <w:t>Defined Benefit</w:t>
            </w:r>
          </w:p>
        </w:tc>
        <w:tc>
          <w:tcPr>
            <w:tcW w:w="1340" w:type="dxa"/>
            <w:vAlign w:val="bottom"/>
          </w:tcPr>
          <w:p>
            <w:pPr>
              <w:ind w:left="660"/>
              <w:spacing w:after="0"/>
              <w:rPr>
                <w:sz w:val="20"/>
                <w:szCs w:val="20"/>
                <w:color w:val="auto"/>
              </w:rPr>
            </w:pPr>
            <w:r>
              <w:rPr>
                <w:rFonts w:ascii="Arial" w:cs="Arial" w:eastAsia="Arial" w:hAnsi="Arial"/>
                <w:sz w:val="18"/>
                <w:szCs w:val="18"/>
                <w:color w:val="3E3935"/>
              </w:rPr>
              <w:t>NQ</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Nonqualified</w:t>
            </w:r>
          </w:p>
        </w:tc>
      </w:tr>
      <w:tr>
        <w:trPr>
          <w:trHeight w:val="348"/>
        </w:trPr>
        <w:tc>
          <w:tcPr>
            <w:tcW w:w="620" w:type="dxa"/>
            <w:vAlign w:val="bottom"/>
          </w:tcPr>
          <w:p>
            <w:pPr>
              <w:spacing w:after="0"/>
              <w:rPr>
                <w:sz w:val="20"/>
                <w:szCs w:val="20"/>
                <w:color w:val="auto"/>
              </w:rPr>
            </w:pPr>
            <w:r>
              <w:rPr>
                <w:rFonts w:ascii="Arial" w:cs="Arial" w:eastAsia="Arial" w:hAnsi="Arial"/>
                <w:sz w:val="18"/>
                <w:szCs w:val="18"/>
                <w:color w:val="3E3935"/>
              </w:rPr>
              <w:t>DC</w:t>
            </w:r>
          </w:p>
        </w:tc>
        <w:tc>
          <w:tcPr>
            <w:tcW w:w="400" w:type="dxa"/>
            <w:vAlign w:val="bottom"/>
          </w:tcPr>
          <w:p>
            <w:pPr>
              <w:ind w:left="160"/>
              <w:spacing w:after="0"/>
              <w:rPr>
                <w:sz w:val="20"/>
                <w:szCs w:val="20"/>
                <w:color w:val="auto"/>
              </w:rPr>
            </w:pPr>
            <w:r>
              <w:rPr>
                <w:rFonts w:ascii="Arial" w:cs="Arial" w:eastAsia="Arial" w:hAnsi="Arial"/>
                <w:sz w:val="18"/>
                <w:szCs w:val="18"/>
                <w:color w:val="3E3935"/>
              </w:rPr>
              <w:t>—</w:t>
            </w:r>
          </w:p>
        </w:tc>
        <w:tc>
          <w:tcPr>
            <w:tcW w:w="3880" w:type="dxa"/>
            <w:vAlign w:val="bottom"/>
          </w:tcPr>
          <w:p>
            <w:pPr>
              <w:ind w:left="80"/>
              <w:spacing w:after="0"/>
              <w:rPr>
                <w:sz w:val="20"/>
                <w:szCs w:val="20"/>
                <w:color w:val="auto"/>
              </w:rPr>
            </w:pPr>
            <w:r>
              <w:rPr>
                <w:rFonts w:ascii="Arial" w:cs="Arial" w:eastAsia="Arial" w:hAnsi="Arial"/>
                <w:sz w:val="18"/>
                <w:szCs w:val="18"/>
                <w:color w:val="3E3935"/>
              </w:rPr>
              <w:t>Defined Contribution</w:t>
            </w:r>
          </w:p>
        </w:tc>
        <w:tc>
          <w:tcPr>
            <w:tcW w:w="1340" w:type="dxa"/>
            <w:vAlign w:val="bottom"/>
          </w:tcPr>
          <w:p>
            <w:pPr>
              <w:ind w:left="660"/>
              <w:spacing w:after="0"/>
              <w:rPr>
                <w:sz w:val="20"/>
                <w:szCs w:val="20"/>
                <w:color w:val="auto"/>
              </w:rPr>
            </w:pPr>
            <w:r>
              <w:rPr>
                <w:rFonts w:ascii="Arial" w:cs="Arial" w:eastAsia="Arial" w:hAnsi="Arial"/>
                <w:sz w:val="18"/>
                <w:szCs w:val="18"/>
                <w:color w:val="3E3935"/>
              </w:rPr>
              <w:t>OEM</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Original Equipment Manufacturer</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EBIT</w:t>
            </w:r>
          </w:p>
        </w:tc>
        <w:tc>
          <w:tcPr>
            <w:tcW w:w="4280" w:type="dxa"/>
            <w:vAlign w:val="bottom"/>
            <w:gridSpan w:val="2"/>
          </w:tcPr>
          <w:p>
            <w:pPr>
              <w:ind w:left="160"/>
              <w:spacing w:after="0"/>
              <w:rPr>
                <w:sz w:val="20"/>
                <w:szCs w:val="20"/>
                <w:color w:val="auto"/>
              </w:rPr>
            </w:pPr>
            <w:r>
              <w:rPr>
                <w:rFonts w:ascii="Arial" w:cs="Arial" w:eastAsia="Arial" w:hAnsi="Arial"/>
                <w:sz w:val="18"/>
                <w:szCs w:val="18"/>
                <w:color w:val="3E3935"/>
              </w:rPr>
              <w:t>—  Earnings Before Interest and Taxes</w:t>
            </w:r>
          </w:p>
        </w:tc>
        <w:tc>
          <w:tcPr>
            <w:tcW w:w="1340" w:type="dxa"/>
            <w:vAlign w:val="bottom"/>
          </w:tcPr>
          <w:p>
            <w:pPr>
              <w:ind w:left="660"/>
              <w:spacing w:after="0"/>
              <w:rPr>
                <w:sz w:val="20"/>
                <w:szCs w:val="20"/>
                <w:color w:val="auto"/>
              </w:rPr>
            </w:pPr>
            <w:r>
              <w:rPr>
                <w:rFonts w:ascii="Arial" w:cs="Arial" w:eastAsia="Arial" w:hAnsi="Arial"/>
                <w:sz w:val="18"/>
                <w:szCs w:val="18"/>
                <w:color w:val="3E3935"/>
              </w:rPr>
              <w:t>PSU</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Performance Share Unit</w:t>
            </w:r>
          </w:p>
        </w:tc>
      </w:tr>
      <w:tr>
        <w:trPr>
          <w:trHeight w:val="348"/>
        </w:trPr>
        <w:tc>
          <w:tcPr>
            <w:tcW w:w="620" w:type="dxa"/>
            <w:vAlign w:val="bottom"/>
          </w:tcPr>
          <w:p>
            <w:pPr>
              <w:spacing w:after="0"/>
              <w:rPr>
                <w:sz w:val="20"/>
                <w:szCs w:val="20"/>
                <w:color w:val="auto"/>
              </w:rPr>
            </w:pPr>
            <w:r>
              <w:rPr>
                <w:rFonts w:ascii="Arial" w:cs="Arial" w:eastAsia="Arial" w:hAnsi="Arial"/>
                <w:sz w:val="18"/>
                <w:szCs w:val="18"/>
                <w:color w:val="3E3935"/>
              </w:rPr>
              <w:t>EPS</w:t>
            </w:r>
          </w:p>
        </w:tc>
        <w:tc>
          <w:tcPr>
            <w:tcW w:w="400" w:type="dxa"/>
            <w:vAlign w:val="bottom"/>
          </w:tcPr>
          <w:p>
            <w:pPr>
              <w:ind w:left="160"/>
              <w:spacing w:after="0"/>
              <w:rPr>
                <w:sz w:val="20"/>
                <w:szCs w:val="20"/>
                <w:color w:val="auto"/>
              </w:rPr>
            </w:pPr>
            <w:r>
              <w:rPr>
                <w:rFonts w:ascii="Arial" w:cs="Arial" w:eastAsia="Arial" w:hAnsi="Arial"/>
                <w:sz w:val="18"/>
                <w:szCs w:val="18"/>
                <w:color w:val="3E3935"/>
              </w:rPr>
              <w:t>—</w:t>
            </w:r>
          </w:p>
        </w:tc>
        <w:tc>
          <w:tcPr>
            <w:tcW w:w="3880" w:type="dxa"/>
            <w:vAlign w:val="bottom"/>
          </w:tcPr>
          <w:p>
            <w:pPr>
              <w:ind w:left="80"/>
              <w:spacing w:after="0"/>
              <w:rPr>
                <w:sz w:val="20"/>
                <w:szCs w:val="20"/>
                <w:color w:val="auto"/>
              </w:rPr>
            </w:pPr>
            <w:r>
              <w:rPr>
                <w:rFonts w:ascii="Arial" w:cs="Arial" w:eastAsia="Arial" w:hAnsi="Arial"/>
                <w:sz w:val="18"/>
                <w:szCs w:val="18"/>
                <w:color w:val="3E3935"/>
              </w:rPr>
              <w:t>Earnings Per Share</w:t>
            </w:r>
          </w:p>
        </w:tc>
        <w:tc>
          <w:tcPr>
            <w:tcW w:w="1340" w:type="dxa"/>
            <w:vAlign w:val="bottom"/>
          </w:tcPr>
          <w:p>
            <w:pPr>
              <w:ind w:left="660"/>
              <w:spacing w:after="0"/>
              <w:rPr>
                <w:sz w:val="20"/>
                <w:szCs w:val="20"/>
                <w:color w:val="auto"/>
              </w:rPr>
            </w:pPr>
            <w:r>
              <w:rPr>
                <w:rFonts w:ascii="Arial" w:cs="Arial" w:eastAsia="Arial" w:hAnsi="Arial"/>
                <w:sz w:val="18"/>
                <w:szCs w:val="18"/>
                <w:color w:val="3E3935"/>
              </w:rPr>
              <w:t>ROIC</w:t>
            </w:r>
          </w:p>
        </w:tc>
        <w:tc>
          <w:tcPr>
            <w:tcW w:w="3140" w:type="dxa"/>
            <w:vAlign w:val="bottom"/>
            <w:gridSpan w:val="2"/>
          </w:tcPr>
          <w:p>
            <w:pPr>
              <w:ind w:left="120"/>
              <w:spacing w:after="0"/>
              <w:rPr>
                <w:sz w:val="20"/>
                <w:szCs w:val="20"/>
                <w:color w:val="auto"/>
              </w:rPr>
            </w:pPr>
            <w:r>
              <w:rPr>
                <w:rFonts w:ascii="Arial" w:cs="Arial" w:eastAsia="Arial" w:hAnsi="Arial"/>
                <w:sz w:val="18"/>
                <w:szCs w:val="18"/>
                <w:color w:val="3E3935"/>
              </w:rPr>
              <w:t>—  Return on Invested Capital</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ESG</w:t>
            </w:r>
          </w:p>
        </w:tc>
        <w:tc>
          <w:tcPr>
            <w:tcW w:w="4280" w:type="dxa"/>
            <w:vAlign w:val="bottom"/>
            <w:gridSpan w:val="2"/>
          </w:tcPr>
          <w:p>
            <w:pPr>
              <w:ind w:left="160"/>
              <w:spacing w:after="0"/>
              <w:rPr>
                <w:sz w:val="20"/>
                <w:szCs w:val="20"/>
                <w:color w:val="auto"/>
              </w:rPr>
            </w:pPr>
            <w:r>
              <w:rPr>
                <w:rFonts w:ascii="Arial" w:cs="Arial" w:eastAsia="Arial" w:hAnsi="Arial"/>
                <w:sz w:val="18"/>
                <w:szCs w:val="18"/>
                <w:color w:val="3E3935"/>
              </w:rPr>
              <w:t>—  Environmental, Social, and Governance</w:t>
            </w:r>
          </w:p>
        </w:tc>
        <w:tc>
          <w:tcPr>
            <w:tcW w:w="1340" w:type="dxa"/>
            <w:vAlign w:val="bottom"/>
          </w:tcPr>
          <w:p>
            <w:pPr>
              <w:ind w:left="660"/>
              <w:spacing w:after="0"/>
              <w:rPr>
                <w:sz w:val="20"/>
                <w:szCs w:val="20"/>
                <w:color w:val="auto"/>
              </w:rPr>
            </w:pPr>
            <w:r>
              <w:rPr>
                <w:rFonts w:ascii="Arial" w:cs="Arial" w:eastAsia="Arial" w:hAnsi="Arial"/>
                <w:sz w:val="18"/>
                <w:szCs w:val="18"/>
                <w:color w:val="3E3935"/>
              </w:rPr>
              <w:t>RSU</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Restricted Stock Unit</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EV</w:t>
            </w:r>
          </w:p>
        </w:tc>
        <w:tc>
          <w:tcPr>
            <w:tcW w:w="400" w:type="dxa"/>
            <w:vAlign w:val="bottom"/>
          </w:tcPr>
          <w:p>
            <w:pPr>
              <w:ind w:left="160"/>
              <w:spacing w:after="0"/>
              <w:rPr>
                <w:sz w:val="20"/>
                <w:szCs w:val="20"/>
                <w:color w:val="auto"/>
              </w:rPr>
            </w:pPr>
            <w:r>
              <w:rPr>
                <w:rFonts w:ascii="Arial" w:cs="Arial" w:eastAsia="Arial" w:hAnsi="Arial"/>
                <w:sz w:val="18"/>
                <w:szCs w:val="18"/>
                <w:color w:val="3E3935"/>
              </w:rPr>
              <w:t>—</w:t>
            </w:r>
          </w:p>
        </w:tc>
        <w:tc>
          <w:tcPr>
            <w:tcW w:w="3880" w:type="dxa"/>
            <w:vAlign w:val="bottom"/>
          </w:tcPr>
          <w:p>
            <w:pPr>
              <w:ind w:left="80"/>
              <w:spacing w:after="0"/>
              <w:rPr>
                <w:sz w:val="20"/>
                <w:szCs w:val="20"/>
                <w:color w:val="auto"/>
              </w:rPr>
            </w:pPr>
            <w:r>
              <w:rPr>
                <w:rFonts w:ascii="Arial" w:cs="Arial" w:eastAsia="Arial" w:hAnsi="Arial"/>
                <w:sz w:val="18"/>
                <w:szCs w:val="18"/>
                <w:color w:val="3E3935"/>
              </w:rPr>
              <w:t>Electric Vehicle</w:t>
            </w:r>
          </w:p>
        </w:tc>
        <w:tc>
          <w:tcPr>
            <w:tcW w:w="1340" w:type="dxa"/>
            <w:vAlign w:val="bottom"/>
          </w:tcPr>
          <w:p>
            <w:pPr>
              <w:ind w:left="660"/>
              <w:spacing w:after="0"/>
              <w:rPr>
                <w:sz w:val="20"/>
                <w:szCs w:val="20"/>
                <w:color w:val="auto"/>
              </w:rPr>
            </w:pPr>
            <w:r>
              <w:rPr>
                <w:rFonts w:ascii="Arial" w:cs="Arial" w:eastAsia="Arial" w:hAnsi="Arial"/>
                <w:sz w:val="18"/>
                <w:szCs w:val="18"/>
                <w:color w:val="3E3935"/>
              </w:rPr>
              <w:t>STIP</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Short-Term Incentive Plan</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GICS</w:t>
            </w:r>
          </w:p>
        </w:tc>
        <w:tc>
          <w:tcPr>
            <w:tcW w:w="4280" w:type="dxa"/>
            <w:vAlign w:val="bottom"/>
            <w:gridSpan w:val="2"/>
          </w:tcPr>
          <w:p>
            <w:pPr>
              <w:ind w:left="160"/>
              <w:spacing w:after="0"/>
              <w:rPr>
                <w:sz w:val="20"/>
                <w:szCs w:val="20"/>
                <w:color w:val="auto"/>
              </w:rPr>
            </w:pPr>
            <w:r>
              <w:rPr>
                <w:rFonts w:ascii="Arial" w:cs="Arial" w:eastAsia="Arial" w:hAnsi="Arial"/>
                <w:sz w:val="18"/>
                <w:szCs w:val="18"/>
                <w:color w:val="3E3935"/>
              </w:rPr>
              <w:t>—  Global Industry Classification Standard</w:t>
            </w:r>
          </w:p>
        </w:tc>
        <w:tc>
          <w:tcPr>
            <w:tcW w:w="1340" w:type="dxa"/>
            <w:vAlign w:val="bottom"/>
          </w:tcPr>
          <w:p>
            <w:pPr>
              <w:ind w:left="660"/>
              <w:spacing w:after="0"/>
              <w:rPr>
                <w:sz w:val="20"/>
                <w:szCs w:val="20"/>
                <w:color w:val="auto"/>
              </w:rPr>
            </w:pPr>
            <w:r>
              <w:rPr>
                <w:rFonts w:ascii="Arial" w:cs="Arial" w:eastAsia="Arial" w:hAnsi="Arial"/>
                <w:sz w:val="18"/>
                <w:szCs w:val="18"/>
                <w:color w:val="3E3935"/>
              </w:rPr>
              <w:t>TSR</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rPr>
              <w:t>Total Shareholder Return</w:t>
            </w:r>
          </w:p>
        </w:tc>
      </w:tr>
      <w:tr>
        <w:trPr>
          <w:trHeight w:val="334"/>
        </w:trPr>
        <w:tc>
          <w:tcPr>
            <w:tcW w:w="620" w:type="dxa"/>
            <w:vAlign w:val="bottom"/>
          </w:tcPr>
          <w:p>
            <w:pPr>
              <w:spacing w:after="0"/>
              <w:rPr>
                <w:sz w:val="20"/>
                <w:szCs w:val="20"/>
                <w:color w:val="auto"/>
              </w:rPr>
            </w:pPr>
            <w:r>
              <w:rPr>
                <w:rFonts w:ascii="Arial" w:cs="Arial" w:eastAsia="Arial" w:hAnsi="Arial"/>
                <w:sz w:val="18"/>
                <w:szCs w:val="18"/>
                <w:color w:val="3E3935"/>
              </w:rPr>
              <w:t>HCM</w:t>
            </w:r>
          </w:p>
        </w:tc>
        <w:tc>
          <w:tcPr>
            <w:tcW w:w="400" w:type="dxa"/>
            <w:vAlign w:val="bottom"/>
          </w:tcPr>
          <w:p>
            <w:pPr>
              <w:ind w:left="160"/>
              <w:spacing w:after="0"/>
              <w:rPr>
                <w:sz w:val="20"/>
                <w:szCs w:val="20"/>
                <w:color w:val="auto"/>
              </w:rPr>
            </w:pPr>
            <w:r>
              <w:rPr>
                <w:rFonts w:ascii="Arial" w:cs="Arial" w:eastAsia="Arial" w:hAnsi="Arial"/>
                <w:sz w:val="18"/>
                <w:szCs w:val="18"/>
                <w:color w:val="3E3935"/>
              </w:rPr>
              <w:t>—</w:t>
            </w:r>
          </w:p>
        </w:tc>
        <w:tc>
          <w:tcPr>
            <w:tcW w:w="3880" w:type="dxa"/>
            <w:vAlign w:val="bottom"/>
          </w:tcPr>
          <w:p>
            <w:pPr>
              <w:ind w:left="80"/>
              <w:spacing w:after="0"/>
              <w:rPr>
                <w:sz w:val="20"/>
                <w:szCs w:val="20"/>
                <w:color w:val="auto"/>
              </w:rPr>
            </w:pPr>
            <w:r>
              <w:rPr>
                <w:rFonts w:ascii="Arial" w:cs="Arial" w:eastAsia="Arial" w:hAnsi="Arial"/>
                <w:sz w:val="18"/>
                <w:szCs w:val="18"/>
                <w:color w:val="3E3935"/>
              </w:rPr>
              <w:t>Human Capital Management</w:t>
            </w:r>
          </w:p>
        </w:tc>
        <w:tc>
          <w:tcPr>
            <w:tcW w:w="1340" w:type="dxa"/>
            <w:vAlign w:val="bottom"/>
          </w:tcPr>
          <w:p>
            <w:pPr>
              <w:ind w:left="660"/>
              <w:spacing w:after="0"/>
              <w:rPr>
                <w:sz w:val="20"/>
                <w:szCs w:val="20"/>
                <w:color w:val="auto"/>
              </w:rPr>
            </w:pPr>
            <w:r>
              <w:rPr>
                <w:rFonts w:ascii="Arial" w:cs="Arial" w:eastAsia="Arial" w:hAnsi="Arial"/>
                <w:sz w:val="18"/>
                <w:szCs w:val="18"/>
                <w:color w:val="3E3935"/>
              </w:rPr>
              <w:t>WACC</w:t>
            </w:r>
          </w:p>
        </w:tc>
        <w:tc>
          <w:tcPr>
            <w:tcW w:w="380" w:type="dxa"/>
            <w:vAlign w:val="bottom"/>
          </w:tcPr>
          <w:p>
            <w:pPr>
              <w:ind w:left="120"/>
              <w:spacing w:after="0"/>
              <w:rPr>
                <w:sz w:val="20"/>
                <w:szCs w:val="20"/>
                <w:color w:val="auto"/>
              </w:rPr>
            </w:pPr>
            <w:r>
              <w:rPr>
                <w:rFonts w:ascii="Arial" w:cs="Arial" w:eastAsia="Arial" w:hAnsi="Arial"/>
                <w:sz w:val="18"/>
                <w:szCs w:val="18"/>
                <w:color w:val="3E3935"/>
              </w:rPr>
              <w:t>—</w:t>
            </w:r>
          </w:p>
        </w:tc>
        <w:tc>
          <w:tcPr>
            <w:tcW w:w="2760" w:type="dxa"/>
            <w:vAlign w:val="bottom"/>
          </w:tcPr>
          <w:p>
            <w:pPr>
              <w:ind w:left="80"/>
              <w:spacing w:after="0"/>
              <w:rPr>
                <w:sz w:val="20"/>
                <w:szCs w:val="20"/>
                <w:color w:val="auto"/>
              </w:rPr>
            </w:pPr>
            <w:r>
              <w:rPr>
                <w:rFonts w:ascii="Arial" w:cs="Arial" w:eastAsia="Arial" w:hAnsi="Arial"/>
                <w:sz w:val="18"/>
                <w:szCs w:val="18"/>
                <w:color w:val="3E3935"/>
                <w:w w:val="98"/>
              </w:rPr>
              <w:t>Weighted Average Cost of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264160</wp:posOffset>
            </wp:positionV>
            <wp:extent cx="5876925" cy="135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76925" cy="13589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638175</wp:posOffset>
            </wp:positionV>
            <wp:extent cx="365125" cy="399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-762635</wp:posOffset>
            </wp:positionV>
            <wp:extent cx="93345" cy="850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Mary T. Barra</w:t>
            </w:r>
          </w:p>
        </w:tc>
        <w:tc>
          <w:tcPr>
            <w:tcW w:w="8260" w:type="dxa"/>
            <w:vAlign w:val="bottom"/>
          </w:tcPr>
          <w:p>
            <w:pPr>
              <w:ind w:left="860"/>
              <w:spacing w:after="0"/>
              <w:rPr>
                <w:sz w:val="20"/>
                <w:szCs w:val="20"/>
                <w:color w:val="auto"/>
              </w:rPr>
            </w:pPr>
            <w:r>
              <w:rPr>
                <w:rFonts w:ascii="Arial" w:cs="Arial" w:eastAsia="Arial" w:hAnsi="Arial"/>
                <w:sz w:val="18"/>
                <w:szCs w:val="18"/>
                <w:color w:val="3E3935"/>
              </w:rPr>
              <w:t>Chairman and Chief Executive Officer</w:t>
            </w:r>
          </w:p>
        </w:tc>
        <w:tc>
          <w:tcPr>
            <w:tcW w:w="0" w:type="dxa"/>
            <w:vAlign w:val="bottom"/>
          </w:tcPr>
          <w:p>
            <w:pPr>
              <w:spacing w:after="0"/>
              <w:rPr>
                <w:sz w:val="1"/>
                <w:szCs w:val="1"/>
                <w:color w:val="auto"/>
              </w:rPr>
            </w:pPr>
          </w:p>
        </w:tc>
      </w:tr>
      <w:tr>
        <w:trPr>
          <w:trHeight w:val="282"/>
        </w:trPr>
        <w:tc>
          <w:tcPr>
            <w:tcW w:w="2660" w:type="dxa"/>
            <w:vAlign w:val="bottom"/>
            <w:tcBorders>
              <w:bottom w:val="single" w:sz="8" w:color="3E3935"/>
            </w:tcBorders>
          </w:tcPr>
          <w:p>
            <w:pPr>
              <w:spacing w:after="0"/>
              <w:rPr>
                <w:sz w:val="24"/>
                <w:szCs w:val="24"/>
                <w:color w:val="auto"/>
              </w:rPr>
            </w:pPr>
          </w:p>
        </w:tc>
        <w:tc>
          <w:tcPr>
            <w:tcW w:w="8260" w:type="dxa"/>
            <w:vAlign w:val="bottom"/>
            <w:tcBorders>
              <w:bottom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Paul A. Jacobson</w:t>
            </w:r>
          </w:p>
        </w:tc>
        <w:tc>
          <w:tcPr>
            <w:tcW w:w="8260" w:type="dxa"/>
            <w:vAlign w:val="bottom"/>
          </w:tcPr>
          <w:p>
            <w:pPr>
              <w:ind w:left="860"/>
              <w:spacing w:after="0"/>
              <w:rPr>
                <w:sz w:val="20"/>
                <w:szCs w:val="20"/>
                <w:color w:val="auto"/>
              </w:rPr>
            </w:pPr>
            <w:r>
              <w:rPr>
                <w:rFonts w:ascii="Arial" w:cs="Arial" w:eastAsia="Arial" w:hAnsi="Arial"/>
                <w:sz w:val="18"/>
                <w:szCs w:val="18"/>
                <w:color w:val="3E3935"/>
              </w:rPr>
              <w:t>Executive Vice President and Chief Financial Officer</w:t>
            </w:r>
          </w:p>
        </w:tc>
        <w:tc>
          <w:tcPr>
            <w:tcW w:w="0" w:type="dxa"/>
            <w:vAlign w:val="bottom"/>
          </w:tcPr>
          <w:p>
            <w:pPr>
              <w:spacing w:after="0"/>
              <w:rPr>
                <w:sz w:val="1"/>
                <w:szCs w:val="1"/>
                <w:color w:val="auto"/>
              </w:rPr>
            </w:pPr>
          </w:p>
        </w:tc>
      </w:tr>
      <w:tr>
        <w:trPr>
          <w:trHeight w:val="282"/>
        </w:trPr>
        <w:tc>
          <w:tcPr>
            <w:tcW w:w="2660" w:type="dxa"/>
            <w:vAlign w:val="bottom"/>
            <w:tcBorders>
              <w:bottom w:val="single" w:sz="8" w:color="3E3935"/>
            </w:tcBorders>
          </w:tcPr>
          <w:p>
            <w:pPr>
              <w:spacing w:after="0"/>
              <w:rPr>
                <w:sz w:val="24"/>
                <w:szCs w:val="24"/>
                <w:color w:val="auto"/>
              </w:rPr>
            </w:pPr>
          </w:p>
        </w:tc>
        <w:tc>
          <w:tcPr>
            <w:tcW w:w="8260" w:type="dxa"/>
            <w:vAlign w:val="bottom"/>
            <w:tcBorders>
              <w:bottom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Mark L. Reuss</w:t>
            </w:r>
          </w:p>
        </w:tc>
        <w:tc>
          <w:tcPr>
            <w:tcW w:w="8260" w:type="dxa"/>
            <w:vAlign w:val="bottom"/>
          </w:tcPr>
          <w:p>
            <w:pPr>
              <w:ind w:left="860"/>
              <w:spacing w:after="0"/>
              <w:rPr>
                <w:sz w:val="20"/>
                <w:szCs w:val="20"/>
                <w:color w:val="auto"/>
              </w:rPr>
            </w:pPr>
            <w:r>
              <w:rPr>
                <w:rFonts w:ascii="Arial" w:cs="Arial" w:eastAsia="Arial" w:hAnsi="Arial"/>
                <w:sz w:val="18"/>
                <w:szCs w:val="18"/>
                <w:color w:val="3E3935"/>
              </w:rPr>
              <w:t>President</w:t>
            </w:r>
          </w:p>
        </w:tc>
        <w:tc>
          <w:tcPr>
            <w:tcW w:w="0" w:type="dxa"/>
            <w:vAlign w:val="bottom"/>
          </w:tcPr>
          <w:p>
            <w:pPr>
              <w:spacing w:after="0"/>
              <w:rPr>
                <w:sz w:val="1"/>
                <w:szCs w:val="1"/>
                <w:color w:val="auto"/>
              </w:rPr>
            </w:pPr>
          </w:p>
        </w:tc>
      </w:tr>
      <w:tr>
        <w:trPr>
          <w:trHeight w:val="282"/>
        </w:trPr>
        <w:tc>
          <w:tcPr>
            <w:tcW w:w="2660" w:type="dxa"/>
            <w:vAlign w:val="bottom"/>
            <w:tcBorders>
              <w:bottom w:val="single" w:sz="8" w:color="3E3935"/>
            </w:tcBorders>
          </w:tcPr>
          <w:p>
            <w:pPr>
              <w:spacing w:after="0"/>
              <w:rPr>
                <w:sz w:val="24"/>
                <w:szCs w:val="24"/>
                <w:color w:val="auto"/>
              </w:rPr>
            </w:pPr>
          </w:p>
        </w:tc>
        <w:tc>
          <w:tcPr>
            <w:tcW w:w="8260" w:type="dxa"/>
            <w:vAlign w:val="bottom"/>
            <w:tcBorders>
              <w:bottom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Douglas L. Parks</w:t>
            </w:r>
          </w:p>
        </w:tc>
        <w:tc>
          <w:tcPr>
            <w:tcW w:w="8260" w:type="dxa"/>
            <w:vAlign w:val="bottom"/>
          </w:tcPr>
          <w:p>
            <w:pPr>
              <w:ind w:left="860"/>
              <w:spacing w:after="0"/>
              <w:rPr>
                <w:sz w:val="20"/>
                <w:szCs w:val="20"/>
                <w:color w:val="auto"/>
              </w:rPr>
            </w:pPr>
            <w:r>
              <w:rPr>
                <w:rFonts w:ascii="Arial" w:cs="Arial" w:eastAsia="Arial" w:hAnsi="Arial"/>
                <w:sz w:val="18"/>
                <w:szCs w:val="18"/>
                <w:color w:val="3E3935"/>
              </w:rPr>
              <w:t>Executive Vice President, Global Product Development, Purchasing and Supply Chain</w:t>
            </w:r>
          </w:p>
        </w:tc>
        <w:tc>
          <w:tcPr>
            <w:tcW w:w="0" w:type="dxa"/>
            <w:vAlign w:val="bottom"/>
          </w:tcPr>
          <w:p>
            <w:pPr>
              <w:spacing w:after="0"/>
              <w:rPr>
                <w:sz w:val="1"/>
                <w:szCs w:val="1"/>
                <w:color w:val="auto"/>
              </w:rPr>
            </w:pPr>
          </w:p>
        </w:tc>
      </w:tr>
      <w:tr>
        <w:trPr>
          <w:trHeight w:val="282"/>
        </w:trPr>
        <w:tc>
          <w:tcPr>
            <w:tcW w:w="2660" w:type="dxa"/>
            <w:vAlign w:val="bottom"/>
            <w:tcBorders>
              <w:bottom w:val="single" w:sz="8" w:color="3E3935"/>
            </w:tcBorders>
          </w:tcPr>
          <w:p>
            <w:pPr>
              <w:spacing w:after="0"/>
              <w:rPr>
                <w:sz w:val="24"/>
                <w:szCs w:val="24"/>
                <w:color w:val="auto"/>
              </w:rPr>
            </w:pPr>
          </w:p>
        </w:tc>
        <w:tc>
          <w:tcPr>
            <w:tcW w:w="8260" w:type="dxa"/>
            <w:vAlign w:val="bottom"/>
            <w:tcBorders>
              <w:bottom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Stephen K. Carlisle</w:t>
            </w:r>
          </w:p>
        </w:tc>
        <w:tc>
          <w:tcPr>
            <w:tcW w:w="8260" w:type="dxa"/>
            <w:vAlign w:val="bottom"/>
          </w:tcPr>
          <w:p>
            <w:pPr>
              <w:ind w:left="860"/>
              <w:spacing w:after="0"/>
              <w:rPr>
                <w:sz w:val="20"/>
                <w:szCs w:val="20"/>
                <w:color w:val="auto"/>
              </w:rPr>
            </w:pPr>
            <w:r>
              <w:rPr>
                <w:rFonts w:ascii="Arial" w:cs="Arial" w:eastAsia="Arial" w:hAnsi="Arial"/>
                <w:sz w:val="18"/>
                <w:szCs w:val="18"/>
                <w:color w:val="3E3935"/>
              </w:rPr>
              <w:t>Executive Vice President and President, North America</w:t>
            </w:r>
          </w:p>
        </w:tc>
        <w:tc>
          <w:tcPr>
            <w:tcW w:w="0" w:type="dxa"/>
            <w:vAlign w:val="bottom"/>
          </w:tcPr>
          <w:p>
            <w:pPr>
              <w:spacing w:after="0"/>
              <w:rPr>
                <w:sz w:val="1"/>
                <w:szCs w:val="1"/>
                <w:color w:val="auto"/>
              </w:rPr>
            </w:pPr>
          </w:p>
        </w:tc>
      </w:tr>
      <w:tr>
        <w:trPr>
          <w:trHeight w:val="282"/>
        </w:trPr>
        <w:tc>
          <w:tcPr>
            <w:tcW w:w="2660" w:type="dxa"/>
            <w:vAlign w:val="bottom"/>
            <w:tcBorders>
              <w:bottom w:val="single" w:sz="8" w:color="3E3935"/>
            </w:tcBorders>
          </w:tcPr>
          <w:p>
            <w:pPr>
              <w:spacing w:after="0"/>
              <w:rPr>
                <w:sz w:val="24"/>
                <w:szCs w:val="24"/>
                <w:color w:val="auto"/>
              </w:rPr>
            </w:pPr>
          </w:p>
        </w:tc>
        <w:tc>
          <w:tcPr>
            <w:tcW w:w="8260" w:type="dxa"/>
            <w:vAlign w:val="bottom"/>
            <w:tcBorders>
              <w:bottom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Dhivya Suryadevara</w:t>
            </w:r>
          </w:p>
        </w:tc>
        <w:tc>
          <w:tcPr>
            <w:tcW w:w="8260" w:type="dxa"/>
            <w:vAlign w:val="bottom"/>
          </w:tcPr>
          <w:p>
            <w:pPr>
              <w:ind w:left="860"/>
              <w:spacing w:after="0"/>
              <w:rPr>
                <w:sz w:val="20"/>
                <w:szCs w:val="20"/>
                <w:color w:val="auto"/>
              </w:rPr>
            </w:pPr>
            <w:r>
              <w:rPr>
                <w:rFonts w:ascii="Arial" w:cs="Arial" w:eastAsia="Arial" w:hAnsi="Arial"/>
                <w:sz w:val="18"/>
                <w:szCs w:val="18"/>
                <w:color w:val="3E3935"/>
              </w:rPr>
              <w:t>Former Executive Vice President and Chief Financial Officer</w:t>
            </w:r>
          </w:p>
        </w:tc>
        <w:tc>
          <w:tcPr>
            <w:tcW w:w="0" w:type="dxa"/>
            <w:vAlign w:val="bottom"/>
          </w:tcPr>
          <w:p>
            <w:pPr>
              <w:spacing w:after="0"/>
              <w:rPr>
                <w:sz w:val="1"/>
                <w:szCs w:val="1"/>
                <w:color w:val="auto"/>
              </w:rPr>
            </w:pPr>
          </w:p>
        </w:tc>
      </w:tr>
      <w:tr>
        <w:trPr>
          <w:trHeight w:val="282"/>
        </w:trPr>
        <w:tc>
          <w:tcPr>
            <w:tcW w:w="2660" w:type="dxa"/>
            <w:vAlign w:val="bottom"/>
            <w:tcBorders>
              <w:bottom w:val="single" w:sz="8" w:color="3E3935"/>
            </w:tcBorders>
          </w:tcPr>
          <w:p>
            <w:pPr>
              <w:spacing w:after="0"/>
              <w:rPr>
                <w:sz w:val="24"/>
                <w:szCs w:val="24"/>
                <w:color w:val="auto"/>
              </w:rPr>
            </w:pPr>
          </w:p>
        </w:tc>
        <w:tc>
          <w:tcPr>
            <w:tcW w:w="8260" w:type="dxa"/>
            <w:vAlign w:val="bottom"/>
            <w:tcBorders>
              <w:bottom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660" w:type="dxa"/>
            <w:vAlign w:val="bottom"/>
            <w:vMerge w:val="restart"/>
          </w:tcPr>
          <w:p>
            <w:pPr>
              <w:ind w:left="100"/>
              <w:spacing w:after="0"/>
              <w:rPr>
                <w:sz w:val="20"/>
                <w:szCs w:val="20"/>
                <w:color w:val="auto"/>
              </w:rPr>
            </w:pPr>
            <w:r>
              <w:rPr>
                <w:rFonts w:ascii="Arial" w:cs="Arial" w:eastAsia="Arial" w:hAnsi="Arial"/>
                <w:sz w:val="18"/>
                <w:szCs w:val="18"/>
                <w:b w:val="1"/>
                <w:bCs w:val="1"/>
                <w:color w:val="0071CE"/>
              </w:rPr>
              <w:t>John P. Stapleton</w:t>
            </w:r>
          </w:p>
        </w:tc>
        <w:tc>
          <w:tcPr>
            <w:tcW w:w="8260" w:type="dxa"/>
            <w:vAlign w:val="bottom"/>
          </w:tcPr>
          <w:p>
            <w:pPr>
              <w:ind w:left="860"/>
              <w:spacing w:after="0"/>
              <w:rPr>
                <w:sz w:val="20"/>
                <w:szCs w:val="20"/>
                <w:color w:val="auto"/>
              </w:rPr>
            </w:pPr>
            <w:r>
              <w:rPr>
                <w:rFonts w:ascii="Arial" w:cs="Arial" w:eastAsia="Arial" w:hAnsi="Arial"/>
                <w:sz w:val="18"/>
                <w:szCs w:val="18"/>
                <w:color w:val="3E3935"/>
                <w:w w:val="99"/>
              </w:rPr>
              <w:t>Vice President and Chief Financial Officer, North America, and Former Acting Chief Financial</w:t>
            </w:r>
          </w:p>
        </w:tc>
        <w:tc>
          <w:tcPr>
            <w:tcW w:w="0" w:type="dxa"/>
            <w:vAlign w:val="bottom"/>
          </w:tcPr>
          <w:p>
            <w:pPr>
              <w:spacing w:after="0"/>
              <w:rPr>
                <w:sz w:val="1"/>
                <w:szCs w:val="1"/>
                <w:color w:val="auto"/>
              </w:rPr>
            </w:pPr>
          </w:p>
        </w:tc>
      </w:tr>
      <w:tr>
        <w:trPr>
          <w:trHeight w:val="106"/>
        </w:trPr>
        <w:tc>
          <w:tcPr>
            <w:tcW w:w="2660" w:type="dxa"/>
            <w:vAlign w:val="bottom"/>
            <w:vMerge w:val="continue"/>
          </w:tcPr>
          <w:p>
            <w:pPr>
              <w:spacing w:after="0"/>
              <w:rPr>
                <w:sz w:val="9"/>
                <w:szCs w:val="9"/>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color w:val="3E3935"/>
              </w:rPr>
              <w:t>Officer</w:t>
            </w: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8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3E3935"/>
            </w:tcBorders>
          </w:tcPr>
          <w:p>
            <w:pPr>
              <w:spacing w:after="0"/>
              <w:rPr>
                <w:sz w:val="15"/>
                <w:szCs w:val="15"/>
                <w:color w:val="auto"/>
              </w:rPr>
            </w:pPr>
          </w:p>
        </w:tc>
        <w:tc>
          <w:tcPr>
            <w:tcW w:w="8260" w:type="dxa"/>
            <w:vAlign w:val="bottom"/>
            <w:tcBorders>
              <w:bottom w:val="single" w:sz="8" w:color="3E3935"/>
            </w:tcBorders>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2660" w:type="dxa"/>
            <w:vAlign w:val="bottom"/>
          </w:tcPr>
          <w:p>
            <w:pPr>
              <w:ind w:left="100"/>
              <w:spacing w:after="0"/>
              <w:rPr>
                <w:sz w:val="20"/>
                <w:szCs w:val="20"/>
                <w:color w:val="auto"/>
              </w:rPr>
            </w:pPr>
            <w:r>
              <w:rPr>
                <w:rFonts w:ascii="Arial" w:cs="Arial" w:eastAsia="Arial" w:hAnsi="Arial"/>
                <w:sz w:val="18"/>
                <w:szCs w:val="18"/>
                <w:b w:val="1"/>
                <w:bCs w:val="1"/>
                <w:color w:val="0071CE"/>
              </w:rPr>
              <w:t>Barry L. Engle II</w:t>
            </w:r>
          </w:p>
        </w:tc>
        <w:tc>
          <w:tcPr>
            <w:tcW w:w="8260" w:type="dxa"/>
            <w:vAlign w:val="bottom"/>
          </w:tcPr>
          <w:p>
            <w:pPr>
              <w:ind w:left="860"/>
              <w:spacing w:after="0"/>
              <w:rPr>
                <w:sz w:val="20"/>
                <w:szCs w:val="20"/>
                <w:color w:val="auto"/>
              </w:rPr>
            </w:pPr>
            <w:r>
              <w:rPr>
                <w:rFonts w:ascii="Arial" w:cs="Arial" w:eastAsia="Arial" w:hAnsi="Arial"/>
                <w:sz w:val="18"/>
                <w:szCs w:val="18"/>
                <w:color w:val="3E3935"/>
              </w:rPr>
              <w:t>Former Executive Vice President and President, North America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179070</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-3641725</wp:posOffset>
            </wp:positionV>
            <wp:extent cx="365125" cy="399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-2520950</wp:posOffset>
            </wp:positionV>
            <wp:extent cx="365125" cy="399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-1960245</wp:posOffset>
            </wp:positionV>
            <wp:extent cx="365125" cy="399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-1399540</wp:posOffset>
            </wp:positionV>
            <wp:extent cx="365125" cy="399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-278765</wp:posOffset>
            </wp:positionV>
            <wp:extent cx="365125" cy="399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ectPr>
          <w:pgSz w:w="11900" w:h="16838" w:orient="portrait"/>
          <w:cols w:equalWidth="0" w:num="1">
            <w:col w:w="11080"/>
          </w:cols>
          <w:pgMar w:left="320" w:top="456" w:right="499" w:bottom="0" w:gutter="0" w:footer="0" w:header="0"/>
        </w:sect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3E3935"/>
        </w:rPr>
        <w:t>Positions as of December 31, 2020.</w:t>
      </w:r>
    </w:p>
    <w:p>
      <w:pPr>
        <w:sectPr>
          <w:pgSz w:w="11900" w:h="16838" w:orient="portrait"/>
          <w:cols w:equalWidth="0" w:num="1">
            <w:col w:w="11080"/>
          </w:cols>
          <w:pgMar w:left="320" w:top="456" w:right="499" w:bottom="0" w:gutter="0" w:footer="0" w:header="0"/>
          <w:type w:val="continuous"/>
        </w:sectPr>
      </w:pPr>
    </w:p>
    <w:bookmarkStart w:id="50" w:name="page51"/>
    <w:bookmarkEnd w:id="50"/>
    <w:p>
      <w:pPr>
        <w:ind w:left="9480"/>
        <w:spacing w:after="0"/>
        <w:rPr>
          <w:sz w:val="20"/>
          <w:szCs w:val="20"/>
          <w:color w:val="auto"/>
        </w:rPr>
      </w:pPr>
      <w:r>
        <w:rPr>
          <w:rFonts w:ascii="Arial" w:cs="Arial" w:eastAsia="Arial" w:hAnsi="Arial"/>
          <w:sz w:val="14"/>
          <w:szCs w:val="14"/>
          <w:color w:val="0071CE"/>
        </w:rPr>
        <w:drawing>
          <wp:anchor simplePos="0" relativeHeight="251657728" behindDoc="1" locked="0" layoutInCell="0" allowOverlap="1">
            <wp:simplePos x="0" y="0"/>
            <wp:positionH relativeFrom="page">
              <wp:posOffset>929640</wp:posOffset>
            </wp:positionH>
            <wp:positionV relativeFrom="page">
              <wp:posOffset>182245</wp:posOffset>
            </wp:positionV>
            <wp:extent cx="5927725" cy="1016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5927725" cy="101600"/>
                    </a:xfrm>
                    <a:prstGeom prst="rect">
                      <a:avLst/>
                    </a:prstGeom>
                    <a:noFill/>
                  </pic:spPr>
                </pic:pic>
              </a:graphicData>
            </a:graphic>
          </wp:anchor>
        </w:drawing>
        <w:t>41</w:t>
      </w:r>
    </w:p>
    <w:p>
      <w:pPr>
        <w:sectPr>
          <w:pgSz w:w="11900" w:h="16838" w:orient="portrait"/>
          <w:cols w:equalWidth="0" w:num="1">
            <w:col w:w="9640"/>
          </w:cols>
          <w:pgMar w:left="1440" w:top="291" w:right="8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Overview</w:t>
      </w:r>
    </w:p>
    <w:p>
      <w:pPr>
        <w:spacing w:after="0" w:line="155" w:lineRule="exact"/>
        <w:rPr>
          <w:sz w:val="20"/>
          <w:szCs w:val="20"/>
          <w:color w:val="auto"/>
        </w:rPr>
      </w:pPr>
    </w:p>
    <w:p>
      <w:pPr>
        <w:ind w:left="700" w:hanging="533"/>
        <w:spacing w:after="0"/>
        <w:tabs>
          <w:tab w:leader="none" w:pos="700" w:val="left"/>
        </w:tabs>
        <w:numPr>
          <w:ilvl w:val="0"/>
          <w:numId w:val="55"/>
        </w:numPr>
        <w:rPr>
          <w:rFonts w:ascii="Arial" w:cs="Arial" w:eastAsia="Arial" w:hAnsi="Arial"/>
          <w:sz w:val="21"/>
          <w:szCs w:val="21"/>
          <w:color w:val="0071CE"/>
        </w:rPr>
      </w:pPr>
      <w:r>
        <w:rPr>
          <w:rFonts w:ascii="Arial" w:cs="Arial" w:eastAsia="Arial" w:hAnsi="Arial"/>
          <w:sz w:val="25"/>
          <w:szCs w:val="25"/>
          <w:color w:val="3E3935"/>
        </w:rPr>
        <w:t>Our Company Performance</w:t>
      </w:r>
    </w:p>
    <w:p>
      <w:pPr>
        <w:spacing w:after="0" w:line="149" w:lineRule="exact"/>
        <w:rPr>
          <w:sz w:val="20"/>
          <w:szCs w:val="20"/>
          <w:color w:val="auto"/>
        </w:rPr>
      </w:pPr>
    </w:p>
    <w:p>
      <w:pPr>
        <w:jc w:val="both"/>
        <w:ind w:left="160" w:right="80"/>
        <w:spacing w:after="0" w:line="228" w:lineRule="auto"/>
        <w:rPr>
          <w:sz w:val="20"/>
          <w:szCs w:val="20"/>
          <w:color w:val="auto"/>
        </w:rPr>
      </w:pPr>
      <w:r>
        <w:rPr>
          <w:rFonts w:ascii="Arial" w:cs="Arial" w:eastAsia="Arial" w:hAnsi="Arial"/>
          <w:sz w:val="20"/>
          <w:szCs w:val="20"/>
          <w:color w:val="3E3935"/>
        </w:rPr>
        <w:t>In 2020, General Motors met the challenges presented by COVID-19 while working towards our vision of a world with zero crashes, zero emissions, and zero congestion. The results below demonstrate our commitment to safety for our employees and our customers, and highlight GM’s accelerated strategy to deliver an all-electric future powered by the strength of our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143510</wp:posOffset>
            </wp:positionV>
            <wp:extent cx="4483735" cy="2120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483735" cy="212090"/>
                    </a:xfrm>
                    <a:prstGeom prst="rect">
                      <a:avLst/>
                    </a:prstGeom>
                    <a:noFill/>
                  </pic:spPr>
                </pic:pic>
              </a:graphicData>
            </a:graphic>
          </wp:anchor>
        </w:drawing>
      </w:r>
    </w:p>
    <w:p>
      <w:pPr>
        <w:sectPr>
          <w:pgSz w:w="11900" w:h="16838" w:orient="portrait"/>
          <w:cols w:equalWidth="0" w:num="1">
            <w:col w:w="10840"/>
          </w:cols>
          <w:pgMar w:left="320" w:top="45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040"/>
        <w:spacing w:after="0" w:line="282" w:lineRule="auto"/>
        <w:rPr>
          <w:sz w:val="20"/>
          <w:szCs w:val="20"/>
          <w:color w:val="auto"/>
        </w:rPr>
      </w:pPr>
      <w:r>
        <w:rPr>
          <w:rFonts w:ascii="Arial" w:cs="Arial" w:eastAsia="Arial" w:hAnsi="Arial"/>
          <w:sz w:val="16"/>
          <w:szCs w:val="16"/>
          <w:color w:val="3E3935"/>
        </w:rPr>
        <w:t xml:space="preserve">Committed more than </w:t>
      </w:r>
      <w:r>
        <w:rPr>
          <w:rFonts w:ascii="Arial" w:cs="Arial" w:eastAsia="Arial" w:hAnsi="Arial"/>
          <w:sz w:val="16"/>
          <w:szCs w:val="16"/>
          <w:b w:val="1"/>
          <w:bCs w:val="1"/>
          <w:color w:val="3E3935"/>
        </w:rPr>
        <w:t>$27 billion</w:t>
      </w:r>
      <w:r>
        <w:rPr>
          <w:rFonts w:ascii="Arial" w:cs="Arial" w:eastAsia="Arial" w:hAnsi="Arial"/>
          <w:sz w:val="16"/>
          <w:szCs w:val="16"/>
          <w:color w:val="3E3935"/>
        </w:rPr>
        <w:t xml:space="preserve"> to EV and AV technologies through 2025 and announced plans to offer 30 EVs globally by 2025 </w:t>
      </w:r>
      <w:r>
        <w:rPr>
          <w:sz w:val="1"/>
          <w:szCs w:val="1"/>
          <w:color w:val="auto"/>
        </w:rPr>
        <w:drawing>
          <wp:inline distT="0" distB="0" distL="0" distR="0">
            <wp:extent cx="93345" cy="8509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-219710</wp:posOffset>
            </wp:positionV>
            <wp:extent cx="254635" cy="178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4635" cy="178435"/>
                    </a:xfrm>
                    <a:prstGeom prst="rect">
                      <a:avLst/>
                    </a:prstGeom>
                    <a:noFill/>
                  </pic:spPr>
                </pic:pic>
              </a:graphicData>
            </a:graphic>
          </wp:anchor>
        </w:drawing>
      </w:r>
    </w:p>
    <w:p>
      <w:pPr>
        <w:spacing w:after="0" w:line="36" w:lineRule="exact"/>
        <w:rPr>
          <w:sz w:val="20"/>
          <w:szCs w:val="20"/>
          <w:color w:val="auto"/>
        </w:rPr>
      </w:pPr>
    </w:p>
    <w:p>
      <w:pPr>
        <w:jc w:val="both"/>
        <w:ind w:left="1040"/>
        <w:spacing w:after="0" w:line="250" w:lineRule="auto"/>
        <w:rPr>
          <w:sz w:val="20"/>
          <w:szCs w:val="20"/>
          <w:color w:val="auto"/>
        </w:rPr>
      </w:pPr>
      <w:r>
        <w:rPr>
          <w:rFonts w:ascii="Arial" w:cs="Arial" w:eastAsia="Arial" w:hAnsi="Arial"/>
          <w:sz w:val="16"/>
          <w:szCs w:val="16"/>
          <w:color w:val="3E3935"/>
        </w:rPr>
        <w:t xml:space="preserve">Launched new business, BrightDrop, an ecosystem of first-to-last mile products, software, and services designed to help businesses deliver goods and services more efficiently while improving overall sustainability </w:t>
      </w:r>
      <w:r>
        <w:rPr>
          <w:sz w:val="1"/>
          <w:szCs w:val="1"/>
          <w:color w:val="auto"/>
        </w:rPr>
        <w:drawing>
          <wp:inline distT="0" distB="0" distL="0" distR="0">
            <wp:extent cx="93345" cy="8509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-331470</wp:posOffset>
            </wp:positionV>
            <wp:extent cx="314325" cy="2038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4325" cy="203835"/>
                    </a:xfrm>
                    <a:prstGeom prst="rect">
                      <a:avLst/>
                    </a:prstGeom>
                    <a:noFill/>
                  </pic:spPr>
                </pic:pic>
              </a:graphicData>
            </a:graphic>
          </wp:anchor>
        </w:drawing>
      </w: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6"/>
          <w:szCs w:val="16"/>
          <w:color w:val="3E3935"/>
        </w:rPr>
        <w:t>Announced North American alliance with Honda to jointly develop two EVs using the Ultium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-74930</wp:posOffset>
            </wp:positionV>
            <wp:extent cx="254635" cy="178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4635" cy="17843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-108585</wp:posOffset>
            </wp:positionV>
            <wp:extent cx="93345" cy="850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358"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Announced Vehicle Intelligence Platform as the software foundation for all vehicle platforms. By 2023, 38 models will have the Vehicle Intelligence Platform allowing for over-the-air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-165100</wp:posOffset>
            </wp:positionV>
            <wp:extent cx="186690" cy="135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6690" cy="135890"/>
                    </a:xfrm>
                    <a:prstGeom prst="rect">
                      <a:avLst/>
                    </a:prstGeom>
                    <a:noFill/>
                  </pic:spPr>
                </pic:pic>
              </a:graphicData>
            </a:graphic>
          </wp:anchor>
        </w:drawing>
      </w:r>
    </w:p>
    <w:p>
      <w:pPr>
        <w:spacing w:after="0" w:line="122"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 xml:space="preserve">Showed strength and resiliency of the business responding to the challenges of the global pandemic while delivering </w:t>
      </w:r>
      <w:r>
        <w:rPr>
          <w:rFonts w:ascii="Arial" w:cs="Arial" w:eastAsia="Arial" w:hAnsi="Arial"/>
          <w:sz w:val="16"/>
          <w:szCs w:val="16"/>
          <w:b w:val="1"/>
          <w:bCs w:val="1"/>
          <w:color w:val="3E3935"/>
        </w:rPr>
        <w:t>$122.5 billion</w:t>
      </w:r>
      <w:r>
        <w:rPr>
          <w:rFonts w:ascii="Arial" w:cs="Arial" w:eastAsia="Arial" w:hAnsi="Arial"/>
          <w:sz w:val="16"/>
          <w:szCs w:val="16"/>
          <w:color w:val="3E3935"/>
        </w:rPr>
        <w:t xml:space="preserve"> in revenue and launching and refreshing 23 vehicles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-207645</wp:posOffset>
            </wp:positionV>
            <wp:extent cx="186690" cy="178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6690" cy="178435"/>
                    </a:xfrm>
                    <a:prstGeom prst="rect">
                      <a:avLst/>
                    </a:prstGeom>
                    <a:noFill/>
                  </pic:spPr>
                </pic:pic>
              </a:graphicData>
            </a:graphic>
          </wp:anchor>
        </w:drawing>
      </w:r>
    </w:p>
    <w:p>
      <w:pPr>
        <w:spacing w:after="0" w:line="122"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 xml:space="preserve">Increased the retail average transaction price in the U.S. for the ninth year in a row, with a new record of </w:t>
      </w:r>
      <w:r>
        <w:rPr>
          <w:rFonts w:ascii="Arial" w:cs="Arial" w:eastAsia="Arial" w:hAnsi="Arial"/>
          <w:sz w:val="16"/>
          <w:szCs w:val="16"/>
          <w:b w:val="1"/>
          <w:bCs w:val="1"/>
          <w:color w:val="3E3935"/>
        </w:rPr>
        <w:t xml:space="preserve">$39,356 </w:t>
      </w:r>
      <w:r>
        <w:rPr>
          <w:rFonts w:ascii="Arial" w:cs="Arial" w:eastAsia="Arial" w:hAnsi="Arial"/>
          <w:sz w:val="16"/>
          <w:szCs w:val="16"/>
          <w:color w:val="3E3935"/>
        </w:rPr>
        <w:t>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-207010</wp:posOffset>
            </wp:positionV>
            <wp:extent cx="178435" cy="178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89" w:lineRule="exact"/>
        <w:rPr>
          <w:sz w:val="20"/>
          <w:szCs w:val="20"/>
          <w:color w:val="auto"/>
        </w:rPr>
      </w:pPr>
    </w:p>
    <w:p>
      <w:pPr>
        <w:jc w:val="both"/>
        <w:ind w:left="1040"/>
        <w:spacing w:after="0" w:line="282" w:lineRule="auto"/>
        <w:rPr>
          <w:sz w:val="20"/>
          <w:szCs w:val="20"/>
          <w:color w:val="auto"/>
        </w:rPr>
      </w:pPr>
      <w:r>
        <w:rPr>
          <w:rFonts w:ascii="Arial" w:cs="Arial" w:eastAsia="Arial" w:hAnsi="Arial"/>
          <w:sz w:val="16"/>
          <w:szCs w:val="16"/>
          <w:color w:val="3E3935"/>
        </w:rPr>
        <w:t xml:space="preserve">GM Financial generated record-breaking earnings before tax-adjusted of </w:t>
      </w:r>
      <w:r>
        <w:rPr>
          <w:rFonts w:ascii="Arial" w:cs="Arial" w:eastAsia="Arial" w:hAnsi="Arial"/>
          <w:sz w:val="16"/>
          <w:szCs w:val="16"/>
          <w:b w:val="1"/>
          <w:bCs w:val="1"/>
          <w:color w:val="3E3935"/>
        </w:rPr>
        <w:t>$2.7 billion</w:t>
      </w:r>
      <w:r>
        <w:rPr>
          <w:rFonts w:ascii="Arial" w:cs="Arial" w:eastAsia="Arial" w:hAnsi="Arial"/>
          <w:sz w:val="16"/>
          <w:szCs w:val="16"/>
          <w:color w:val="3E3935"/>
        </w:rPr>
        <w:t xml:space="preserve"> and paid </w:t>
      </w:r>
      <w:r>
        <w:rPr>
          <w:rFonts w:ascii="Arial" w:cs="Arial" w:eastAsia="Arial" w:hAnsi="Arial"/>
          <w:sz w:val="16"/>
          <w:szCs w:val="16"/>
          <w:b w:val="1"/>
          <w:bCs w:val="1"/>
          <w:color w:val="3E3935"/>
        </w:rPr>
        <w:t>$800</w:t>
      </w:r>
      <w:r>
        <w:rPr>
          <w:rFonts w:ascii="Arial" w:cs="Arial" w:eastAsia="Arial" w:hAnsi="Arial"/>
          <w:sz w:val="16"/>
          <w:szCs w:val="16"/>
          <w:color w:val="3E3935"/>
        </w:rPr>
        <w:t xml:space="preserve"> </w:t>
      </w:r>
      <w:r>
        <w:rPr>
          <w:rFonts w:ascii="Arial" w:cs="Arial" w:eastAsia="Arial" w:hAnsi="Arial"/>
          <w:sz w:val="16"/>
          <w:szCs w:val="16"/>
          <w:b w:val="1"/>
          <w:bCs w:val="1"/>
          <w:color w:val="3E3935"/>
        </w:rPr>
        <w:t xml:space="preserve">million </w:t>
      </w:r>
      <w:r>
        <w:rPr>
          <w:rFonts w:ascii="Arial" w:cs="Arial" w:eastAsia="Arial" w:hAnsi="Arial"/>
          <w:sz w:val="16"/>
          <w:szCs w:val="16"/>
          <w:color w:val="3E3935"/>
        </w:rPr>
        <w:t>in dividends to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-219710</wp:posOffset>
            </wp:positionV>
            <wp:extent cx="415925" cy="850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5925" cy="85090"/>
                    </a:xfrm>
                    <a:prstGeom prst="rect">
                      <a:avLst/>
                    </a:prstGeom>
                    <a:noFill/>
                  </pic:spPr>
                </pic:pic>
              </a:graphicData>
            </a:graphic>
          </wp:anchor>
        </w:drawing>
      </w:r>
    </w:p>
    <w:p>
      <w:pPr>
        <w:spacing w:after="0" w:line="83" w:lineRule="exact"/>
        <w:rPr>
          <w:sz w:val="20"/>
          <w:szCs w:val="20"/>
          <w:color w:val="auto"/>
        </w:rPr>
      </w:pPr>
    </w:p>
    <w:p>
      <w:pPr>
        <w:ind w:left="1040"/>
        <w:spacing w:after="0"/>
        <w:rPr>
          <w:sz w:val="20"/>
          <w:szCs w:val="20"/>
          <w:color w:val="auto"/>
        </w:rPr>
      </w:pPr>
      <w:r>
        <w:rPr>
          <w:rFonts w:ascii="Arial" w:cs="Arial" w:eastAsia="Arial" w:hAnsi="Arial"/>
          <w:sz w:val="16"/>
          <w:szCs w:val="16"/>
          <w:color w:val="3E3935"/>
        </w:rPr>
        <w:t xml:space="preserve">Achieved highest-ever retail average transaction price for full-size trucks in the U.S. of </w:t>
      </w:r>
      <w:r>
        <w:rPr>
          <w:rFonts w:ascii="Arial" w:cs="Arial" w:eastAsia="Arial" w:hAnsi="Arial"/>
          <w:sz w:val="16"/>
          <w:szCs w:val="16"/>
          <w:b w:val="1"/>
          <w:bCs w:val="1"/>
          <w:color w:val="3E3935"/>
        </w:rPr>
        <w:t>$47,599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-79375</wp:posOffset>
            </wp:positionV>
            <wp:extent cx="305435" cy="1955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5435" cy="195580"/>
                    </a:xfrm>
                    <a:prstGeom prst="rect">
                      <a:avLst/>
                    </a:prstGeom>
                    <a:noFill/>
                  </pic:spPr>
                </pic:pic>
              </a:graphicData>
            </a:graphic>
          </wp:anchor>
        </w:drawing>
      </w:r>
    </w:p>
    <w:p>
      <w:pPr>
        <w:spacing w:after="0" w:line="324"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Launched entirely new line-up of full-size SUVs, including the 2021 Chevrolet Tahoe and Suburban, 2021 GMC Yukon and Yukon XL, and 2021 Cadillac Escalade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-207645</wp:posOffset>
            </wp:positionV>
            <wp:extent cx="305435" cy="144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5435" cy="144145"/>
                    </a:xfrm>
                    <a:prstGeom prst="rect">
                      <a:avLst/>
                    </a:prstGeom>
                    <a:noFill/>
                  </pic:spPr>
                </pic:pic>
              </a:graphicData>
            </a:graphic>
          </wp:anchor>
        </w:drawing>
      </w:r>
    </w:p>
    <w:p>
      <w:pPr>
        <w:spacing w:after="0" w:line="102" w:lineRule="exact"/>
        <w:rPr>
          <w:sz w:val="20"/>
          <w:szCs w:val="20"/>
          <w:color w:val="auto"/>
        </w:rPr>
      </w:pPr>
    </w:p>
    <w:p>
      <w:pPr>
        <w:ind w:left="1040"/>
        <w:spacing w:after="0"/>
        <w:rPr>
          <w:sz w:val="20"/>
          <w:szCs w:val="20"/>
          <w:color w:val="auto"/>
        </w:rPr>
      </w:pPr>
      <w:r>
        <w:rPr>
          <w:rFonts w:ascii="Arial" w:cs="Arial" w:eastAsia="Arial" w:hAnsi="Arial"/>
          <w:sz w:val="16"/>
          <w:szCs w:val="16"/>
          <w:color w:val="3E3935"/>
        </w:rPr>
        <w:t xml:space="preserve">Sold over </w:t>
      </w:r>
      <w:r>
        <w:rPr>
          <w:rFonts w:ascii="Arial" w:cs="Arial" w:eastAsia="Arial" w:hAnsi="Arial"/>
          <w:sz w:val="16"/>
          <w:szCs w:val="16"/>
          <w:b w:val="1"/>
          <w:bCs w:val="1"/>
          <w:color w:val="3E3935"/>
        </w:rPr>
        <w:t>1 million</w:t>
      </w:r>
      <w:r>
        <w:rPr>
          <w:rFonts w:ascii="Arial" w:cs="Arial" w:eastAsia="Arial" w:hAnsi="Arial"/>
          <w:sz w:val="16"/>
          <w:szCs w:val="16"/>
          <w:color w:val="3E3935"/>
        </w:rPr>
        <w:t xml:space="preserve"> crossovers in the U.S. for the third year in a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-104775</wp:posOffset>
            </wp:positionV>
            <wp:extent cx="297180" cy="178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7180" cy="178435"/>
                    </a:xfrm>
                    <a:prstGeom prst="rect">
                      <a:avLst/>
                    </a:prstGeom>
                    <a:noFill/>
                  </pic:spPr>
                </pic:pic>
              </a:graphicData>
            </a:graphic>
          </wp:anchor>
        </w:drawing>
      </w:r>
    </w:p>
    <w:p>
      <w:pPr>
        <w:spacing w:after="0" w:line="224" w:lineRule="exact"/>
        <w:rPr>
          <w:sz w:val="20"/>
          <w:szCs w:val="20"/>
          <w:color w:val="auto"/>
        </w:rPr>
      </w:pPr>
    </w:p>
    <w:p>
      <w:pPr>
        <w:jc w:val="both"/>
        <w:ind w:left="1040"/>
        <w:spacing w:after="0" w:line="282" w:lineRule="auto"/>
        <w:rPr>
          <w:sz w:val="20"/>
          <w:szCs w:val="20"/>
          <w:color w:val="auto"/>
        </w:rPr>
      </w:pPr>
      <w:r>
        <w:rPr>
          <w:rFonts w:ascii="Arial" w:cs="Arial" w:eastAsia="Arial" w:hAnsi="Arial"/>
          <w:sz w:val="16"/>
          <w:szCs w:val="16"/>
          <w:color w:val="3E3935"/>
        </w:rPr>
        <w:t xml:space="preserve">Attracted highest ever percentage of new customers to the Chevrolet brand, with </w:t>
      </w:r>
      <w:r>
        <w:rPr>
          <w:rFonts w:ascii="Arial" w:cs="Arial" w:eastAsia="Arial" w:hAnsi="Arial"/>
          <w:sz w:val="16"/>
          <w:szCs w:val="16"/>
          <w:b w:val="1"/>
          <w:bCs w:val="1"/>
          <w:color w:val="3E3935"/>
        </w:rPr>
        <w:t>46.7%</w:t>
      </w:r>
      <w:r>
        <w:rPr>
          <w:rFonts w:ascii="Arial" w:cs="Arial" w:eastAsia="Arial" w:hAnsi="Arial"/>
          <w:sz w:val="16"/>
          <w:szCs w:val="16"/>
          <w:color w:val="3E3935"/>
        </w:rPr>
        <w:t xml:space="preserve"> of sales coming from conquest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-203200</wp:posOffset>
            </wp:positionV>
            <wp:extent cx="331470" cy="101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1470" cy="101600"/>
                    </a:xfrm>
                    <a:prstGeom prst="rect">
                      <a:avLst/>
                    </a:prstGeom>
                    <a:noFill/>
                  </pic:spPr>
                </pic:pic>
              </a:graphicData>
            </a:graphic>
          </wp:anchor>
        </w:drawing>
      </w:r>
    </w:p>
    <w:p>
      <w:pPr>
        <w:spacing w:after="0" w:line="83" w:lineRule="exact"/>
        <w:rPr>
          <w:sz w:val="20"/>
          <w:szCs w:val="20"/>
          <w:color w:val="auto"/>
        </w:rPr>
      </w:pPr>
    </w:p>
    <w:p>
      <w:pPr>
        <w:jc w:val="both"/>
        <w:ind w:left="1040"/>
        <w:spacing w:after="0" w:line="282" w:lineRule="auto"/>
        <w:rPr>
          <w:sz w:val="20"/>
          <w:szCs w:val="20"/>
          <w:color w:val="auto"/>
        </w:rPr>
      </w:pPr>
      <w:r>
        <w:rPr>
          <w:rFonts w:ascii="Arial" w:cs="Arial" w:eastAsia="Arial" w:hAnsi="Arial"/>
          <w:sz w:val="16"/>
          <w:szCs w:val="16"/>
          <w:color w:val="3E3935"/>
        </w:rPr>
        <w:t xml:space="preserve">Delivered strong performance in China, increasing Buick deliveries by </w:t>
      </w:r>
      <w:r>
        <w:rPr>
          <w:rFonts w:ascii="Arial" w:cs="Arial" w:eastAsia="Arial" w:hAnsi="Arial"/>
          <w:sz w:val="16"/>
          <w:szCs w:val="16"/>
          <w:b w:val="1"/>
          <w:bCs w:val="1"/>
          <w:color w:val="3E3935"/>
        </w:rPr>
        <w:t>4.1%</w:t>
      </w:r>
      <w:r>
        <w:rPr>
          <w:rFonts w:ascii="Arial" w:cs="Arial" w:eastAsia="Arial" w:hAnsi="Arial"/>
          <w:sz w:val="16"/>
          <w:szCs w:val="16"/>
          <w:color w:val="3E3935"/>
        </w:rPr>
        <w:t xml:space="preserve"> year-over-year driven by strong demand for premium multi-purpose vehicles and SUVs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-219710</wp:posOffset>
            </wp:positionV>
            <wp:extent cx="212090" cy="220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2090" cy="22098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102235</wp:posOffset>
            </wp:positionV>
            <wp:extent cx="331470" cy="933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1470" cy="93345"/>
                    </a:xfrm>
                    <a:prstGeom prst="rect">
                      <a:avLst/>
                    </a:prstGeom>
                    <a:noFill/>
                  </pic:spPr>
                </pic:pic>
              </a:graphicData>
            </a:graphic>
          </wp:anchor>
        </w:drawing>
      </w:r>
    </w:p>
    <w:p>
      <w:pPr>
        <w:spacing w:after="0" w:line="143" w:lineRule="exact"/>
        <w:rPr>
          <w:sz w:val="20"/>
          <w:szCs w:val="20"/>
          <w:color w:val="auto"/>
        </w:rPr>
      </w:pPr>
    </w:p>
    <w:p>
      <w:pPr>
        <w:ind w:left="1040"/>
        <w:spacing w:after="0"/>
        <w:rPr>
          <w:sz w:val="20"/>
          <w:szCs w:val="20"/>
          <w:color w:val="auto"/>
        </w:rPr>
      </w:pPr>
      <w:r>
        <w:rPr>
          <w:rFonts w:ascii="Arial" w:cs="Arial" w:eastAsia="Arial" w:hAnsi="Arial"/>
          <w:sz w:val="16"/>
          <w:szCs w:val="16"/>
          <w:color w:val="3E3935"/>
        </w:rPr>
        <w:t>Debuted the all-new GMC HUMMER EV powered by Ultium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-108585</wp:posOffset>
            </wp:positionV>
            <wp:extent cx="93345" cy="850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130"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 xml:space="preserve">Revealed the Cadillac LYRIQ show car, the first entry in the brand’s electric portfolio, positioning Cadillac to lead in electrification, connectivity, and hands-free driving </w:t>
      </w:r>
      <w:r>
        <w:rPr>
          <w:sz w:val="1"/>
          <w:szCs w:val="1"/>
          <w:color w:val="auto"/>
        </w:rPr>
        <w:drawing>
          <wp:inline distT="0" distB="0" distL="0" distR="0">
            <wp:extent cx="93345" cy="8509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-139065</wp:posOffset>
            </wp:positionV>
            <wp:extent cx="322580" cy="1276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2580" cy="127635"/>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89535</wp:posOffset>
            </wp:positionV>
            <wp:extent cx="186690" cy="186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6690" cy="186690"/>
                    </a:xfrm>
                    <a:prstGeom prst="rect">
                      <a:avLst/>
                    </a:prstGeom>
                    <a:noFill/>
                  </pic:spPr>
                </pic:pic>
              </a:graphicData>
            </a:graphic>
          </wp:anchor>
        </w:drawing>
      </w:r>
    </w:p>
    <w:p>
      <w:pPr>
        <w:spacing w:after="0" w:line="122"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Announced new OnStar Insurance Services, exemplifying our commitment to focus on safety and delivering a world-class customer experience</w:t>
      </w:r>
    </w:p>
    <w:p>
      <w:pPr>
        <w:spacing w:after="0" w:line="142" w:lineRule="exact"/>
        <w:rPr>
          <w:sz w:val="20"/>
          <w:szCs w:val="20"/>
          <w:color w:val="auto"/>
        </w:rPr>
      </w:pPr>
    </w:p>
    <w:p>
      <w:pPr>
        <w:jc w:val="both"/>
        <w:ind w:left="1040"/>
        <w:spacing w:after="0" w:line="250" w:lineRule="auto"/>
        <w:rPr>
          <w:sz w:val="20"/>
          <w:szCs w:val="20"/>
          <w:color w:val="auto"/>
        </w:rPr>
      </w:pPr>
      <w:r>
        <w:rPr>
          <w:rFonts w:ascii="Arial" w:cs="Arial" w:eastAsia="Arial" w:hAnsi="Arial"/>
          <w:sz w:val="16"/>
          <w:szCs w:val="16"/>
          <w:color w:val="3E3935"/>
        </w:rPr>
        <w:t xml:space="preserve">Announced Microsoft will join GM, Honda, and institutional investors to accelerate the commercialization of self-driving, shared, all-electric vehicles in a combined new equity investment of more than </w:t>
      </w:r>
      <w:r>
        <w:rPr>
          <w:rFonts w:ascii="Arial" w:cs="Arial" w:eastAsia="Arial" w:hAnsi="Arial"/>
          <w:sz w:val="16"/>
          <w:szCs w:val="16"/>
          <w:b w:val="1"/>
          <w:bCs w:val="1"/>
          <w:color w:val="3E3935"/>
        </w:rPr>
        <w:t>$2 billion</w:t>
      </w:r>
      <w:r>
        <w:rPr>
          <w:rFonts w:ascii="Arial" w:cs="Arial" w:eastAsia="Arial" w:hAnsi="Arial"/>
          <w:sz w:val="16"/>
          <w:szCs w:val="16"/>
          <w:color w:val="3E3935"/>
        </w:rPr>
        <w:t xml:space="preserve"> in Cruise, bringing the post-money valuation of Cruise to </w:t>
      </w:r>
      <w:r>
        <w:rPr>
          <w:rFonts w:ascii="Arial" w:cs="Arial" w:eastAsia="Arial" w:hAnsi="Arial"/>
          <w:sz w:val="16"/>
          <w:szCs w:val="16"/>
          <w:b w:val="1"/>
          <w:bCs w:val="1"/>
          <w:color w:val="3E3935"/>
        </w:rPr>
        <w:t xml:space="preserve">$30 billion </w:t>
      </w:r>
      <w:r>
        <w:rPr>
          <w:sz w:val="1"/>
          <w:szCs w:val="1"/>
          <w:color w:val="auto"/>
        </w:rPr>
        <w:drawing>
          <wp:inline distT="0" distB="0" distL="0" distR="0">
            <wp:extent cx="93345" cy="8509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-340360</wp:posOffset>
            </wp:positionV>
            <wp:extent cx="399415" cy="1187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9415" cy="118745"/>
                    </a:xfrm>
                    <a:prstGeom prst="rect">
                      <a:avLst/>
                    </a:prstGeom>
                    <a:noFill/>
                  </pic:spPr>
                </pic:pic>
              </a:graphicData>
            </a:graphic>
          </wp:anchor>
        </w:drawing>
      </w:r>
    </w:p>
    <w:p>
      <w:pPr>
        <w:spacing w:after="0" w:line="60" w:lineRule="exact"/>
        <w:rPr>
          <w:sz w:val="20"/>
          <w:szCs w:val="20"/>
          <w:color w:val="auto"/>
        </w:rPr>
      </w:pPr>
    </w:p>
    <w:p>
      <w:pPr>
        <w:jc w:val="both"/>
        <w:ind w:left="1040"/>
        <w:spacing w:after="0" w:line="250" w:lineRule="auto"/>
        <w:rPr>
          <w:sz w:val="20"/>
          <w:szCs w:val="20"/>
          <w:color w:val="auto"/>
        </w:rPr>
      </w:pPr>
      <w:r>
        <w:rPr>
          <w:rFonts w:ascii="Arial" w:cs="Arial" w:eastAsia="Arial" w:hAnsi="Arial"/>
          <w:sz w:val="16"/>
          <w:szCs w:val="16"/>
          <w:color w:val="3E3935"/>
        </w:rPr>
        <w:t xml:space="preserve">Received a permit from the California Department of Motor Vehicles to operate without anyone behind the wheel. Unveiled the Cruise Origin, a self-driving EV developed for a million miles of 24-hour EV service. Provided over </w:t>
      </w:r>
      <w:r>
        <w:rPr>
          <w:rFonts w:ascii="Arial" w:cs="Arial" w:eastAsia="Arial" w:hAnsi="Arial"/>
          <w:sz w:val="16"/>
          <w:szCs w:val="16"/>
          <w:b w:val="1"/>
          <w:bCs w:val="1"/>
          <w:color w:val="3E3935"/>
        </w:rPr>
        <w:t>200,000</w:t>
      </w:r>
      <w:r>
        <w:rPr>
          <w:rFonts w:ascii="Arial" w:cs="Arial" w:eastAsia="Arial" w:hAnsi="Arial"/>
          <w:sz w:val="16"/>
          <w:szCs w:val="16"/>
          <w:color w:val="3E3935"/>
        </w:rPr>
        <w:t xml:space="preserve"> COVID-19 relief deliveries and announced a pilot with Wal-Mart Delivery </w:t>
      </w:r>
      <w:r>
        <w:rPr>
          <w:sz w:val="1"/>
          <w:szCs w:val="1"/>
          <w:color w:val="auto"/>
        </w:rPr>
        <w:drawing>
          <wp:inline distT="0" distB="0" distL="0" distR="0">
            <wp:extent cx="93345" cy="8509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-340360</wp:posOffset>
            </wp:positionV>
            <wp:extent cx="399415" cy="1187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9415" cy="118745"/>
                    </a:xfrm>
                    <a:prstGeom prst="rect">
                      <a:avLst/>
                    </a:prstGeom>
                    <a:noFill/>
                  </pic:spPr>
                </pic:pic>
              </a:graphicData>
            </a:graphic>
          </wp:anchor>
        </w:drawing>
      </w:r>
    </w:p>
    <w:p>
      <w:pPr>
        <w:spacing w:after="0" w:line="127"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3E3935"/>
        </w:rPr>
        <w:t xml:space="preserve">Rapidly repurposed GM facilities to produce critical-care ventilators, masks, and personal protective equipment for front-line healthcare workers and first responders to help fight the COVID-19 pandemic </w:t>
      </w:r>
      <w:r>
        <w:rPr>
          <w:sz w:val="1"/>
          <w:szCs w:val="1"/>
          <w:color w:val="auto"/>
        </w:rPr>
        <w:drawing>
          <wp:inline distT="0" distB="0" distL="0" distR="0">
            <wp:extent cx="93345" cy="8509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-207645</wp:posOffset>
            </wp:positionV>
            <wp:extent cx="178435" cy="178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122" w:lineRule="exact"/>
        <w:rPr>
          <w:sz w:val="20"/>
          <w:szCs w:val="20"/>
          <w:color w:val="auto"/>
        </w:rPr>
      </w:pPr>
    </w:p>
    <w:p>
      <w:pPr>
        <w:jc w:val="both"/>
        <w:ind w:left="1040"/>
        <w:spacing w:after="0" w:line="250" w:lineRule="auto"/>
        <w:rPr>
          <w:sz w:val="20"/>
          <w:szCs w:val="20"/>
          <w:color w:val="auto"/>
        </w:rPr>
      </w:pPr>
      <w:r>
        <w:rPr>
          <w:rFonts w:ascii="Arial" w:cs="Arial" w:eastAsia="Arial" w:hAnsi="Arial"/>
          <w:sz w:val="16"/>
          <w:szCs w:val="16"/>
          <w:color w:val="3E3935"/>
        </w:rPr>
        <w:t>Implemented cost-saving austerity measures across the organization in response to the global pandemic while maintaining employment levels and preserving liquidity by issuing unsecured bonds and drawing on our revolving credit facilities, which were paid off in full by the 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-306070</wp:posOffset>
            </wp:positionV>
            <wp:extent cx="178435" cy="178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107" w:lineRule="exact"/>
        <w:rPr>
          <w:sz w:val="20"/>
          <w:szCs w:val="20"/>
          <w:color w:val="auto"/>
        </w:rPr>
      </w:pPr>
    </w:p>
    <w:p>
      <w:pPr>
        <w:jc w:val="both"/>
        <w:ind w:left="1040"/>
        <w:spacing w:after="0" w:line="282" w:lineRule="auto"/>
        <w:rPr>
          <w:sz w:val="20"/>
          <w:szCs w:val="20"/>
          <w:color w:val="auto"/>
        </w:rPr>
      </w:pPr>
      <w:r>
        <w:rPr>
          <w:rFonts w:ascii="Arial" w:cs="Arial" w:eastAsia="Arial" w:hAnsi="Arial"/>
          <w:sz w:val="16"/>
          <w:szCs w:val="16"/>
          <w:color w:val="3E3935"/>
        </w:rPr>
        <w:t xml:space="preserve">Delivered the first Infantry Squad Vehicles to the U.S. Army as part of a </w:t>
      </w:r>
      <w:r>
        <w:rPr>
          <w:rFonts w:ascii="Arial" w:cs="Arial" w:eastAsia="Arial" w:hAnsi="Arial"/>
          <w:sz w:val="16"/>
          <w:szCs w:val="16"/>
          <w:b w:val="1"/>
          <w:bCs w:val="1"/>
          <w:color w:val="3E3935"/>
        </w:rPr>
        <w:t>$214.3 million</w:t>
      </w:r>
      <w:r>
        <w:rPr>
          <w:rFonts w:ascii="Arial" w:cs="Arial" w:eastAsia="Arial" w:hAnsi="Arial"/>
          <w:sz w:val="16"/>
          <w:szCs w:val="16"/>
          <w:color w:val="3E3935"/>
        </w:rPr>
        <w:t xml:space="preserve"> contract awarded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-236855</wp:posOffset>
            </wp:positionV>
            <wp:extent cx="415925" cy="135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5925" cy="135890"/>
                    </a:xfrm>
                    <a:prstGeom prst="rect">
                      <a:avLst/>
                    </a:prstGeom>
                    <a:noFill/>
                  </pic:spPr>
                </pic:pic>
              </a:graphicData>
            </a:graphic>
          </wp:anchor>
        </w:drawing>
        <w:drawing>
          <wp:anchor simplePos="0" relativeHeight="251657728" behindDoc="1" locked="0" layoutInCell="0" allowOverlap="1">
            <wp:simplePos x="0" y="0"/>
            <wp:positionH relativeFrom="column">
              <wp:posOffset>318770</wp:posOffset>
            </wp:positionH>
            <wp:positionV relativeFrom="paragraph">
              <wp:posOffset>170180</wp:posOffset>
            </wp:positionV>
            <wp:extent cx="5927725" cy="101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53" w:lineRule="exact"/>
        <w:rPr>
          <w:sz w:val="20"/>
          <w:szCs w:val="20"/>
          <w:color w:val="auto"/>
        </w:rPr>
      </w:pPr>
    </w:p>
    <w:p>
      <w:pPr>
        <w:jc w:val="center"/>
        <w:ind w:right="8080"/>
        <w:spacing w:after="0"/>
        <w:rPr>
          <w:sz w:val="20"/>
          <w:szCs w:val="20"/>
          <w:color w:val="auto"/>
        </w:rPr>
      </w:pPr>
      <w:r>
        <w:rPr>
          <w:rFonts w:ascii="Arial" w:cs="Arial" w:eastAsia="Arial" w:hAnsi="Arial"/>
          <w:sz w:val="14"/>
          <w:szCs w:val="14"/>
          <w:color w:val="0071CE"/>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0071CE"/>
        </w:rPr>
        <w:t>We ended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71CE"/>
        </w:rPr>
        <w:t>with the following</w:t>
      </w:r>
    </w:p>
    <w:p>
      <w:pPr>
        <w:spacing w:after="0"/>
        <w:rPr>
          <w:sz w:val="20"/>
          <w:szCs w:val="20"/>
          <w:color w:val="auto"/>
        </w:rPr>
      </w:pPr>
      <w:r>
        <w:rPr>
          <w:rFonts w:ascii="Arial" w:cs="Arial" w:eastAsia="Arial" w:hAnsi="Arial"/>
          <w:sz w:val="17"/>
          <w:szCs w:val="17"/>
          <w:b w:val="1"/>
          <w:bCs w:val="1"/>
          <w:color w:val="0071CE"/>
        </w:rPr>
        <w:t>key financial results:</w:t>
      </w:r>
      <w:r>
        <w:rPr>
          <w:rFonts w:ascii="Arial" w:cs="Arial" w:eastAsia="Arial" w:hAnsi="Arial"/>
          <w:sz w:val="14"/>
          <w:szCs w:val="14"/>
          <w:b w:val="1"/>
          <w:bCs w:val="1"/>
          <w:color w:val="0071C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267335</wp:posOffset>
            </wp:positionV>
            <wp:extent cx="1104265" cy="526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04265" cy="526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1031240</wp:posOffset>
            </wp:positionV>
            <wp:extent cx="1104265" cy="526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04265" cy="526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1795780</wp:posOffset>
            </wp:positionV>
            <wp:extent cx="1104265" cy="526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04265" cy="526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2560320</wp:posOffset>
            </wp:positionV>
            <wp:extent cx="1104265" cy="526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04265" cy="526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3324225</wp:posOffset>
            </wp:positionV>
            <wp:extent cx="1104265" cy="526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04265" cy="526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4088765</wp:posOffset>
            </wp:positionV>
            <wp:extent cx="1104265" cy="526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04265" cy="526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4852670</wp:posOffset>
            </wp:positionV>
            <wp:extent cx="1104265" cy="526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04265" cy="52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 w:firstLine="1"/>
        <w:spacing w:after="0" w:line="246" w:lineRule="auto"/>
        <w:tabs>
          <w:tab w:leader="none" w:pos="214" w:val="left"/>
        </w:tabs>
        <w:numPr>
          <w:ilvl w:val="0"/>
          <w:numId w:val="56"/>
        </w:numPr>
        <w:rPr>
          <w:rFonts w:ascii="Arial" w:cs="Arial" w:eastAsia="Arial" w:hAnsi="Arial"/>
          <w:sz w:val="14"/>
          <w:szCs w:val="14"/>
          <w:i w:val="1"/>
          <w:iCs w:val="1"/>
          <w:color w:val="3E3935"/>
        </w:rPr>
      </w:pPr>
      <w:r>
        <w:rPr>
          <w:rFonts w:ascii="Arial" w:cs="Arial" w:eastAsia="Arial" w:hAnsi="Arial"/>
          <w:sz w:val="14"/>
          <w:szCs w:val="14"/>
          <w:i w:val="1"/>
          <w:iCs w:val="1"/>
          <w:color w:val="3E3935"/>
        </w:rPr>
        <w:t>The financial information relates to our continuing operations.</w:t>
      </w:r>
    </w:p>
    <w:p>
      <w:pPr>
        <w:ind w:right="20" w:firstLine="1"/>
        <w:spacing w:after="0" w:line="239" w:lineRule="auto"/>
        <w:tabs>
          <w:tab w:leader="none" w:pos="214" w:val="left"/>
        </w:tabs>
        <w:numPr>
          <w:ilvl w:val="0"/>
          <w:numId w:val="56"/>
        </w:numPr>
        <w:rPr>
          <w:rFonts w:ascii="Arial" w:cs="Arial" w:eastAsia="Arial" w:hAnsi="Arial"/>
          <w:sz w:val="14"/>
          <w:szCs w:val="14"/>
          <w:i w:val="1"/>
          <w:iCs w:val="1"/>
          <w:color w:val="3E3935"/>
        </w:rPr>
      </w:pPr>
      <w:r>
        <w:rPr>
          <w:rFonts w:ascii="Arial" w:cs="Arial" w:eastAsia="Arial" w:hAnsi="Arial"/>
          <w:sz w:val="14"/>
          <w:szCs w:val="14"/>
          <w:i w:val="1"/>
          <w:iCs w:val="1"/>
          <w:color w:val="3E3935"/>
        </w:rPr>
        <w:t>These are non-GAAP financial measures. Refer to Appendix A for a reconciliation of EBIT-adjusted, ROIC-adjusted, and EPS-diluted-adjusted to their closest comparable GAAP measure.</w:t>
      </w:r>
    </w:p>
    <w:p>
      <w:pPr>
        <w:spacing w:after="0" w:line="1" w:lineRule="exact"/>
        <w:rPr>
          <w:rFonts w:ascii="Arial" w:cs="Arial" w:eastAsia="Arial" w:hAnsi="Arial"/>
          <w:sz w:val="14"/>
          <w:szCs w:val="14"/>
          <w:i w:val="1"/>
          <w:iCs w:val="1"/>
          <w:color w:val="3E3935"/>
        </w:rPr>
      </w:pPr>
    </w:p>
    <w:p>
      <w:pPr>
        <w:jc w:val="both"/>
        <w:ind w:firstLine="1"/>
        <w:spacing w:after="0" w:line="254" w:lineRule="auto"/>
        <w:tabs>
          <w:tab w:leader="none" w:pos="214" w:val="left"/>
        </w:tabs>
        <w:numPr>
          <w:ilvl w:val="0"/>
          <w:numId w:val="56"/>
        </w:numPr>
        <w:rPr>
          <w:rFonts w:ascii="Arial" w:cs="Arial" w:eastAsia="Arial" w:hAnsi="Arial"/>
          <w:sz w:val="14"/>
          <w:szCs w:val="14"/>
          <w:i w:val="1"/>
          <w:iCs w:val="1"/>
          <w:color w:val="3E3935"/>
        </w:rPr>
      </w:pPr>
      <w:r>
        <w:rPr>
          <w:rFonts w:ascii="Arial" w:cs="Arial" w:eastAsia="Arial" w:hAnsi="Arial"/>
          <w:sz w:val="14"/>
          <w:szCs w:val="14"/>
          <w:i w:val="1"/>
          <w:iCs w:val="1"/>
          <w:color w:val="3E3935"/>
        </w:rPr>
        <w:t>Refer to Appendix A for the calculation of return on equity.</w:t>
      </w:r>
    </w:p>
    <w:p>
      <w:pPr>
        <w:sectPr>
          <w:pgSz w:w="11900" w:h="16838" w:orient="portrait"/>
          <w:cols w:equalWidth="0" w:num="2">
            <w:col w:w="8560" w:space="340"/>
            <w:col w:w="1940"/>
          </w:cols>
          <w:pgMar w:left="320" w:top="456" w:right="7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57"/>
        </w:numPr>
        <w:rPr>
          <w:rFonts w:ascii="Arial" w:cs="Arial" w:eastAsia="Arial" w:hAnsi="Arial"/>
          <w:sz w:val="21"/>
          <w:szCs w:val="21"/>
          <w:color w:val="0071CE"/>
        </w:rPr>
      </w:pPr>
      <w:r>
        <w:rPr>
          <w:rFonts w:ascii="Arial" w:cs="Arial" w:eastAsia="Arial" w:hAnsi="Arial"/>
          <w:sz w:val="25"/>
          <w:szCs w:val="25"/>
          <w:color w:val="3E3935"/>
        </w:rPr>
        <w:t>Leadership Changes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Company made the following leadership changes during 2020:</w:t>
      </w:r>
    </w:p>
    <w:p>
      <w:pPr>
        <w:spacing w:after="0" w:line="107" w:lineRule="exact"/>
        <w:rPr>
          <w:sz w:val="20"/>
          <w:szCs w:val="20"/>
          <w:color w:val="auto"/>
        </w:rPr>
      </w:pPr>
    </w:p>
    <w:p>
      <w:pPr>
        <w:jc w:val="both"/>
        <w:ind w:left="160" w:right="320"/>
        <w:spacing w:after="0" w:line="231" w:lineRule="auto"/>
        <w:rPr>
          <w:sz w:val="20"/>
          <w:szCs w:val="20"/>
          <w:color w:val="auto"/>
        </w:rPr>
      </w:pPr>
      <w:r>
        <w:rPr>
          <w:rFonts w:ascii="Arial" w:cs="Arial" w:eastAsia="Arial" w:hAnsi="Arial"/>
          <w:sz w:val="20"/>
          <w:szCs w:val="20"/>
          <w:b w:val="1"/>
          <w:bCs w:val="1"/>
          <w:color w:val="0071CE"/>
        </w:rPr>
        <w:t xml:space="preserve">Barry L. Engle II </w:t>
      </w:r>
      <w:r>
        <w:rPr>
          <w:rFonts w:ascii="Arial" w:cs="Arial" w:eastAsia="Arial" w:hAnsi="Arial"/>
          <w:sz w:val="20"/>
          <w:szCs w:val="20"/>
          <w:color w:val="3E3935"/>
        </w:rPr>
        <w:t>– On July 6, 2020, the Company determined that Mr. Engle would leave his position as Executive Vice</w:t>
      </w:r>
      <w:r>
        <w:rPr>
          <w:rFonts w:ascii="Arial" w:cs="Arial" w:eastAsia="Arial" w:hAnsi="Arial"/>
          <w:sz w:val="20"/>
          <w:szCs w:val="20"/>
          <w:b w:val="1"/>
          <w:bCs w:val="1"/>
          <w:color w:val="0071CE"/>
        </w:rPr>
        <w:t xml:space="preserve"> </w:t>
      </w:r>
      <w:r>
        <w:rPr>
          <w:rFonts w:ascii="Arial" w:cs="Arial" w:eastAsia="Arial" w:hAnsi="Arial"/>
          <w:sz w:val="20"/>
          <w:szCs w:val="20"/>
          <w:color w:val="3E3935"/>
        </w:rPr>
        <w:t>President and President, North America, and support the transition of his duties and responsibilities to Mr. Carlisle. The Company and Mr. Engle entered into a separation agreement on September 1, 2020, as a qualified termination without cause under the terms of the General Motors LLC U.S. Executive Severance Program (“Executive Severance Program”) (filed as an exhibit to the 2020 Form 10-K). Mr. Engle is subject to the terms of a one-year non-compete agreement and other standard covenants. For additional details, see page 79 of this Proxy Statement.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Stephen K. Carlisle </w:t>
      </w:r>
      <w:r>
        <w:rPr>
          <w:rFonts w:ascii="Arial" w:cs="Arial" w:eastAsia="Arial" w:hAnsi="Arial"/>
          <w:sz w:val="20"/>
          <w:szCs w:val="20"/>
          <w:color w:val="3E3935"/>
        </w:rPr>
        <w:t>– Promoted to Executive Vice President and President, North America, effective July 15, 2020.</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Dhivya Suryadevara </w:t>
      </w:r>
      <w:r>
        <w:rPr>
          <w:rFonts w:ascii="Arial" w:cs="Arial" w:eastAsia="Arial" w:hAnsi="Arial"/>
          <w:sz w:val="20"/>
          <w:szCs w:val="20"/>
          <w:color w:val="3E3935"/>
        </w:rPr>
        <w:t>– Resigned as Executive Vice President and Chief Financial Officer, effective September 1, 2020.</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John P. Stapleton </w:t>
      </w:r>
      <w:r>
        <w:rPr>
          <w:rFonts w:ascii="Arial" w:cs="Arial" w:eastAsia="Arial" w:hAnsi="Arial"/>
          <w:sz w:val="20"/>
          <w:szCs w:val="20"/>
          <w:color w:val="3E3935"/>
        </w:rPr>
        <w:t>– Served as Acting Chief Financial Officer from August 15, 2020, through November 30, 2020.</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Paul A. Jacobson </w:t>
      </w:r>
      <w:r>
        <w:rPr>
          <w:rFonts w:ascii="Arial" w:cs="Arial" w:eastAsia="Arial" w:hAnsi="Arial"/>
          <w:sz w:val="20"/>
          <w:szCs w:val="20"/>
          <w:color w:val="3E3935"/>
        </w:rPr>
        <w:t>– Named Executive Vice President and Chief Financial Officer, effective December 1, 2020.</w:t>
      </w:r>
    </w:p>
    <w:p>
      <w:pPr>
        <w:spacing w:after="0" w:line="254" w:lineRule="exact"/>
        <w:rPr>
          <w:sz w:val="20"/>
          <w:szCs w:val="20"/>
          <w:color w:val="auto"/>
        </w:rPr>
      </w:pPr>
    </w:p>
    <w:p>
      <w:pPr>
        <w:ind w:left="700" w:hanging="533"/>
        <w:spacing w:after="0"/>
        <w:tabs>
          <w:tab w:leader="none" w:pos="700" w:val="left"/>
        </w:tabs>
        <w:numPr>
          <w:ilvl w:val="0"/>
          <w:numId w:val="58"/>
        </w:numPr>
        <w:rPr>
          <w:rFonts w:ascii="Arial" w:cs="Arial" w:eastAsia="Arial" w:hAnsi="Arial"/>
          <w:sz w:val="21"/>
          <w:szCs w:val="21"/>
          <w:color w:val="0071CE"/>
        </w:rPr>
      </w:pPr>
      <w:r>
        <w:rPr>
          <w:rFonts w:ascii="Arial" w:cs="Arial" w:eastAsia="Arial" w:hAnsi="Arial"/>
          <w:sz w:val="25"/>
          <w:szCs w:val="25"/>
          <w:color w:val="3E3935"/>
        </w:rPr>
        <w:t>Compensation Governance and Best Practices</w:t>
      </w: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00C1DE"/>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-144780</wp:posOffset>
            </wp:positionV>
            <wp:extent cx="69297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p>
      <w:pPr>
        <w:ind w:left="720" w:hanging="298"/>
        <w:spacing w:after="0"/>
        <w:tabs>
          <w:tab w:leader="none" w:pos="720" w:val="left"/>
        </w:tabs>
        <w:numPr>
          <w:ilvl w:val="0"/>
          <w:numId w:val="59"/>
        </w:numPr>
        <w:rPr>
          <w:rFonts w:ascii="MS PGothic" w:cs="MS PGothic" w:eastAsia="MS PGothic" w:hAnsi="MS PGothic"/>
          <w:sz w:val="20"/>
          <w:szCs w:val="20"/>
          <w:color w:val="00C1DE"/>
        </w:rPr>
      </w:pPr>
      <w:r>
        <w:rPr>
          <w:rFonts w:ascii="Arial" w:cs="Arial" w:eastAsia="Arial" w:hAnsi="Arial"/>
          <w:sz w:val="20"/>
          <w:szCs w:val="20"/>
          <w:color w:val="3E3935"/>
        </w:rPr>
        <w:t>Provide short-term and long-term incentive plans with performance targets aligned to business goals</w:t>
      </w:r>
    </w:p>
    <w:p>
      <w:pPr>
        <w:spacing w:after="0" w:line="144" w:lineRule="exact"/>
        <w:rPr>
          <w:rFonts w:ascii="MS PGothic" w:cs="MS PGothic" w:eastAsia="MS PGothic" w:hAnsi="MS PGothic"/>
          <w:sz w:val="20"/>
          <w:szCs w:val="20"/>
          <w:color w:val="00C1DE"/>
        </w:rPr>
      </w:pPr>
    </w:p>
    <w:p>
      <w:pPr>
        <w:ind w:left="720" w:hanging="298"/>
        <w:spacing w:after="0" w:line="180" w:lineRule="auto"/>
        <w:tabs>
          <w:tab w:leader="none" w:pos="720" w:val="left"/>
        </w:tabs>
        <w:numPr>
          <w:ilvl w:val="0"/>
          <w:numId w:val="59"/>
        </w:numPr>
        <w:rPr>
          <w:rFonts w:ascii="MS PGothic" w:cs="MS PGothic" w:eastAsia="MS PGothic" w:hAnsi="MS PGothic"/>
          <w:sz w:val="38"/>
          <w:szCs w:val="38"/>
          <w:color w:val="00C1DE"/>
          <w:vertAlign w:val="subscript"/>
        </w:rPr>
      </w:pPr>
      <w:r>
        <w:rPr>
          <w:rFonts w:ascii="Arial" w:cs="Arial" w:eastAsia="Arial" w:hAnsi="Arial"/>
          <w:sz w:val="19"/>
          <w:szCs w:val="19"/>
          <w:color w:val="3E3935"/>
        </w:rPr>
        <w:t>Maintain a Compensation Committee composed entirely of independent directors who are advised by an independent compensation consultant</w:t>
      </w:r>
    </w:p>
    <w:p>
      <w:pPr>
        <w:spacing w:after="0" w:line="166" w:lineRule="exact"/>
        <w:rPr>
          <w:rFonts w:ascii="MS PGothic" w:cs="MS PGothic" w:eastAsia="MS PGothic" w:hAnsi="MS PGothic"/>
          <w:sz w:val="38"/>
          <w:szCs w:val="38"/>
          <w:color w:val="00C1DE"/>
          <w:vertAlign w:val="subscript"/>
        </w:rPr>
      </w:pPr>
    </w:p>
    <w:p>
      <w:pPr>
        <w:ind w:left="720" w:hanging="298"/>
        <w:spacing w:after="0"/>
        <w:tabs>
          <w:tab w:leader="none" w:pos="720" w:val="left"/>
        </w:tabs>
        <w:numPr>
          <w:ilvl w:val="0"/>
          <w:numId w:val="59"/>
        </w:numPr>
        <w:rPr>
          <w:rFonts w:ascii="MS PGothic" w:cs="MS PGothic" w:eastAsia="MS PGothic" w:hAnsi="MS PGothic"/>
          <w:sz w:val="20"/>
          <w:szCs w:val="20"/>
          <w:color w:val="00C1DE"/>
        </w:rPr>
      </w:pPr>
      <w:r>
        <w:rPr>
          <w:rFonts w:ascii="Arial" w:cs="Arial" w:eastAsia="Arial" w:hAnsi="Arial"/>
          <w:sz w:val="20"/>
          <w:szCs w:val="20"/>
          <w:color w:val="3E3935"/>
        </w:rPr>
        <w:t>Require stock ownership for all senior leaders</w:t>
      </w:r>
    </w:p>
    <w:p>
      <w:pPr>
        <w:spacing w:after="0" w:line="144" w:lineRule="exact"/>
        <w:rPr>
          <w:rFonts w:ascii="MS PGothic" w:cs="MS PGothic" w:eastAsia="MS PGothic" w:hAnsi="MS PGothic"/>
          <w:sz w:val="20"/>
          <w:szCs w:val="20"/>
          <w:color w:val="00C1DE"/>
        </w:rPr>
      </w:pPr>
    </w:p>
    <w:p>
      <w:pPr>
        <w:ind w:left="720" w:hanging="298"/>
        <w:spacing w:after="0" w:line="180" w:lineRule="auto"/>
        <w:tabs>
          <w:tab w:leader="none" w:pos="720" w:val="left"/>
        </w:tabs>
        <w:numPr>
          <w:ilvl w:val="0"/>
          <w:numId w:val="59"/>
        </w:numPr>
        <w:rPr>
          <w:rFonts w:ascii="MS PGothic" w:cs="MS PGothic" w:eastAsia="MS PGothic" w:hAnsi="MS PGothic"/>
          <w:sz w:val="38"/>
          <w:szCs w:val="38"/>
          <w:color w:val="00C1DE"/>
          <w:vertAlign w:val="subscript"/>
        </w:rPr>
      </w:pPr>
      <w:r>
        <w:rPr>
          <w:rFonts w:ascii="Arial" w:cs="Arial" w:eastAsia="Arial" w:hAnsi="Arial"/>
          <w:sz w:val="19"/>
          <w:szCs w:val="19"/>
          <w:color w:val="3E3935"/>
        </w:rPr>
        <w:t>Engage with shareholders and other stakeholders on various topics with members of management and directors, including our Compensation Committee and our Independent Lead Director</w:t>
      </w:r>
    </w:p>
    <w:p>
      <w:pPr>
        <w:spacing w:after="0" w:line="166" w:lineRule="exact"/>
        <w:rPr>
          <w:rFonts w:ascii="MS PGothic" w:cs="MS PGothic" w:eastAsia="MS PGothic" w:hAnsi="MS PGothic"/>
          <w:sz w:val="38"/>
          <w:szCs w:val="38"/>
          <w:color w:val="00C1DE"/>
          <w:vertAlign w:val="subscript"/>
        </w:rPr>
      </w:pPr>
    </w:p>
    <w:p>
      <w:pPr>
        <w:ind w:left="720" w:hanging="298"/>
        <w:spacing w:after="0"/>
        <w:tabs>
          <w:tab w:leader="none" w:pos="720" w:val="left"/>
        </w:tabs>
        <w:numPr>
          <w:ilvl w:val="0"/>
          <w:numId w:val="59"/>
        </w:numPr>
        <w:rPr>
          <w:rFonts w:ascii="MS PGothic" w:cs="MS PGothic" w:eastAsia="MS PGothic" w:hAnsi="MS PGothic"/>
          <w:sz w:val="20"/>
          <w:szCs w:val="20"/>
          <w:color w:val="00C1DE"/>
        </w:rPr>
      </w:pPr>
      <w:r>
        <w:rPr>
          <w:rFonts w:ascii="Arial" w:cs="Arial" w:eastAsia="Arial" w:hAnsi="Arial"/>
          <w:sz w:val="20"/>
          <w:szCs w:val="20"/>
          <w:color w:val="3E3935"/>
        </w:rPr>
        <w:t>Include non-compete and non-solicitation terms in all grant agreements with senior leaders</w:t>
      </w:r>
    </w:p>
    <w:p>
      <w:pPr>
        <w:spacing w:after="0" w:line="144" w:lineRule="exact"/>
        <w:rPr>
          <w:rFonts w:ascii="MS PGothic" w:cs="MS PGothic" w:eastAsia="MS PGothic" w:hAnsi="MS PGothic"/>
          <w:sz w:val="20"/>
          <w:szCs w:val="20"/>
          <w:color w:val="00C1DE"/>
        </w:rPr>
      </w:pPr>
    </w:p>
    <w:p>
      <w:pPr>
        <w:ind w:left="720" w:hanging="298"/>
        <w:spacing w:after="0" w:line="180" w:lineRule="auto"/>
        <w:tabs>
          <w:tab w:leader="none" w:pos="720" w:val="left"/>
        </w:tabs>
        <w:numPr>
          <w:ilvl w:val="0"/>
          <w:numId w:val="59"/>
        </w:numPr>
        <w:rPr>
          <w:rFonts w:ascii="MS PGothic" w:cs="MS PGothic" w:eastAsia="MS PGothic" w:hAnsi="MS PGothic"/>
          <w:sz w:val="38"/>
          <w:szCs w:val="38"/>
          <w:color w:val="00C1DE"/>
          <w:vertAlign w:val="subscript"/>
        </w:rPr>
      </w:pPr>
      <w:r>
        <w:rPr>
          <w:rFonts w:ascii="Arial" w:cs="Arial" w:eastAsia="Arial" w:hAnsi="Arial"/>
          <w:sz w:val="19"/>
          <w:szCs w:val="19"/>
          <w:color w:val="3E3935"/>
        </w:rPr>
        <w:t>Maintain an Insider Trading Policy requiring directors, executive officers, and all other senior leaders to trade only during pre-established periods after receiving preclearance from the GM Legal Staff</w:t>
      </w:r>
    </w:p>
    <w:p>
      <w:pPr>
        <w:spacing w:after="0" w:line="166" w:lineRule="exact"/>
        <w:rPr>
          <w:rFonts w:ascii="MS PGothic" w:cs="MS PGothic" w:eastAsia="MS PGothic" w:hAnsi="MS PGothic"/>
          <w:sz w:val="38"/>
          <w:szCs w:val="38"/>
          <w:color w:val="00C1DE"/>
          <w:vertAlign w:val="subscript"/>
        </w:rPr>
      </w:pPr>
    </w:p>
    <w:p>
      <w:pPr>
        <w:ind w:left="720" w:hanging="298"/>
        <w:spacing w:after="0"/>
        <w:tabs>
          <w:tab w:leader="none" w:pos="720" w:val="left"/>
        </w:tabs>
        <w:numPr>
          <w:ilvl w:val="0"/>
          <w:numId w:val="59"/>
        </w:numPr>
        <w:rPr>
          <w:rFonts w:ascii="MS PGothic" w:cs="MS PGothic" w:eastAsia="MS PGothic" w:hAnsi="MS PGothic"/>
          <w:sz w:val="20"/>
          <w:szCs w:val="20"/>
          <w:color w:val="00C1DE"/>
        </w:rPr>
      </w:pPr>
      <w:r>
        <w:rPr>
          <w:rFonts w:ascii="Arial" w:cs="Arial" w:eastAsia="Arial" w:hAnsi="Arial"/>
          <w:sz w:val="20"/>
          <w:szCs w:val="20"/>
          <w:color w:val="3E3935"/>
        </w:rPr>
        <w:t>Require equity awards to have double trigger (change in control and termination of employment) vesting provisions</w:t>
      </w:r>
    </w:p>
    <w:p>
      <w:pPr>
        <w:spacing w:after="0" w:line="171" w:lineRule="exact"/>
        <w:rPr>
          <w:rFonts w:ascii="MS PGothic" w:cs="MS PGothic" w:eastAsia="MS PGothic" w:hAnsi="MS PGothic"/>
          <w:sz w:val="20"/>
          <w:szCs w:val="20"/>
          <w:color w:val="00C1DE"/>
        </w:rPr>
      </w:pPr>
    </w:p>
    <w:p>
      <w:pPr>
        <w:ind w:left="720" w:hanging="298"/>
        <w:spacing w:after="0"/>
        <w:tabs>
          <w:tab w:leader="none" w:pos="720" w:val="left"/>
        </w:tabs>
        <w:numPr>
          <w:ilvl w:val="0"/>
          <w:numId w:val="59"/>
        </w:numPr>
        <w:rPr>
          <w:rFonts w:ascii="MS PGothic" w:cs="MS PGothic" w:eastAsia="MS PGothic" w:hAnsi="MS PGothic"/>
          <w:sz w:val="20"/>
          <w:szCs w:val="20"/>
          <w:color w:val="00C1DE"/>
        </w:rPr>
      </w:pPr>
      <w:r>
        <w:rPr>
          <w:rFonts w:ascii="Arial" w:cs="Arial" w:eastAsia="Arial" w:hAnsi="Arial"/>
          <w:sz w:val="20"/>
          <w:szCs w:val="20"/>
          <w:color w:val="3E3935"/>
        </w:rPr>
        <w:t>Complete an annual risk review evaluating incentive compensation plans</w:t>
      </w:r>
    </w:p>
    <w:p>
      <w:pPr>
        <w:spacing w:after="0" w:line="144" w:lineRule="exact"/>
        <w:rPr>
          <w:rFonts w:ascii="MS PGothic" w:cs="MS PGothic" w:eastAsia="MS PGothic" w:hAnsi="MS PGothic"/>
          <w:sz w:val="20"/>
          <w:szCs w:val="20"/>
          <w:color w:val="00C1DE"/>
        </w:rPr>
      </w:pPr>
    </w:p>
    <w:p>
      <w:pPr>
        <w:ind w:left="720" w:hanging="298"/>
        <w:spacing w:after="0" w:line="180" w:lineRule="auto"/>
        <w:tabs>
          <w:tab w:leader="none" w:pos="720" w:val="left"/>
        </w:tabs>
        <w:numPr>
          <w:ilvl w:val="0"/>
          <w:numId w:val="59"/>
        </w:numPr>
        <w:rPr>
          <w:rFonts w:ascii="MS PGothic" w:cs="MS PGothic" w:eastAsia="MS PGothic" w:hAnsi="MS PGothic"/>
          <w:sz w:val="38"/>
          <w:szCs w:val="38"/>
          <w:color w:val="00C1DE"/>
          <w:vertAlign w:val="subscript"/>
        </w:rPr>
      </w:pPr>
      <w:r>
        <w:rPr>
          <w:rFonts w:ascii="Arial" w:cs="Arial" w:eastAsia="Arial" w:hAnsi="Arial"/>
          <w:sz w:val="19"/>
          <w:szCs w:val="19"/>
          <w:color w:val="3E3935"/>
        </w:rPr>
        <w:t>Require short-term cash and long-term equity awards for all executive officers to be subject to clawback and cancellation provisions</w:t>
      </w:r>
    </w:p>
    <w:p>
      <w:pPr>
        <w:spacing w:after="0" w:line="166" w:lineRule="exact"/>
        <w:rPr>
          <w:rFonts w:ascii="MS PGothic" w:cs="MS PGothic" w:eastAsia="MS PGothic" w:hAnsi="MS PGothic"/>
          <w:sz w:val="38"/>
          <w:szCs w:val="38"/>
          <w:color w:val="00C1DE"/>
          <w:vertAlign w:val="subscript"/>
        </w:rPr>
      </w:pPr>
    </w:p>
    <w:p>
      <w:pPr>
        <w:ind w:left="720" w:hanging="298"/>
        <w:spacing w:after="0"/>
        <w:tabs>
          <w:tab w:leader="none" w:pos="720" w:val="left"/>
        </w:tabs>
        <w:numPr>
          <w:ilvl w:val="0"/>
          <w:numId w:val="59"/>
        </w:numPr>
        <w:rPr>
          <w:rFonts w:ascii="MS PGothic" w:cs="MS PGothic" w:eastAsia="MS PGothic" w:hAnsi="MS PGothic"/>
          <w:sz w:val="20"/>
          <w:szCs w:val="20"/>
          <w:color w:val="00C1DE"/>
        </w:rPr>
      </w:pPr>
      <w:r>
        <w:rPr>
          <w:rFonts w:ascii="Arial" w:cs="Arial" w:eastAsia="Arial" w:hAnsi="Arial"/>
          <w:sz w:val="20"/>
          <w:szCs w:val="20"/>
          <w:color w:val="3E3935"/>
        </w:rPr>
        <w:t>Conduct an annual audit of senior executive expenses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-584835</wp:posOffset>
            </wp:positionV>
            <wp:extent cx="69297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-839470</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-1094105</wp:posOffset>
            </wp:positionV>
            <wp:extent cx="69297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-1468120</wp:posOffset>
            </wp:positionV>
            <wp:extent cx="6929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-1722755</wp:posOffset>
            </wp:positionV>
            <wp:extent cx="69297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-2096135</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-2351405</wp:posOffset>
            </wp:positionV>
            <wp:extent cx="69297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-2724785</wp:posOffset>
            </wp:positionV>
            <wp:extent cx="69297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00C1D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-144780</wp:posOffset>
            </wp:positionV>
            <wp:extent cx="69297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p>
      <w:pPr>
        <w:ind w:left="720" w:hanging="236"/>
        <w:spacing w:after="0"/>
        <w:tabs>
          <w:tab w:leader="none" w:pos="720" w:val="left"/>
        </w:tabs>
        <w:numPr>
          <w:ilvl w:val="0"/>
          <w:numId w:val="60"/>
        </w:numPr>
        <w:rPr>
          <w:rFonts w:ascii="Arial" w:cs="Arial" w:eastAsia="Arial" w:hAnsi="Arial"/>
          <w:sz w:val="19"/>
          <w:szCs w:val="19"/>
          <w:b w:val="1"/>
          <w:bCs w:val="1"/>
          <w:i w:val="1"/>
          <w:iCs w:val="1"/>
          <w:color w:val="00C1DE"/>
        </w:rPr>
      </w:pPr>
      <w:r>
        <w:rPr>
          <w:rFonts w:ascii="Arial" w:cs="Arial" w:eastAsia="Arial" w:hAnsi="Arial"/>
          <w:sz w:val="19"/>
          <w:szCs w:val="19"/>
          <w:color w:val="3E3935"/>
        </w:rPr>
        <w:t>Provide gross-up payments to cover personal income taxes or excise taxes pertaining to executive severance benefits</w:t>
      </w:r>
    </w:p>
    <w:p>
      <w:pPr>
        <w:spacing w:after="0" w:line="169" w:lineRule="exact"/>
        <w:rPr>
          <w:rFonts w:ascii="Arial" w:cs="Arial" w:eastAsia="Arial" w:hAnsi="Arial"/>
          <w:sz w:val="19"/>
          <w:szCs w:val="19"/>
          <w:b w:val="1"/>
          <w:bCs w:val="1"/>
          <w:i w:val="1"/>
          <w:iCs w:val="1"/>
          <w:color w:val="00C1DE"/>
        </w:rPr>
      </w:pPr>
    </w:p>
    <w:p>
      <w:pPr>
        <w:ind w:left="720" w:hanging="236"/>
        <w:spacing w:after="0"/>
        <w:tabs>
          <w:tab w:leader="none" w:pos="720" w:val="left"/>
        </w:tabs>
        <w:numPr>
          <w:ilvl w:val="0"/>
          <w:numId w:val="60"/>
        </w:numPr>
        <w:rPr>
          <w:rFonts w:ascii="Arial" w:cs="Arial" w:eastAsia="Arial" w:hAnsi="Arial"/>
          <w:sz w:val="20"/>
          <w:szCs w:val="20"/>
          <w:b w:val="1"/>
          <w:bCs w:val="1"/>
          <w:i w:val="1"/>
          <w:iCs w:val="1"/>
          <w:color w:val="00C1DE"/>
        </w:rPr>
      </w:pPr>
      <w:r>
        <w:rPr>
          <w:rFonts w:ascii="Arial" w:cs="Arial" w:eastAsia="Arial" w:hAnsi="Arial"/>
          <w:sz w:val="20"/>
          <w:szCs w:val="20"/>
          <w:color w:val="3E3935"/>
        </w:rPr>
        <w:t>Pay above-market interest on deferred compensation in retirement plans</w:t>
      </w:r>
    </w:p>
    <w:p>
      <w:pPr>
        <w:spacing w:after="0" w:line="157" w:lineRule="exact"/>
        <w:rPr>
          <w:rFonts w:ascii="Arial" w:cs="Arial" w:eastAsia="Arial" w:hAnsi="Arial"/>
          <w:sz w:val="20"/>
          <w:szCs w:val="20"/>
          <w:b w:val="1"/>
          <w:bCs w:val="1"/>
          <w:i w:val="1"/>
          <w:iCs w:val="1"/>
          <w:color w:val="00C1DE"/>
        </w:rPr>
      </w:pPr>
    </w:p>
    <w:p>
      <w:pPr>
        <w:ind w:left="720" w:hanging="236"/>
        <w:spacing w:after="0"/>
        <w:tabs>
          <w:tab w:leader="none" w:pos="720" w:val="left"/>
        </w:tabs>
        <w:numPr>
          <w:ilvl w:val="0"/>
          <w:numId w:val="60"/>
        </w:numPr>
        <w:rPr>
          <w:rFonts w:ascii="Arial" w:cs="Arial" w:eastAsia="Arial" w:hAnsi="Arial"/>
          <w:sz w:val="20"/>
          <w:szCs w:val="20"/>
          <w:b w:val="1"/>
          <w:bCs w:val="1"/>
          <w:i w:val="1"/>
          <w:iCs w:val="1"/>
          <w:color w:val="00C1DE"/>
        </w:rPr>
      </w:pPr>
      <w:r>
        <w:rPr>
          <w:rFonts w:ascii="Arial" w:cs="Arial" w:eastAsia="Arial" w:hAnsi="Arial"/>
          <w:sz w:val="20"/>
          <w:szCs w:val="20"/>
          <w:color w:val="3E3935"/>
        </w:rPr>
        <w:t>Allow directors or executives to engage in hedging or pledging of GM securities</w:t>
      </w:r>
    </w:p>
    <w:p>
      <w:pPr>
        <w:spacing w:after="0" w:line="157" w:lineRule="exact"/>
        <w:rPr>
          <w:rFonts w:ascii="Arial" w:cs="Arial" w:eastAsia="Arial" w:hAnsi="Arial"/>
          <w:sz w:val="20"/>
          <w:szCs w:val="20"/>
          <w:b w:val="1"/>
          <w:bCs w:val="1"/>
          <w:i w:val="1"/>
          <w:iCs w:val="1"/>
          <w:color w:val="00C1DE"/>
        </w:rPr>
      </w:pPr>
    </w:p>
    <w:p>
      <w:pPr>
        <w:ind w:left="720" w:hanging="236"/>
        <w:spacing w:after="0"/>
        <w:tabs>
          <w:tab w:leader="none" w:pos="720" w:val="left"/>
        </w:tabs>
        <w:numPr>
          <w:ilvl w:val="0"/>
          <w:numId w:val="60"/>
        </w:numPr>
        <w:rPr>
          <w:rFonts w:ascii="Arial" w:cs="Arial" w:eastAsia="Arial" w:hAnsi="Arial"/>
          <w:sz w:val="20"/>
          <w:szCs w:val="20"/>
          <w:b w:val="1"/>
          <w:bCs w:val="1"/>
          <w:i w:val="1"/>
          <w:iCs w:val="1"/>
          <w:color w:val="00C1DE"/>
        </w:rPr>
      </w:pPr>
      <w:r>
        <w:rPr>
          <w:rFonts w:ascii="Arial" w:cs="Arial" w:eastAsia="Arial" w:hAnsi="Arial"/>
          <w:sz w:val="20"/>
          <w:szCs w:val="20"/>
          <w:color w:val="3E3935"/>
        </w:rPr>
        <w:t>Reward executives for excessive, imprudent, inappropriate, or unnecessary risk-taking</w:t>
      </w:r>
    </w:p>
    <w:p>
      <w:pPr>
        <w:spacing w:after="0" w:line="157" w:lineRule="exact"/>
        <w:rPr>
          <w:rFonts w:ascii="Arial" w:cs="Arial" w:eastAsia="Arial" w:hAnsi="Arial"/>
          <w:sz w:val="20"/>
          <w:szCs w:val="20"/>
          <w:b w:val="1"/>
          <w:bCs w:val="1"/>
          <w:i w:val="1"/>
          <w:iCs w:val="1"/>
          <w:color w:val="00C1DE"/>
        </w:rPr>
      </w:pPr>
    </w:p>
    <w:p>
      <w:pPr>
        <w:ind w:left="720" w:hanging="236"/>
        <w:spacing w:after="0"/>
        <w:tabs>
          <w:tab w:leader="none" w:pos="720" w:val="left"/>
        </w:tabs>
        <w:numPr>
          <w:ilvl w:val="0"/>
          <w:numId w:val="60"/>
        </w:numPr>
        <w:rPr>
          <w:rFonts w:ascii="Arial" w:cs="Arial" w:eastAsia="Arial" w:hAnsi="Arial"/>
          <w:sz w:val="20"/>
          <w:szCs w:val="20"/>
          <w:b w:val="1"/>
          <w:bCs w:val="1"/>
          <w:i w:val="1"/>
          <w:iCs w:val="1"/>
          <w:color w:val="00C1DE"/>
        </w:rPr>
      </w:pPr>
      <w:r>
        <w:rPr>
          <w:rFonts w:ascii="Arial" w:cs="Arial" w:eastAsia="Arial" w:hAnsi="Arial"/>
          <w:sz w:val="20"/>
          <w:szCs w:val="20"/>
          <w:color w:val="3E3935"/>
        </w:rPr>
        <w:t>Allow the repricing or backdating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-448945</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-941705</wp:posOffset>
            </wp:positionV>
            <wp:extent cx="69297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144780</wp:posOffset>
            </wp:positionV>
            <wp:extent cx="5927725" cy="1016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1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43</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61"/>
        </w:numPr>
        <w:rPr>
          <w:rFonts w:ascii="Arial" w:cs="Arial" w:eastAsia="Arial" w:hAnsi="Arial"/>
          <w:sz w:val="21"/>
          <w:szCs w:val="21"/>
          <w:color w:val="0071CE"/>
        </w:rPr>
      </w:pPr>
      <w:r>
        <w:rPr>
          <w:rFonts w:ascii="Arial" w:cs="Arial" w:eastAsia="Arial" w:hAnsi="Arial"/>
          <w:sz w:val="25"/>
          <w:szCs w:val="25"/>
          <w:color w:val="3E3935"/>
        </w:rPr>
        <w:t>Shareholder Engagement</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Company views shareholder engagement as a continuous process and annually seeks feedback directly from our shareholders. Through these engagements, we received positive feedback in support of executive compensation programs and, in particular, the Compensation Committee’s decision to further drive accountability and reinforce our safety culture and ESG results.</w:t>
      </w:r>
    </w:p>
    <w:p>
      <w:pPr>
        <w:spacing w:after="0" w:line="129"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Shareholder feedback is reflected through the new 2020 LTIP where PSU measures are equally weighted for Relative ROIC-adjusted (37.5% of total LTIP) and Relative TSR (37.5% of total LTIP), and performance measure payouts are subject to caps. These discussions, Say-on-Pay voting results, and alignment to the Company vision and strategic goals are key drivers in our ongoing assessment of our current and future programs. As executive compensation programs evolve, the Board remains committed to continuing the dialogue with shareholders regarding our compensation philosophy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143510</wp:posOffset>
            </wp:positionV>
            <wp:extent cx="6564630" cy="2038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64630" cy="2038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5520"/>
        <w:spacing w:after="0"/>
        <w:rPr>
          <w:sz w:val="20"/>
          <w:szCs w:val="20"/>
          <w:color w:val="auto"/>
        </w:rPr>
      </w:pPr>
      <w:r>
        <w:rPr>
          <w:rFonts w:ascii="Arial" w:cs="Arial" w:eastAsia="Arial" w:hAnsi="Arial"/>
          <w:sz w:val="20"/>
          <w:szCs w:val="20"/>
          <w:b w:val="1"/>
          <w:bCs w:val="1"/>
          <w:color w:val="00C1DE"/>
        </w:rPr>
        <w:t>SHAREHOLDER SAY-ON-PAY</w:t>
      </w:r>
    </w:p>
    <w:p>
      <w:pPr>
        <w:spacing w:after="0" w:line="8" w:lineRule="exact"/>
        <w:rPr>
          <w:sz w:val="20"/>
          <w:szCs w:val="20"/>
          <w:color w:val="auto"/>
        </w:rPr>
      </w:pPr>
    </w:p>
    <w:p>
      <w:pPr>
        <w:jc w:val="both"/>
        <w:ind w:left="5880" w:right="180"/>
        <w:spacing w:after="0" w:line="225" w:lineRule="auto"/>
        <w:rPr>
          <w:sz w:val="20"/>
          <w:szCs w:val="20"/>
          <w:color w:val="auto"/>
        </w:rPr>
      </w:pPr>
      <w:r>
        <w:rPr>
          <w:rFonts w:ascii="Arial" w:cs="Arial" w:eastAsia="Arial" w:hAnsi="Arial"/>
          <w:sz w:val="20"/>
          <w:szCs w:val="20"/>
          <w:color w:val="0071CE"/>
        </w:rPr>
        <w:t>The Compensation Committee seeks to align the Company’s executive compensation programs with the interests of the Company’s shareholders. The Compensation Committee considers the results of the annual Say-on-Pay vote, the long-term vision and strategic goals of the Company, input from management, input from its independent compensation consultant, and investor engagement feedback when setting compensation for our executives. In 2020, 96.5% of our shareholders voted in favor of our executive compensation programs.</w:t>
      </w:r>
    </w:p>
    <w:p>
      <w:pPr>
        <w:spacing w:after="0" w:line="354"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2940" w:type="dxa"/>
            <w:vAlign w:val="bottom"/>
            <w:tcBorders>
              <w:top w:val="single" w:sz="8" w:color="00C1DE"/>
            </w:tcBorders>
          </w:tcPr>
          <w:p>
            <w:pPr>
              <w:spacing w:after="0"/>
              <w:rPr>
                <w:sz w:val="20"/>
                <w:szCs w:val="20"/>
                <w:color w:val="auto"/>
              </w:rPr>
            </w:pPr>
            <w:r>
              <w:rPr>
                <w:rFonts w:ascii="Arial" w:cs="Arial" w:eastAsia="Arial" w:hAnsi="Arial"/>
                <w:sz w:val="20"/>
                <w:szCs w:val="20"/>
                <w:b w:val="1"/>
                <w:bCs w:val="1"/>
                <w:color w:val="00C1DE"/>
              </w:rPr>
              <w:t>Investor Alignment Topics</w:t>
            </w:r>
          </w:p>
        </w:tc>
        <w:tc>
          <w:tcPr>
            <w:tcW w:w="7980" w:type="dxa"/>
            <w:vAlign w:val="bottom"/>
            <w:tcBorders>
              <w:top w:val="single" w:sz="8" w:color="00C1DE"/>
            </w:tcBorders>
          </w:tcPr>
          <w:p>
            <w:pPr>
              <w:ind w:left="140"/>
              <w:spacing w:after="0"/>
              <w:rPr>
                <w:sz w:val="20"/>
                <w:szCs w:val="20"/>
                <w:color w:val="auto"/>
              </w:rPr>
            </w:pPr>
            <w:r>
              <w:rPr>
                <w:rFonts w:ascii="Arial" w:cs="Arial" w:eastAsia="Arial" w:hAnsi="Arial"/>
                <w:sz w:val="20"/>
                <w:szCs w:val="20"/>
                <w:b w:val="1"/>
                <w:bCs w:val="1"/>
                <w:color w:val="00C1DE"/>
              </w:rPr>
              <w:t>2020 Activities</w:t>
            </w:r>
          </w:p>
        </w:tc>
      </w:tr>
      <w:tr>
        <w:trPr>
          <w:trHeight w:val="48"/>
        </w:trPr>
        <w:tc>
          <w:tcPr>
            <w:tcW w:w="2940" w:type="dxa"/>
            <w:vAlign w:val="bottom"/>
            <w:tcBorders>
              <w:bottom w:val="single" w:sz="8" w:color="00C1DE"/>
            </w:tcBorders>
          </w:tcPr>
          <w:p>
            <w:pPr>
              <w:spacing w:after="0"/>
              <w:rPr>
                <w:sz w:val="4"/>
                <w:szCs w:val="4"/>
                <w:color w:val="auto"/>
              </w:rPr>
            </w:pPr>
          </w:p>
        </w:tc>
        <w:tc>
          <w:tcPr>
            <w:tcW w:w="7980" w:type="dxa"/>
            <w:vAlign w:val="bottom"/>
            <w:tcBorders>
              <w:bottom w:val="single" w:sz="8" w:color="00C1DE"/>
            </w:tcBorders>
          </w:tcPr>
          <w:p>
            <w:pPr>
              <w:spacing w:after="0"/>
              <w:rPr>
                <w:sz w:val="4"/>
                <w:szCs w:val="4"/>
                <w:color w:val="auto"/>
              </w:rPr>
            </w:pPr>
          </w:p>
        </w:tc>
      </w:tr>
      <w:tr>
        <w:trPr>
          <w:trHeight w:val="221"/>
        </w:trPr>
        <w:tc>
          <w:tcPr>
            <w:tcW w:w="2940" w:type="dxa"/>
            <w:vAlign w:val="bottom"/>
          </w:tcPr>
          <w:p>
            <w:pPr>
              <w:ind w:left="100"/>
              <w:spacing w:after="0"/>
              <w:rPr>
                <w:sz w:val="20"/>
                <w:szCs w:val="20"/>
                <w:color w:val="auto"/>
              </w:rPr>
            </w:pPr>
            <w:r>
              <w:rPr>
                <w:rFonts w:ascii="Arial" w:cs="Arial" w:eastAsia="Arial" w:hAnsi="Arial"/>
                <w:sz w:val="17"/>
                <w:szCs w:val="17"/>
                <w:b w:val="1"/>
                <w:bCs w:val="1"/>
                <w:color w:val="3E3935"/>
              </w:rPr>
              <w:t>Enhanced Human Capital</w:t>
            </w:r>
          </w:p>
        </w:tc>
        <w:tc>
          <w:tcPr>
            <w:tcW w:w="7980" w:type="dxa"/>
            <w:vAlign w:val="bottom"/>
          </w:tcPr>
          <w:p>
            <w:pPr>
              <w:ind w:left="140"/>
              <w:spacing w:after="0"/>
              <w:rPr>
                <w:sz w:val="20"/>
                <w:szCs w:val="20"/>
                <w:color w:val="auto"/>
              </w:rPr>
            </w:pPr>
            <w:r>
              <w:rPr>
                <w:rFonts w:ascii="Arial" w:cs="Arial" w:eastAsia="Arial" w:hAnsi="Arial"/>
                <w:sz w:val="17"/>
                <w:szCs w:val="17"/>
                <w:color w:val="3E3935"/>
              </w:rPr>
              <w:t>We remain committed to providing robust HCM practices and disclosure. Each year, the Company</w:t>
            </w:r>
          </w:p>
        </w:tc>
      </w:tr>
      <w:tr>
        <w:trPr>
          <w:trHeight w:val="207"/>
        </w:trPr>
        <w:tc>
          <w:tcPr>
            <w:tcW w:w="2940" w:type="dxa"/>
            <w:vAlign w:val="bottom"/>
          </w:tcPr>
          <w:p>
            <w:pPr>
              <w:ind w:left="100"/>
              <w:spacing w:after="0"/>
              <w:rPr>
                <w:sz w:val="20"/>
                <w:szCs w:val="20"/>
                <w:color w:val="auto"/>
              </w:rPr>
            </w:pPr>
            <w:r>
              <w:rPr>
                <w:rFonts w:ascii="Arial" w:cs="Arial" w:eastAsia="Arial" w:hAnsi="Arial"/>
                <w:sz w:val="17"/>
                <w:szCs w:val="17"/>
                <w:b w:val="1"/>
                <w:bCs w:val="1"/>
                <w:color w:val="3E3935"/>
              </w:rPr>
              <w:t>Management Disclosure</w:t>
            </w:r>
          </w:p>
        </w:tc>
        <w:tc>
          <w:tcPr>
            <w:tcW w:w="7980" w:type="dxa"/>
            <w:vAlign w:val="bottom"/>
          </w:tcPr>
          <w:p>
            <w:pPr>
              <w:ind w:left="140"/>
              <w:spacing w:after="0"/>
              <w:rPr>
                <w:sz w:val="20"/>
                <w:szCs w:val="20"/>
                <w:color w:val="auto"/>
              </w:rPr>
            </w:pPr>
            <w:r>
              <w:rPr>
                <w:rFonts w:ascii="Arial" w:cs="Arial" w:eastAsia="Arial" w:hAnsi="Arial"/>
                <w:sz w:val="17"/>
                <w:szCs w:val="17"/>
                <w:color w:val="3E3935"/>
              </w:rPr>
              <w:t>provides HCM updates through our Sustainability Report, which describes both the development of our</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workforce and updates on diversity, equity, and inclusion. We have taken further steps to foster an</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w w:val="99"/>
              </w:rPr>
              <w:t>inclusive Company culture by creating our Inclusion Advisory Board, led by our Chairman and CEO, and</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adding “Be Inclusive” to our GM Behaviors to continue to impact positive social change. For additional</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information on our HCM initiatives, see “Our People, Our Communities, and Our Environment” section</w:t>
            </w:r>
          </w:p>
        </w:tc>
      </w:tr>
      <w:tr>
        <w:trPr>
          <w:trHeight w:val="203"/>
        </w:trPr>
        <w:tc>
          <w:tcPr>
            <w:tcW w:w="2940" w:type="dxa"/>
            <w:vAlign w:val="bottom"/>
          </w:tcPr>
          <w:p>
            <w:pPr>
              <w:spacing w:after="0"/>
              <w:rPr>
                <w:sz w:val="17"/>
                <w:szCs w:val="17"/>
                <w:color w:val="auto"/>
              </w:rPr>
            </w:pPr>
          </w:p>
        </w:tc>
        <w:tc>
          <w:tcPr>
            <w:tcW w:w="7980" w:type="dxa"/>
            <w:vAlign w:val="bottom"/>
          </w:tcPr>
          <w:p>
            <w:pPr>
              <w:ind w:left="140"/>
              <w:spacing w:after="0"/>
              <w:rPr>
                <w:sz w:val="20"/>
                <w:szCs w:val="20"/>
                <w:color w:val="auto"/>
              </w:rPr>
            </w:pPr>
            <w:r>
              <w:rPr>
                <w:rFonts w:ascii="Arial" w:cs="Arial" w:eastAsia="Arial" w:hAnsi="Arial"/>
                <w:sz w:val="17"/>
                <w:szCs w:val="17"/>
                <w:color w:val="3E3935"/>
              </w:rPr>
              <w:t>on page 33 of this Proxy Statement.</w:t>
            </w:r>
          </w:p>
        </w:tc>
      </w:tr>
      <w:tr>
        <w:trPr>
          <w:trHeight w:val="70"/>
        </w:trPr>
        <w:tc>
          <w:tcPr>
            <w:tcW w:w="2940" w:type="dxa"/>
            <w:vAlign w:val="bottom"/>
            <w:tcBorders>
              <w:bottom w:val="single" w:sz="8" w:color="3E3935"/>
            </w:tcBorders>
          </w:tcPr>
          <w:p>
            <w:pPr>
              <w:spacing w:after="0"/>
              <w:rPr>
                <w:sz w:val="6"/>
                <w:szCs w:val="6"/>
                <w:color w:val="auto"/>
              </w:rPr>
            </w:pPr>
          </w:p>
        </w:tc>
        <w:tc>
          <w:tcPr>
            <w:tcW w:w="7980" w:type="dxa"/>
            <w:vAlign w:val="bottom"/>
            <w:tcBorders>
              <w:bottom w:val="single" w:sz="8" w:color="3E3935"/>
            </w:tcBorders>
          </w:tcPr>
          <w:p>
            <w:pPr>
              <w:spacing w:after="0"/>
              <w:rPr>
                <w:sz w:val="6"/>
                <w:szCs w:val="6"/>
                <w:color w:val="auto"/>
              </w:rPr>
            </w:pPr>
          </w:p>
        </w:tc>
      </w:tr>
      <w:tr>
        <w:trPr>
          <w:trHeight w:val="241"/>
        </w:trPr>
        <w:tc>
          <w:tcPr>
            <w:tcW w:w="2940" w:type="dxa"/>
            <w:vAlign w:val="bottom"/>
          </w:tcPr>
          <w:p>
            <w:pPr>
              <w:ind w:left="100"/>
              <w:spacing w:after="0"/>
              <w:rPr>
                <w:sz w:val="20"/>
                <w:szCs w:val="20"/>
                <w:color w:val="auto"/>
              </w:rPr>
            </w:pPr>
            <w:r>
              <w:rPr>
                <w:rFonts w:ascii="Arial" w:cs="Arial" w:eastAsia="Arial" w:hAnsi="Arial"/>
                <w:sz w:val="17"/>
                <w:szCs w:val="17"/>
                <w:b w:val="1"/>
                <w:bCs w:val="1"/>
                <w:color w:val="3E3935"/>
              </w:rPr>
              <w:t>Evaluation of ESG Performance</w:t>
            </w:r>
          </w:p>
        </w:tc>
        <w:tc>
          <w:tcPr>
            <w:tcW w:w="7980" w:type="dxa"/>
            <w:vAlign w:val="bottom"/>
          </w:tcPr>
          <w:p>
            <w:pPr>
              <w:ind w:left="140"/>
              <w:spacing w:after="0"/>
              <w:rPr>
                <w:sz w:val="20"/>
                <w:szCs w:val="20"/>
                <w:color w:val="auto"/>
              </w:rPr>
            </w:pPr>
            <w:r>
              <w:rPr>
                <w:rFonts w:ascii="Arial" w:cs="Arial" w:eastAsia="Arial" w:hAnsi="Arial"/>
                <w:sz w:val="17"/>
                <w:szCs w:val="17"/>
                <w:color w:val="3E3935"/>
              </w:rPr>
              <w:t>ESG performance continues to be a focus for the Company and our shareholders. The Compensation</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Committee factors ESG performance into strategic goals for each NEO. We identify ESG results with a</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green leaf in the “Our Company Performance” section on page 42 of this Proxy Statement and the</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“Performance Results and Compensation Decisions” section for individuals starting on page 57 of this</w:t>
            </w:r>
          </w:p>
        </w:tc>
      </w:tr>
      <w:tr>
        <w:trPr>
          <w:trHeight w:val="203"/>
        </w:trPr>
        <w:tc>
          <w:tcPr>
            <w:tcW w:w="2940" w:type="dxa"/>
            <w:vAlign w:val="bottom"/>
          </w:tcPr>
          <w:p>
            <w:pPr>
              <w:spacing w:after="0"/>
              <w:rPr>
                <w:sz w:val="17"/>
                <w:szCs w:val="17"/>
                <w:color w:val="auto"/>
              </w:rPr>
            </w:pPr>
          </w:p>
        </w:tc>
        <w:tc>
          <w:tcPr>
            <w:tcW w:w="7980" w:type="dxa"/>
            <w:vAlign w:val="bottom"/>
          </w:tcPr>
          <w:p>
            <w:pPr>
              <w:ind w:left="140"/>
              <w:spacing w:after="0"/>
              <w:rPr>
                <w:sz w:val="20"/>
                <w:szCs w:val="20"/>
                <w:color w:val="auto"/>
              </w:rPr>
            </w:pPr>
            <w:r>
              <w:rPr>
                <w:rFonts w:ascii="Arial" w:cs="Arial" w:eastAsia="Arial" w:hAnsi="Arial"/>
                <w:sz w:val="17"/>
                <w:szCs w:val="17"/>
                <w:color w:val="3E3935"/>
              </w:rPr>
              <w:t>Proxy Statement, which reflect our ongoing commitment to ESG performance outcomes.</w:t>
            </w:r>
          </w:p>
        </w:tc>
      </w:tr>
      <w:tr>
        <w:trPr>
          <w:trHeight w:val="70"/>
        </w:trPr>
        <w:tc>
          <w:tcPr>
            <w:tcW w:w="2940" w:type="dxa"/>
            <w:vAlign w:val="bottom"/>
            <w:tcBorders>
              <w:bottom w:val="single" w:sz="8" w:color="3E3935"/>
            </w:tcBorders>
          </w:tcPr>
          <w:p>
            <w:pPr>
              <w:spacing w:after="0"/>
              <w:rPr>
                <w:sz w:val="6"/>
                <w:szCs w:val="6"/>
                <w:color w:val="auto"/>
              </w:rPr>
            </w:pPr>
          </w:p>
        </w:tc>
        <w:tc>
          <w:tcPr>
            <w:tcW w:w="7980" w:type="dxa"/>
            <w:vAlign w:val="bottom"/>
            <w:tcBorders>
              <w:bottom w:val="single" w:sz="8" w:color="3E3935"/>
            </w:tcBorders>
          </w:tcPr>
          <w:p>
            <w:pPr>
              <w:spacing w:after="0"/>
              <w:rPr>
                <w:sz w:val="6"/>
                <w:szCs w:val="6"/>
                <w:color w:val="auto"/>
              </w:rPr>
            </w:pPr>
          </w:p>
        </w:tc>
      </w:tr>
      <w:tr>
        <w:trPr>
          <w:trHeight w:val="221"/>
        </w:trPr>
        <w:tc>
          <w:tcPr>
            <w:tcW w:w="2940" w:type="dxa"/>
            <w:vAlign w:val="bottom"/>
          </w:tcPr>
          <w:p>
            <w:pPr>
              <w:ind w:left="100"/>
              <w:spacing w:after="0"/>
              <w:rPr>
                <w:sz w:val="20"/>
                <w:szCs w:val="20"/>
                <w:color w:val="auto"/>
              </w:rPr>
            </w:pPr>
            <w:r>
              <w:rPr>
                <w:rFonts w:ascii="Arial" w:cs="Arial" w:eastAsia="Arial" w:hAnsi="Arial"/>
                <w:sz w:val="17"/>
                <w:szCs w:val="17"/>
                <w:b w:val="1"/>
                <w:bCs w:val="1"/>
                <w:color w:val="3E3935"/>
              </w:rPr>
              <w:t>Balanced Approach to</w:t>
            </w:r>
          </w:p>
        </w:tc>
        <w:tc>
          <w:tcPr>
            <w:tcW w:w="7980" w:type="dxa"/>
            <w:vAlign w:val="bottom"/>
          </w:tcPr>
          <w:p>
            <w:pPr>
              <w:ind w:left="140"/>
              <w:spacing w:after="0"/>
              <w:rPr>
                <w:sz w:val="20"/>
                <w:szCs w:val="20"/>
                <w:color w:val="auto"/>
              </w:rPr>
            </w:pPr>
            <w:r>
              <w:rPr>
                <w:rFonts w:ascii="Arial" w:cs="Arial" w:eastAsia="Arial" w:hAnsi="Arial"/>
                <w:sz w:val="17"/>
                <w:szCs w:val="17"/>
                <w:color w:val="3E3935"/>
              </w:rPr>
              <w:t>The 2020 STIP focuses leadership on driving strong profitability and cash flow, as well as evaluating</w:t>
            </w:r>
          </w:p>
        </w:tc>
      </w:tr>
      <w:tr>
        <w:trPr>
          <w:trHeight w:val="207"/>
        </w:trPr>
        <w:tc>
          <w:tcPr>
            <w:tcW w:w="2940" w:type="dxa"/>
            <w:vAlign w:val="bottom"/>
          </w:tcPr>
          <w:p>
            <w:pPr>
              <w:ind w:left="100"/>
              <w:spacing w:after="0"/>
              <w:rPr>
                <w:sz w:val="20"/>
                <w:szCs w:val="20"/>
                <w:color w:val="auto"/>
              </w:rPr>
            </w:pPr>
            <w:r>
              <w:rPr>
                <w:rFonts w:ascii="Arial" w:cs="Arial" w:eastAsia="Arial" w:hAnsi="Arial"/>
                <w:sz w:val="17"/>
                <w:szCs w:val="17"/>
                <w:b w:val="1"/>
                <w:bCs w:val="1"/>
                <w:color w:val="3E3935"/>
              </w:rPr>
              <w:t>Short-Term and Long-Term Plans</w:t>
            </w:r>
          </w:p>
        </w:tc>
        <w:tc>
          <w:tcPr>
            <w:tcW w:w="7980" w:type="dxa"/>
            <w:vAlign w:val="bottom"/>
          </w:tcPr>
          <w:p>
            <w:pPr>
              <w:ind w:left="140"/>
              <w:spacing w:after="0"/>
              <w:rPr>
                <w:sz w:val="20"/>
                <w:szCs w:val="20"/>
                <w:color w:val="auto"/>
              </w:rPr>
            </w:pPr>
            <w:r>
              <w:rPr>
                <w:rFonts w:ascii="Arial" w:cs="Arial" w:eastAsia="Arial" w:hAnsi="Arial"/>
                <w:sz w:val="17"/>
                <w:szCs w:val="17"/>
                <w:color w:val="3E3935"/>
              </w:rPr>
              <w:t>individual performance to strategic goals. The 2020 LTIP focuses leadership on stock price appreciation</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and encourages sound capital investments. We continue to evaluate the external market and hold</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conversations with investors to ensure the competitiveness, appropriateness, and overall balance of the</w:t>
            </w:r>
          </w:p>
        </w:tc>
      </w:tr>
      <w:tr>
        <w:trPr>
          <w:trHeight w:val="203"/>
        </w:trPr>
        <w:tc>
          <w:tcPr>
            <w:tcW w:w="2940" w:type="dxa"/>
            <w:vAlign w:val="bottom"/>
          </w:tcPr>
          <w:p>
            <w:pPr>
              <w:spacing w:after="0"/>
              <w:rPr>
                <w:sz w:val="17"/>
                <w:szCs w:val="17"/>
                <w:color w:val="auto"/>
              </w:rPr>
            </w:pPr>
          </w:p>
        </w:tc>
        <w:tc>
          <w:tcPr>
            <w:tcW w:w="7980" w:type="dxa"/>
            <w:vAlign w:val="bottom"/>
          </w:tcPr>
          <w:p>
            <w:pPr>
              <w:ind w:left="140"/>
              <w:spacing w:after="0"/>
              <w:rPr>
                <w:sz w:val="20"/>
                <w:szCs w:val="20"/>
                <w:color w:val="auto"/>
              </w:rPr>
            </w:pPr>
            <w:r>
              <w:rPr>
                <w:rFonts w:ascii="Arial" w:cs="Arial" w:eastAsia="Arial" w:hAnsi="Arial"/>
                <w:sz w:val="17"/>
                <w:szCs w:val="17"/>
                <w:color w:val="3E3935"/>
              </w:rPr>
              <w:t>STIP and LTIP.</w:t>
            </w:r>
          </w:p>
        </w:tc>
      </w:tr>
      <w:tr>
        <w:trPr>
          <w:trHeight w:val="70"/>
        </w:trPr>
        <w:tc>
          <w:tcPr>
            <w:tcW w:w="2940" w:type="dxa"/>
            <w:vAlign w:val="bottom"/>
            <w:tcBorders>
              <w:bottom w:val="single" w:sz="8" w:color="3E3935"/>
            </w:tcBorders>
          </w:tcPr>
          <w:p>
            <w:pPr>
              <w:spacing w:after="0"/>
              <w:rPr>
                <w:sz w:val="6"/>
                <w:szCs w:val="6"/>
                <w:color w:val="auto"/>
              </w:rPr>
            </w:pPr>
          </w:p>
        </w:tc>
        <w:tc>
          <w:tcPr>
            <w:tcW w:w="7980" w:type="dxa"/>
            <w:vAlign w:val="bottom"/>
            <w:tcBorders>
              <w:bottom w:val="single" w:sz="8" w:color="3E3935"/>
            </w:tcBorders>
          </w:tcPr>
          <w:p>
            <w:pPr>
              <w:spacing w:after="0"/>
              <w:rPr>
                <w:sz w:val="6"/>
                <w:szCs w:val="6"/>
                <w:color w:val="auto"/>
              </w:rPr>
            </w:pPr>
          </w:p>
        </w:tc>
      </w:tr>
      <w:tr>
        <w:trPr>
          <w:trHeight w:val="241"/>
        </w:trPr>
        <w:tc>
          <w:tcPr>
            <w:tcW w:w="2940" w:type="dxa"/>
            <w:vAlign w:val="bottom"/>
          </w:tcPr>
          <w:p>
            <w:pPr>
              <w:ind w:left="100"/>
              <w:spacing w:after="0"/>
              <w:rPr>
                <w:sz w:val="20"/>
                <w:szCs w:val="20"/>
                <w:color w:val="auto"/>
              </w:rPr>
            </w:pPr>
            <w:r>
              <w:rPr>
                <w:rFonts w:ascii="Arial" w:cs="Arial" w:eastAsia="Arial" w:hAnsi="Arial"/>
                <w:sz w:val="17"/>
                <w:szCs w:val="17"/>
                <w:b w:val="1"/>
                <w:bCs w:val="1"/>
                <w:color w:val="3E3935"/>
              </w:rPr>
              <w:t>Appropriate Peer Group Selection</w:t>
            </w:r>
          </w:p>
        </w:tc>
        <w:tc>
          <w:tcPr>
            <w:tcW w:w="7980" w:type="dxa"/>
            <w:vAlign w:val="bottom"/>
          </w:tcPr>
          <w:p>
            <w:pPr>
              <w:ind w:left="140"/>
              <w:spacing w:after="0"/>
              <w:rPr>
                <w:sz w:val="20"/>
                <w:szCs w:val="20"/>
                <w:color w:val="auto"/>
              </w:rPr>
            </w:pPr>
            <w:r>
              <w:rPr>
                <w:rFonts w:ascii="Arial" w:cs="Arial" w:eastAsia="Arial" w:hAnsi="Arial"/>
                <w:sz w:val="17"/>
                <w:szCs w:val="17"/>
                <w:color w:val="3E3935"/>
                <w:w w:val="99"/>
              </w:rPr>
              <w:t>The Compensation Committee reviews recommendations from its independent compensation consultant</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annually to determine any additions or deletions to the peer group that is used for compensation</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comparisons. We ensure our peer group composition remains competitive and appropriate as we</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continue to transform the organization. All companies in the peer group have been included for at least</w:t>
            </w:r>
          </w:p>
        </w:tc>
      </w:tr>
      <w:tr>
        <w:trPr>
          <w:trHeight w:val="187"/>
        </w:trPr>
        <w:tc>
          <w:tcPr>
            <w:tcW w:w="2940" w:type="dxa"/>
            <w:vAlign w:val="bottom"/>
          </w:tcPr>
          <w:p>
            <w:pPr>
              <w:spacing w:after="0"/>
              <w:rPr>
                <w:sz w:val="16"/>
                <w:szCs w:val="16"/>
                <w:color w:val="auto"/>
              </w:rPr>
            </w:pPr>
          </w:p>
        </w:tc>
        <w:tc>
          <w:tcPr>
            <w:tcW w:w="7980" w:type="dxa"/>
            <w:vAlign w:val="bottom"/>
          </w:tcPr>
          <w:p>
            <w:pPr>
              <w:ind w:left="140"/>
              <w:spacing w:after="0" w:line="187" w:lineRule="exact"/>
              <w:rPr>
                <w:sz w:val="20"/>
                <w:szCs w:val="20"/>
                <w:color w:val="auto"/>
              </w:rPr>
            </w:pPr>
            <w:r>
              <w:rPr>
                <w:rFonts w:ascii="Arial" w:cs="Arial" w:eastAsia="Arial" w:hAnsi="Arial"/>
                <w:sz w:val="17"/>
                <w:szCs w:val="17"/>
                <w:color w:val="3E3935"/>
              </w:rPr>
              <w:t>five consecutive years. A full disclosure of our consistent approach and framework can be found in the</w:t>
            </w:r>
          </w:p>
        </w:tc>
      </w:tr>
      <w:tr>
        <w:trPr>
          <w:trHeight w:val="203"/>
        </w:trPr>
        <w:tc>
          <w:tcPr>
            <w:tcW w:w="2940" w:type="dxa"/>
            <w:vAlign w:val="bottom"/>
          </w:tcPr>
          <w:p>
            <w:pPr>
              <w:spacing w:after="0"/>
              <w:rPr>
                <w:sz w:val="17"/>
                <w:szCs w:val="17"/>
                <w:color w:val="auto"/>
              </w:rPr>
            </w:pPr>
          </w:p>
        </w:tc>
        <w:tc>
          <w:tcPr>
            <w:tcW w:w="7980" w:type="dxa"/>
            <w:vAlign w:val="bottom"/>
          </w:tcPr>
          <w:p>
            <w:pPr>
              <w:ind w:left="140"/>
              <w:spacing w:after="0"/>
              <w:rPr>
                <w:sz w:val="20"/>
                <w:szCs w:val="20"/>
                <w:color w:val="auto"/>
              </w:rPr>
            </w:pPr>
            <w:r>
              <w:rPr>
                <w:rFonts w:ascii="Arial" w:cs="Arial" w:eastAsia="Arial" w:hAnsi="Arial"/>
                <w:sz w:val="17"/>
                <w:szCs w:val="17"/>
                <w:color w:val="3E3935"/>
              </w:rPr>
              <w:t>“Peer Group for Compensation Comparisons” section on page 47 of this Proxy Statement.</w:t>
            </w:r>
          </w:p>
        </w:tc>
      </w:tr>
      <w:tr>
        <w:trPr>
          <w:trHeight w:val="70"/>
        </w:trPr>
        <w:tc>
          <w:tcPr>
            <w:tcW w:w="2940" w:type="dxa"/>
            <w:vAlign w:val="bottom"/>
            <w:tcBorders>
              <w:bottom w:val="single" w:sz="8" w:color="0071CE"/>
            </w:tcBorders>
          </w:tcPr>
          <w:p>
            <w:pPr>
              <w:spacing w:after="0"/>
              <w:rPr>
                <w:sz w:val="6"/>
                <w:szCs w:val="6"/>
                <w:color w:val="auto"/>
              </w:rPr>
            </w:pPr>
          </w:p>
        </w:tc>
        <w:tc>
          <w:tcPr>
            <w:tcW w:w="7980" w:type="dxa"/>
            <w:vAlign w:val="bottom"/>
            <w:tcBorders>
              <w:bottom w:val="single" w:sz="8" w:color="0071CE"/>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93345</wp:posOffset>
            </wp:positionV>
            <wp:extent cx="5927725" cy="1016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44</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62"/>
        </w:numPr>
        <w:rPr>
          <w:rFonts w:ascii="Arial" w:cs="Arial" w:eastAsia="Arial" w:hAnsi="Arial"/>
          <w:sz w:val="21"/>
          <w:szCs w:val="21"/>
          <w:color w:val="0071CE"/>
        </w:rPr>
      </w:pPr>
      <w:r>
        <w:rPr>
          <w:rFonts w:ascii="Arial" w:cs="Arial" w:eastAsia="Arial" w:hAnsi="Arial"/>
          <w:sz w:val="25"/>
          <w:szCs w:val="25"/>
          <w:color w:val="3E3935"/>
        </w:rPr>
        <w:t>Compensation Program Evolution</w:t>
      </w:r>
    </w:p>
    <w:p>
      <w:pPr>
        <w:spacing w:after="0" w:line="14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Our compensation programs focus leadership on key areas that drive the business forward and align to the short-term and long-term interests of our shareholders. The Compensation Committee regularly reviews and discusses plan performance at each meeting. The Compensation Committee considers many factors when electing to make plan changes for future incentive plans, including results, market trends, feedback from its independent compensation consultant, and shareholder feedback. The timeline below shows the actions we have taken to develop compensation programs that align the interests of our senior leaders with those of our shareholders, including actions taken in response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302895</wp:posOffset>
            </wp:positionV>
            <wp:extent cx="5927725" cy="58851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27725" cy="588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45</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2020 STIP focuses leadership on key financial measures (75% of STIP) and strategic goals (25% of STIP). The total payout for the STIP ranges from 0% to 200% based on performance against pre-established targets. The Compensation Committee determines performance to strategic goals using a rigorous assessment process measuring performance against pre-established operational goals, safety results, and other measures, including ESG outcomes. Payout for strategic goals performance will occur only if threshold performance of at least one financial measure is met.</w:t>
      </w:r>
    </w:p>
    <w:p>
      <w:pPr>
        <w:spacing w:after="0" w:line="12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2020 LTIP features Stock Options (25% of total LTIP) to align our most senior leaders with shareholders’ interest in stock price appreciation and PSUs (75% of total LTIP) with relative performance measures that drive long-term results. New for 2020, in response to feedback from our shareholders, PSUs are equally weighted for Relative ROIC-adjusted (37.5% of total LTIP) and Relative TSR (37.5% of total LTIP), and performance payouts are capped, as described below.</w:t>
      </w:r>
    </w:p>
    <w:p>
      <w:pPr>
        <w:spacing w:after="0" w:line="105" w:lineRule="exact"/>
        <w:rPr>
          <w:sz w:val="20"/>
          <w:szCs w:val="20"/>
          <w:color w:val="auto"/>
        </w:rPr>
      </w:pPr>
    </w:p>
    <w:p>
      <w:pPr>
        <w:ind w:left="720" w:right="1860"/>
        <w:spacing w:after="0" w:line="393" w:lineRule="auto"/>
        <w:rPr>
          <w:sz w:val="20"/>
          <w:szCs w:val="20"/>
          <w:color w:val="auto"/>
        </w:rPr>
      </w:pPr>
      <w:r>
        <w:rPr>
          <w:rFonts w:ascii="Arial" w:cs="Arial" w:eastAsia="Arial" w:hAnsi="Arial"/>
          <w:sz w:val="20"/>
          <w:szCs w:val="20"/>
          <w:b w:val="1"/>
          <w:bCs w:val="1"/>
          <w:color w:val="00C1DE"/>
        </w:rPr>
        <w:t xml:space="preserve">Relative ROIC-adjusted </w:t>
      </w:r>
      <w:r>
        <w:rPr>
          <w:rFonts w:ascii="Arial" w:cs="Arial" w:eastAsia="Arial" w:hAnsi="Arial"/>
          <w:sz w:val="20"/>
          <w:szCs w:val="20"/>
          <w:color w:val="3E3935"/>
        </w:rPr>
        <w:t>– Capped at target if GM’s ROIC-adjusted does not exceed GM’s WACC</w:t>
      </w:r>
      <w:r>
        <w:rPr>
          <w:rFonts w:ascii="Arial" w:cs="Arial" w:eastAsia="Arial" w:hAnsi="Arial"/>
          <w:sz w:val="20"/>
          <w:szCs w:val="20"/>
          <w:b w:val="1"/>
          <w:bCs w:val="1"/>
          <w:color w:val="00C1DE"/>
        </w:rPr>
        <w:t xml:space="preserve"> Relative TSR </w:t>
      </w:r>
      <w:r>
        <w:rPr>
          <w:rFonts w:ascii="Arial" w:cs="Arial" w:eastAsia="Arial" w:hAnsi="Arial"/>
          <w:sz w:val="20"/>
          <w:szCs w:val="20"/>
          <w:color w:val="3E3935"/>
        </w:rPr>
        <w:t>– Capped at target if GM’s TSR is negative over the performance period</w:t>
      </w:r>
    </w:p>
    <w:p>
      <w:pPr>
        <w:spacing w:after="0" w:line="47"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Focusing performance on EBIT-adjusted, Adjusted AFCF, and strategic goals in the short term, combined with measuring Relative ROIC-adjusted and Relative TSR compared to our OEM peer group in the long term, provides direct alignment of our executive compensation program with the interests of our shareholders and focuses senior leaders on making the investments that will provide profitable long-term growth.</w:t>
      </w:r>
    </w:p>
    <w:p>
      <w:pPr>
        <w:spacing w:after="0" w:line="321" w:lineRule="exact"/>
        <w:rPr>
          <w:sz w:val="20"/>
          <w:szCs w:val="20"/>
          <w:color w:val="auto"/>
        </w:rPr>
      </w:pPr>
    </w:p>
    <w:p>
      <w:pPr>
        <w:ind w:left="700" w:hanging="533"/>
        <w:spacing w:after="0"/>
        <w:tabs>
          <w:tab w:leader="none" w:pos="700" w:val="left"/>
        </w:tabs>
        <w:numPr>
          <w:ilvl w:val="0"/>
          <w:numId w:val="63"/>
        </w:numPr>
        <w:rPr>
          <w:rFonts w:ascii="Arial" w:cs="Arial" w:eastAsia="Arial" w:hAnsi="Arial"/>
          <w:sz w:val="21"/>
          <w:szCs w:val="21"/>
          <w:color w:val="0071CE"/>
        </w:rPr>
      </w:pPr>
      <w:r>
        <w:rPr>
          <w:rFonts w:ascii="Arial" w:cs="Arial" w:eastAsia="Arial" w:hAnsi="Arial"/>
          <w:sz w:val="25"/>
          <w:szCs w:val="25"/>
          <w:color w:val="3E3935"/>
        </w:rPr>
        <w:t>Peer Group for 2020–2022 LTIP Performance</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We use the following OEMs in the Dow Jones Automobiles &amp; Parts Titans 30 Index to measure relative performance for Relative ROIC-adjusted and Relative TSR measures for the 2020–2022 PSU awards. The Compensation Committee uses this index for performance comparisons because these companies represent our global competition and are subject to similar macroeconomic challenges.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00C1DE"/>
        </w:rPr>
        <w:t>Dow Jones Automobiles &amp; Parts Titans 30 Index – OEM Peer Group</w:t>
      </w:r>
      <w:r>
        <w:rPr>
          <w:rFonts w:ascii="Arial" w:cs="Arial" w:eastAsia="Arial" w:hAnsi="Arial"/>
          <w:sz w:val="16"/>
          <w:szCs w:val="16"/>
          <w:b w:val="1"/>
          <w:bCs w:val="1"/>
          <w:color w:val="00C1D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-144780</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040" w:type="dxa"/>
            <w:vAlign w:val="bottom"/>
          </w:tcPr>
          <w:p>
            <w:pPr>
              <w:jc w:val="center"/>
              <w:spacing w:after="0"/>
              <w:rPr>
                <w:sz w:val="20"/>
                <w:szCs w:val="20"/>
                <w:color w:val="auto"/>
              </w:rPr>
            </w:pPr>
            <w:r>
              <w:rPr>
                <w:rFonts w:ascii="Arial" w:cs="Arial" w:eastAsia="Arial" w:hAnsi="Arial"/>
                <w:sz w:val="20"/>
                <w:szCs w:val="20"/>
                <w:color w:val="3E3935"/>
                <w:w w:val="97"/>
              </w:rPr>
              <w:t>Bayerische Motoren</w:t>
            </w:r>
          </w:p>
        </w:tc>
        <w:tc>
          <w:tcPr>
            <w:tcW w:w="2920" w:type="dxa"/>
            <w:vAlign w:val="bottom"/>
            <w:vMerge w:val="restart"/>
          </w:tcPr>
          <w:p>
            <w:pPr>
              <w:jc w:val="center"/>
              <w:spacing w:after="0"/>
              <w:rPr>
                <w:sz w:val="20"/>
                <w:szCs w:val="20"/>
                <w:color w:val="auto"/>
              </w:rPr>
            </w:pPr>
            <w:r>
              <w:rPr>
                <w:rFonts w:ascii="Arial" w:cs="Arial" w:eastAsia="Arial" w:hAnsi="Arial"/>
                <w:sz w:val="20"/>
                <w:szCs w:val="20"/>
                <w:color w:val="3E3935"/>
                <w:w w:val="98"/>
              </w:rPr>
              <w:t>Honda Motor Co. Ltd.</w:t>
            </w:r>
          </w:p>
        </w:tc>
        <w:tc>
          <w:tcPr>
            <w:tcW w:w="2560" w:type="dxa"/>
            <w:vAlign w:val="bottom"/>
            <w:vMerge w:val="restart"/>
          </w:tcPr>
          <w:p>
            <w:pPr>
              <w:jc w:val="center"/>
              <w:ind w:left="162"/>
              <w:spacing w:after="0"/>
              <w:rPr>
                <w:sz w:val="20"/>
                <w:szCs w:val="20"/>
                <w:color w:val="auto"/>
              </w:rPr>
            </w:pPr>
            <w:r>
              <w:rPr>
                <w:rFonts w:ascii="Arial" w:cs="Arial" w:eastAsia="Arial" w:hAnsi="Arial"/>
                <w:sz w:val="20"/>
                <w:szCs w:val="20"/>
                <w:color w:val="3E3935"/>
                <w:w w:val="98"/>
              </w:rPr>
              <w:t>Nissan Motor Co. Ltd</w:t>
            </w:r>
          </w:p>
        </w:tc>
        <w:tc>
          <w:tcPr>
            <w:tcW w:w="2400" w:type="dxa"/>
            <w:vAlign w:val="bottom"/>
            <w:vMerge w:val="restart"/>
          </w:tcPr>
          <w:p>
            <w:pPr>
              <w:jc w:val="center"/>
              <w:ind w:left="22"/>
              <w:spacing w:after="0"/>
              <w:rPr>
                <w:sz w:val="20"/>
                <w:szCs w:val="20"/>
                <w:color w:val="auto"/>
              </w:rPr>
            </w:pPr>
            <w:r>
              <w:rPr>
                <w:rFonts w:ascii="Arial" w:cs="Arial" w:eastAsia="Arial" w:hAnsi="Arial"/>
                <w:sz w:val="20"/>
                <w:szCs w:val="20"/>
                <w:color w:val="3E3935"/>
                <w:w w:val="98"/>
              </w:rPr>
              <w:t>Suzuki Motor Corp.</w:t>
            </w:r>
          </w:p>
        </w:tc>
        <w:tc>
          <w:tcPr>
            <w:tcW w:w="0" w:type="dxa"/>
            <w:vAlign w:val="bottom"/>
          </w:tcPr>
          <w:p>
            <w:pPr>
              <w:spacing w:after="0"/>
              <w:rPr>
                <w:sz w:val="1"/>
                <w:szCs w:val="1"/>
                <w:color w:val="auto"/>
              </w:rPr>
            </w:pPr>
          </w:p>
        </w:tc>
      </w:tr>
      <w:tr>
        <w:trPr>
          <w:trHeight w:val="128"/>
        </w:trPr>
        <w:tc>
          <w:tcPr>
            <w:tcW w:w="3040" w:type="dxa"/>
            <w:vAlign w:val="bottom"/>
            <w:vMerge w:val="restart"/>
          </w:tcPr>
          <w:p>
            <w:pPr>
              <w:jc w:val="center"/>
              <w:spacing w:after="0"/>
              <w:rPr>
                <w:sz w:val="20"/>
                <w:szCs w:val="20"/>
                <w:color w:val="auto"/>
              </w:rPr>
            </w:pPr>
            <w:r>
              <w:rPr>
                <w:rFonts w:ascii="Arial" w:cs="Arial" w:eastAsia="Arial" w:hAnsi="Arial"/>
                <w:sz w:val="20"/>
                <w:szCs w:val="20"/>
                <w:color w:val="3E3935"/>
                <w:w w:val="97"/>
              </w:rPr>
              <w:t>Werke AG</w:t>
            </w:r>
          </w:p>
        </w:tc>
        <w:tc>
          <w:tcPr>
            <w:tcW w:w="292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04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040" w:type="dxa"/>
            <w:vAlign w:val="bottom"/>
            <w:tcBorders>
              <w:bottom w:val="single" w:sz="8" w:color="3E3935"/>
            </w:tcBorders>
          </w:tcPr>
          <w:p>
            <w:pPr>
              <w:spacing w:after="0"/>
              <w:rPr>
                <w:sz w:val="6"/>
                <w:szCs w:val="6"/>
                <w:color w:val="auto"/>
              </w:rPr>
            </w:pPr>
          </w:p>
        </w:tc>
        <w:tc>
          <w:tcPr>
            <w:tcW w:w="2920" w:type="dxa"/>
            <w:vAlign w:val="bottom"/>
            <w:tcBorders>
              <w:bottom w:val="single" w:sz="8" w:color="3E3935"/>
            </w:tcBorders>
          </w:tcPr>
          <w:p>
            <w:pPr>
              <w:spacing w:after="0"/>
              <w:rPr>
                <w:sz w:val="6"/>
                <w:szCs w:val="6"/>
                <w:color w:val="auto"/>
              </w:rPr>
            </w:pPr>
          </w:p>
        </w:tc>
        <w:tc>
          <w:tcPr>
            <w:tcW w:w="2560" w:type="dxa"/>
            <w:vAlign w:val="bottom"/>
            <w:tcBorders>
              <w:bottom w:val="single" w:sz="8" w:color="3E3935"/>
            </w:tcBorders>
          </w:tcPr>
          <w:p>
            <w:pPr>
              <w:spacing w:after="0"/>
              <w:rPr>
                <w:sz w:val="6"/>
                <w:szCs w:val="6"/>
                <w:color w:val="auto"/>
              </w:rPr>
            </w:pPr>
          </w:p>
        </w:tc>
        <w:tc>
          <w:tcPr>
            <w:tcW w:w="24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040" w:type="dxa"/>
            <w:vAlign w:val="bottom"/>
          </w:tcPr>
          <w:p>
            <w:pPr>
              <w:jc w:val="center"/>
              <w:spacing w:after="0"/>
              <w:rPr>
                <w:sz w:val="20"/>
                <w:szCs w:val="20"/>
                <w:color w:val="auto"/>
              </w:rPr>
            </w:pPr>
            <w:r>
              <w:rPr>
                <w:rFonts w:ascii="Arial" w:cs="Arial" w:eastAsia="Arial" w:hAnsi="Arial"/>
                <w:sz w:val="20"/>
                <w:szCs w:val="20"/>
                <w:color w:val="3E3935"/>
                <w:w w:val="98"/>
              </w:rPr>
              <w:t>Daimler AG</w:t>
            </w:r>
          </w:p>
        </w:tc>
        <w:tc>
          <w:tcPr>
            <w:tcW w:w="2920" w:type="dxa"/>
            <w:vAlign w:val="bottom"/>
          </w:tcPr>
          <w:p>
            <w:pPr>
              <w:jc w:val="center"/>
              <w:spacing w:after="0"/>
              <w:rPr>
                <w:sz w:val="20"/>
                <w:szCs w:val="20"/>
                <w:color w:val="auto"/>
              </w:rPr>
            </w:pPr>
            <w:r>
              <w:rPr>
                <w:rFonts w:ascii="Arial" w:cs="Arial" w:eastAsia="Arial" w:hAnsi="Arial"/>
                <w:sz w:val="20"/>
                <w:szCs w:val="20"/>
                <w:color w:val="3E3935"/>
                <w:w w:val="98"/>
              </w:rPr>
              <w:t>Hyundai Motor Co.</w:t>
            </w:r>
          </w:p>
        </w:tc>
        <w:tc>
          <w:tcPr>
            <w:tcW w:w="2560" w:type="dxa"/>
            <w:vAlign w:val="bottom"/>
          </w:tcPr>
          <w:p>
            <w:pPr>
              <w:jc w:val="center"/>
              <w:ind w:left="162"/>
              <w:spacing w:after="0"/>
              <w:rPr>
                <w:sz w:val="20"/>
                <w:szCs w:val="20"/>
                <w:color w:val="auto"/>
              </w:rPr>
            </w:pPr>
            <w:r>
              <w:rPr>
                <w:rFonts w:ascii="Arial" w:cs="Arial" w:eastAsia="Arial" w:hAnsi="Arial"/>
                <w:sz w:val="20"/>
                <w:szCs w:val="20"/>
                <w:color w:val="3E3935"/>
                <w:w w:val="99"/>
              </w:rPr>
              <w:t>Peugeot SA</w:t>
            </w:r>
            <w:r>
              <w:rPr>
                <w:rFonts w:ascii="Arial" w:cs="Arial" w:eastAsia="Arial" w:hAnsi="Arial"/>
                <w:sz w:val="16"/>
                <w:szCs w:val="16"/>
                <w:color w:val="3E3935"/>
                <w:w w:val="99"/>
              </w:rPr>
              <w:t>(2)</w:t>
            </w:r>
          </w:p>
        </w:tc>
        <w:tc>
          <w:tcPr>
            <w:tcW w:w="2400" w:type="dxa"/>
            <w:vAlign w:val="bottom"/>
          </w:tcPr>
          <w:p>
            <w:pPr>
              <w:jc w:val="center"/>
              <w:ind w:left="22"/>
              <w:spacing w:after="0"/>
              <w:rPr>
                <w:sz w:val="20"/>
                <w:szCs w:val="20"/>
                <w:color w:val="auto"/>
              </w:rPr>
            </w:pPr>
            <w:r>
              <w:rPr>
                <w:rFonts w:ascii="Arial" w:cs="Arial" w:eastAsia="Arial" w:hAnsi="Arial"/>
                <w:sz w:val="20"/>
                <w:szCs w:val="20"/>
                <w:color w:val="3E3935"/>
                <w:w w:val="95"/>
              </w:rPr>
              <w:t>Tesla, Inc.</w:t>
            </w:r>
          </w:p>
        </w:tc>
        <w:tc>
          <w:tcPr>
            <w:tcW w:w="0" w:type="dxa"/>
            <w:vAlign w:val="bottom"/>
          </w:tcPr>
          <w:p>
            <w:pPr>
              <w:spacing w:after="0"/>
              <w:rPr>
                <w:sz w:val="1"/>
                <w:szCs w:val="1"/>
                <w:color w:val="auto"/>
              </w:rPr>
            </w:pPr>
          </w:p>
        </w:tc>
      </w:tr>
      <w:tr>
        <w:trPr>
          <w:trHeight w:val="76"/>
        </w:trPr>
        <w:tc>
          <w:tcPr>
            <w:tcW w:w="3040" w:type="dxa"/>
            <w:vAlign w:val="bottom"/>
            <w:tcBorders>
              <w:bottom w:val="single" w:sz="8" w:color="3E3935"/>
            </w:tcBorders>
          </w:tcPr>
          <w:p>
            <w:pPr>
              <w:spacing w:after="0"/>
              <w:rPr>
                <w:sz w:val="6"/>
                <w:szCs w:val="6"/>
                <w:color w:val="auto"/>
              </w:rPr>
            </w:pPr>
          </w:p>
        </w:tc>
        <w:tc>
          <w:tcPr>
            <w:tcW w:w="2920" w:type="dxa"/>
            <w:vAlign w:val="bottom"/>
            <w:tcBorders>
              <w:bottom w:val="single" w:sz="8" w:color="3E3935"/>
            </w:tcBorders>
          </w:tcPr>
          <w:p>
            <w:pPr>
              <w:spacing w:after="0"/>
              <w:rPr>
                <w:sz w:val="6"/>
                <w:szCs w:val="6"/>
                <w:color w:val="auto"/>
              </w:rPr>
            </w:pPr>
          </w:p>
        </w:tc>
        <w:tc>
          <w:tcPr>
            <w:tcW w:w="2560" w:type="dxa"/>
            <w:vAlign w:val="bottom"/>
            <w:tcBorders>
              <w:bottom w:val="single" w:sz="8" w:color="3E3935"/>
            </w:tcBorders>
          </w:tcPr>
          <w:p>
            <w:pPr>
              <w:spacing w:after="0"/>
              <w:rPr>
                <w:sz w:val="6"/>
                <w:szCs w:val="6"/>
                <w:color w:val="auto"/>
              </w:rPr>
            </w:pPr>
          </w:p>
        </w:tc>
        <w:tc>
          <w:tcPr>
            <w:tcW w:w="24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3040" w:type="dxa"/>
            <w:vAlign w:val="bottom"/>
          </w:tcPr>
          <w:p>
            <w:pPr>
              <w:jc w:val="center"/>
              <w:spacing w:after="0"/>
              <w:rPr>
                <w:sz w:val="20"/>
                <w:szCs w:val="20"/>
                <w:color w:val="auto"/>
              </w:rPr>
            </w:pPr>
            <w:r>
              <w:rPr>
                <w:rFonts w:ascii="Arial" w:cs="Arial" w:eastAsia="Arial" w:hAnsi="Arial"/>
                <w:sz w:val="20"/>
                <w:szCs w:val="20"/>
                <w:color w:val="3E3935"/>
                <w:w w:val="97"/>
              </w:rPr>
              <w:t>Fiat Chrysler</w:t>
            </w:r>
          </w:p>
        </w:tc>
        <w:tc>
          <w:tcPr>
            <w:tcW w:w="2920" w:type="dxa"/>
            <w:vAlign w:val="bottom"/>
            <w:vMerge w:val="restart"/>
          </w:tcPr>
          <w:p>
            <w:pPr>
              <w:jc w:val="center"/>
              <w:spacing w:after="0"/>
              <w:rPr>
                <w:sz w:val="20"/>
                <w:szCs w:val="20"/>
                <w:color w:val="auto"/>
              </w:rPr>
            </w:pPr>
            <w:r>
              <w:rPr>
                <w:rFonts w:ascii="Arial" w:cs="Arial" w:eastAsia="Arial" w:hAnsi="Arial"/>
                <w:sz w:val="20"/>
                <w:szCs w:val="20"/>
                <w:color w:val="3E3935"/>
                <w:w w:val="98"/>
              </w:rPr>
              <w:t>Kia Motors Corp.</w:t>
            </w:r>
          </w:p>
        </w:tc>
        <w:tc>
          <w:tcPr>
            <w:tcW w:w="2560" w:type="dxa"/>
            <w:vAlign w:val="bottom"/>
            <w:vMerge w:val="restart"/>
          </w:tcPr>
          <w:p>
            <w:pPr>
              <w:jc w:val="center"/>
              <w:ind w:left="162"/>
              <w:spacing w:after="0"/>
              <w:rPr>
                <w:sz w:val="20"/>
                <w:szCs w:val="20"/>
                <w:color w:val="auto"/>
              </w:rPr>
            </w:pPr>
            <w:r>
              <w:rPr>
                <w:rFonts w:ascii="Arial" w:cs="Arial" w:eastAsia="Arial" w:hAnsi="Arial"/>
                <w:sz w:val="20"/>
                <w:szCs w:val="20"/>
                <w:color w:val="3E3935"/>
                <w:w w:val="96"/>
              </w:rPr>
              <w:t>Renault SA</w:t>
            </w:r>
          </w:p>
        </w:tc>
        <w:tc>
          <w:tcPr>
            <w:tcW w:w="2400" w:type="dxa"/>
            <w:vAlign w:val="bottom"/>
            <w:vMerge w:val="restart"/>
          </w:tcPr>
          <w:p>
            <w:pPr>
              <w:jc w:val="center"/>
              <w:ind w:left="22"/>
              <w:spacing w:after="0"/>
              <w:rPr>
                <w:sz w:val="20"/>
                <w:szCs w:val="20"/>
                <w:color w:val="auto"/>
              </w:rPr>
            </w:pPr>
            <w:r>
              <w:rPr>
                <w:rFonts w:ascii="Arial" w:cs="Arial" w:eastAsia="Arial" w:hAnsi="Arial"/>
                <w:sz w:val="20"/>
                <w:szCs w:val="20"/>
                <w:color w:val="3E3935"/>
                <w:w w:val="97"/>
              </w:rPr>
              <w:t>Toyota Motor Company</w:t>
            </w:r>
          </w:p>
        </w:tc>
        <w:tc>
          <w:tcPr>
            <w:tcW w:w="0" w:type="dxa"/>
            <w:vAlign w:val="bottom"/>
          </w:tcPr>
          <w:p>
            <w:pPr>
              <w:spacing w:after="0"/>
              <w:rPr>
                <w:sz w:val="1"/>
                <w:szCs w:val="1"/>
                <w:color w:val="auto"/>
              </w:rPr>
            </w:pPr>
          </w:p>
        </w:tc>
      </w:tr>
      <w:tr>
        <w:trPr>
          <w:trHeight w:val="129"/>
        </w:trPr>
        <w:tc>
          <w:tcPr>
            <w:tcW w:w="3040" w:type="dxa"/>
            <w:vAlign w:val="bottom"/>
            <w:vMerge w:val="restart"/>
          </w:tcPr>
          <w:p>
            <w:pPr>
              <w:jc w:val="center"/>
              <w:spacing w:after="0"/>
              <w:rPr>
                <w:sz w:val="20"/>
                <w:szCs w:val="20"/>
                <w:color w:val="auto"/>
              </w:rPr>
            </w:pPr>
            <w:r>
              <w:rPr>
                <w:rFonts w:ascii="Arial" w:cs="Arial" w:eastAsia="Arial" w:hAnsi="Arial"/>
                <w:sz w:val="20"/>
                <w:szCs w:val="20"/>
                <w:color w:val="3E3935"/>
                <w:w w:val="99"/>
              </w:rPr>
              <w:t>Automobiles NV</w:t>
            </w:r>
            <w:r>
              <w:rPr>
                <w:rFonts w:ascii="Arial" w:cs="Arial" w:eastAsia="Arial" w:hAnsi="Arial"/>
                <w:sz w:val="16"/>
                <w:szCs w:val="16"/>
                <w:color w:val="3E3935"/>
                <w:w w:val="99"/>
              </w:rPr>
              <w:t>(2)</w:t>
            </w:r>
          </w:p>
        </w:tc>
        <w:tc>
          <w:tcPr>
            <w:tcW w:w="292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04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040" w:type="dxa"/>
            <w:vAlign w:val="bottom"/>
            <w:tcBorders>
              <w:bottom w:val="single" w:sz="8" w:color="3E3935"/>
            </w:tcBorders>
          </w:tcPr>
          <w:p>
            <w:pPr>
              <w:spacing w:after="0"/>
              <w:rPr>
                <w:sz w:val="6"/>
                <w:szCs w:val="6"/>
                <w:color w:val="auto"/>
              </w:rPr>
            </w:pPr>
          </w:p>
        </w:tc>
        <w:tc>
          <w:tcPr>
            <w:tcW w:w="2920" w:type="dxa"/>
            <w:vAlign w:val="bottom"/>
            <w:tcBorders>
              <w:bottom w:val="single" w:sz="8" w:color="3E3935"/>
            </w:tcBorders>
          </w:tcPr>
          <w:p>
            <w:pPr>
              <w:spacing w:after="0"/>
              <w:rPr>
                <w:sz w:val="6"/>
                <w:szCs w:val="6"/>
                <w:color w:val="auto"/>
              </w:rPr>
            </w:pPr>
          </w:p>
        </w:tc>
        <w:tc>
          <w:tcPr>
            <w:tcW w:w="2560" w:type="dxa"/>
            <w:vAlign w:val="bottom"/>
            <w:tcBorders>
              <w:bottom w:val="single" w:sz="8" w:color="3E3935"/>
            </w:tcBorders>
          </w:tcPr>
          <w:p>
            <w:pPr>
              <w:spacing w:after="0"/>
              <w:rPr>
                <w:sz w:val="6"/>
                <w:szCs w:val="6"/>
                <w:color w:val="auto"/>
              </w:rPr>
            </w:pPr>
          </w:p>
        </w:tc>
        <w:tc>
          <w:tcPr>
            <w:tcW w:w="240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3040" w:type="dxa"/>
            <w:vAlign w:val="bottom"/>
          </w:tcPr>
          <w:p>
            <w:pPr>
              <w:jc w:val="center"/>
              <w:spacing w:after="0"/>
              <w:rPr>
                <w:sz w:val="20"/>
                <w:szCs w:val="20"/>
                <w:color w:val="auto"/>
              </w:rPr>
            </w:pPr>
            <w:r>
              <w:rPr>
                <w:rFonts w:ascii="Arial" w:cs="Arial" w:eastAsia="Arial" w:hAnsi="Arial"/>
                <w:sz w:val="20"/>
                <w:szCs w:val="20"/>
                <w:color w:val="3E3935"/>
                <w:w w:val="98"/>
              </w:rPr>
              <w:t>Ford Motor Company</w:t>
            </w:r>
          </w:p>
        </w:tc>
        <w:tc>
          <w:tcPr>
            <w:tcW w:w="2920" w:type="dxa"/>
            <w:vAlign w:val="bottom"/>
          </w:tcPr>
          <w:p>
            <w:pPr>
              <w:jc w:val="center"/>
              <w:spacing w:after="0"/>
              <w:rPr>
                <w:sz w:val="20"/>
                <w:szCs w:val="20"/>
                <w:color w:val="auto"/>
              </w:rPr>
            </w:pPr>
            <w:r>
              <w:rPr>
                <w:rFonts w:ascii="Arial" w:cs="Arial" w:eastAsia="Arial" w:hAnsi="Arial"/>
                <w:sz w:val="20"/>
                <w:szCs w:val="20"/>
                <w:color w:val="3E3935"/>
                <w:w w:val="98"/>
              </w:rPr>
              <w:t>Mazda Motor Corp.</w:t>
            </w:r>
          </w:p>
        </w:tc>
        <w:tc>
          <w:tcPr>
            <w:tcW w:w="2560" w:type="dxa"/>
            <w:vAlign w:val="bottom"/>
          </w:tcPr>
          <w:p>
            <w:pPr>
              <w:jc w:val="center"/>
              <w:ind w:left="162"/>
              <w:spacing w:after="0"/>
              <w:rPr>
                <w:sz w:val="20"/>
                <w:szCs w:val="20"/>
                <w:color w:val="auto"/>
              </w:rPr>
            </w:pPr>
            <w:r>
              <w:rPr>
                <w:rFonts w:ascii="Arial" w:cs="Arial" w:eastAsia="Arial" w:hAnsi="Arial"/>
                <w:sz w:val="20"/>
                <w:szCs w:val="20"/>
                <w:color w:val="3E3935"/>
                <w:w w:val="99"/>
              </w:rPr>
              <w:t>Subaru Corp.</w:t>
            </w:r>
          </w:p>
        </w:tc>
        <w:tc>
          <w:tcPr>
            <w:tcW w:w="2400" w:type="dxa"/>
            <w:vAlign w:val="bottom"/>
          </w:tcPr>
          <w:p>
            <w:pPr>
              <w:jc w:val="center"/>
              <w:ind w:left="2"/>
              <w:spacing w:after="0"/>
              <w:rPr>
                <w:sz w:val="20"/>
                <w:szCs w:val="20"/>
                <w:color w:val="auto"/>
              </w:rPr>
            </w:pPr>
            <w:r>
              <w:rPr>
                <w:rFonts w:ascii="Arial" w:cs="Arial" w:eastAsia="Arial" w:hAnsi="Arial"/>
                <w:sz w:val="20"/>
                <w:szCs w:val="20"/>
                <w:color w:val="3E3935"/>
                <w:w w:val="96"/>
              </w:rPr>
              <w:t>Volkswagen AG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1" w:lineRule="exact"/>
        <w:rPr>
          <w:sz w:val="20"/>
          <w:szCs w:val="20"/>
          <w:color w:val="auto"/>
        </w:rPr>
      </w:pPr>
    </w:p>
    <w:p>
      <w:pPr>
        <w:ind w:left="600" w:hanging="433"/>
        <w:spacing w:after="0" w:line="260" w:lineRule="auto"/>
        <w:tabs>
          <w:tab w:leader="none" w:pos="600" w:val="left"/>
        </w:tabs>
        <w:numPr>
          <w:ilvl w:val="0"/>
          <w:numId w:val="64"/>
        </w:numPr>
        <w:rPr>
          <w:rFonts w:ascii="Arial" w:cs="Arial" w:eastAsia="Arial" w:hAnsi="Arial"/>
          <w:sz w:val="18"/>
          <w:szCs w:val="18"/>
          <w:i w:val="1"/>
          <w:iCs w:val="1"/>
          <w:color w:val="3E3935"/>
        </w:rPr>
      </w:pPr>
      <w:r>
        <w:rPr>
          <w:rFonts w:ascii="Arial" w:cs="Arial" w:eastAsia="Arial" w:hAnsi="Arial"/>
          <w:sz w:val="18"/>
          <w:szCs w:val="18"/>
          <w:i w:val="1"/>
          <w:iCs w:val="1"/>
          <w:color w:val="3E3935"/>
        </w:rPr>
        <w:t>GM is a member of the Dow Jones Automobiles &amp; Parts Titans 30 Index. Our performance is determined on a continuous ranking for performance relative to the OEM peer group following the completion of the performance period.</w:t>
      </w:r>
    </w:p>
    <w:p>
      <w:pPr>
        <w:spacing w:after="0" w:line="32" w:lineRule="exact"/>
        <w:rPr>
          <w:rFonts w:ascii="Arial" w:cs="Arial" w:eastAsia="Arial" w:hAnsi="Arial"/>
          <w:sz w:val="18"/>
          <w:szCs w:val="18"/>
          <w:i w:val="1"/>
          <w:iCs w:val="1"/>
          <w:color w:val="3E3935"/>
        </w:rPr>
      </w:pPr>
    </w:p>
    <w:p>
      <w:pPr>
        <w:ind w:left="600" w:hanging="433"/>
        <w:spacing w:after="0"/>
        <w:tabs>
          <w:tab w:leader="none" w:pos="600" w:val="left"/>
        </w:tabs>
        <w:numPr>
          <w:ilvl w:val="0"/>
          <w:numId w:val="64"/>
        </w:numPr>
        <w:rPr>
          <w:rFonts w:ascii="Arial" w:cs="Arial" w:eastAsia="Arial" w:hAnsi="Arial"/>
          <w:sz w:val="18"/>
          <w:szCs w:val="18"/>
          <w:i w:val="1"/>
          <w:iCs w:val="1"/>
          <w:color w:val="3E3935"/>
        </w:rPr>
      </w:pPr>
      <w:r>
        <w:rPr>
          <w:rFonts w:ascii="Arial" w:cs="Arial" w:eastAsia="Arial" w:hAnsi="Arial"/>
          <w:sz w:val="18"/>
          <w:szCs w:val="18"/>
          <w:i w:val="1"/>
          <w:iCs w:val="1"/>
          <w:color w:val="3E3935"/>
        </w:rPr>
        <w:t>Fiat Chrysler Automobiles NV and Peugeot SA merged on January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101600</wp:posOffset>
            </wp:positionV>
            <wp:extent cx="5927725" cy="1016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4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46</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65"/>
        </w:numPr>
        <w:rPr>
          <w:rFonts w:ascii="Arial" w:cs="Arial" w:eastAsia="Arial" w:hAnsi="Arial"/>
          <w:sz w:val="21"/>
          <w:szCs w:val="21"/>
          <w:color w:val="0071CE"/>
        </w:rPr>
      </w:pPr>
      <w:r>
        <w:rPr>
          <w:rFonts w:ascii="Arial" w:cs="Arial" w:eastAsia="Arial" w:hAnsi="Arial"/>
          <w:sz w:val="25"/>
          <w:szCs w:val="25"/>
          <w:color w:val="3E3935"/>
        </w:rPr>
        <w:t>Peer Group for Compensation Comparisons</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Compensation Committee annually reviews the peer group for compensation comparisons and makes updates as needed to align with both the established criteria and Company strategy. We do not limit the peer group to our industry alone because we believe compensation practices for NEOs at other large U.S.-based multinational companies affect our ability to attract and retain diverse talent around the globe.</w:t>
      </w:r>
    </w:p>
    <w:p>
      <w:pPr>
        <w:spacing w:after="0" w:line="12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Compensation Committee considered the following factors when selecting the peer group used to inform 2020 target compensation levels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142240</wp:posOffset>
            </wp:positionV>
            <wp:extent cx="6454140" cy="38982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54140" cy="389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right="20" w:hanging="433"/>
        <w:spacing w:after="0" w:line="260" w:lineRule="auto"/>
        <w:tabs>
          <w:tab w:leader="none" w:pos="600" w:val="left"/>
        </w:tabs>
        <w:numPr>
          <w:ilvl w:val="0"/>
          <w:numId w:val="66"/>
        </w:numPr>
        <w:rPr>
          <w:rFonts w:ascii="Arial" w:cs="Arial" w:eastAsia="Arial" w:hAnsi="Arial"/>
          <w:sz w:val="18"/>
          <w:szCs w:val="18"/>
          <w:i w:val="1"/>
          <w:iCs w:val="1"/>
          <w:color w:val="3E3935"/>
        </w:rPr>
      </w:pPr>
      <w:r>
        <w:rPr>
          <w:rFonts w:ascii="Arial" w:cs="Arial" w:eastAsia="Arial" w:hAnsi="Arial"/>
          <w:sz w:val="18"/>
          <w:szCs w:val="18"/>
          <w:i w:val="1"/>
          <w:iCs w:val="1"/>
          <w:color w:val="3E3935"/>
        </w:rPr>
        <w:t>United Technologies merged with Raytheon on April 3, 2020, forming Raytheon Technologies. United Technologies’ compensation data prior to the merger was used for 2020 compensation peer group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134620</wp:posOffset>
            </wp:positionV>
            <wp:extent cx="5910580" cy="15119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10580"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00" w:hanging="533"/>
        <w:spacing w:after="0"/>
        <w:tabs>
          <w:tab w:leader="none" w:pos="700" w:val="left"/>
        </w:tabs>
        <w:numPr>
          <w:ilvl w:val="0"/>
          <w:numId w:val="67"/>
        </w:numPr>
        <w:rPr>
          <w:rFonts w:ascii="Arial" w:cs="Arial" w:eastAsia="Arial" w:hAnsi="Arial"/>
          <w:sz w:val="21"/>
          <w:szCs w:val="21"/>
          <w:color w:val="0071CE"/>
        </w:rPr>
      </w:pPr>
      <w:r>
        <w:rPr>
          <w:rFonts w:ascii="Arial" w:cs="Arial" w:eastAsia="Arial" w:hAnsi="Arial"/>
          <w:sz w:val="25"/>
          <w:szCs w:val="25"/>
          <w:color w:val="3E3935"/>
        </w:rPr>
        <w:t>How We Use Comparator Data to Assess Compensation</w:t>
      </w:r>
    </w:p>
    <w:p>
      <w:pPr>
        <w:spacing w:after="0" w:line="13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We benchmark pay practices and compensation levels against the proxy statement disclosures of our peer group. In addition, we use executive compensation surveys to benchmark relevant market data for executive positions and adjust this data to reflect GM’s size and market-expected compensation trends. Furthermore, the Compensation Committee reviews an analysis completed by its independent compensation consultant of the competitive position of each of our executives relative to its benchmark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84455</wp:posOffset>
            </wp:positionV>
            <wp:extent cx="5927725" cy="1016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47</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We review each element of compensation compared with the market and generally target each element of our total direct compensation (base salary, STIP, and LTIP) for the executive group to be on average at or near the market median. An individual element or an individual’s total direct compensation may be positioned above or below the market median due to such considerations as specific responsibilities, experience, and performance.</w:t>
      </w:r>
    </w:p>
    <w:p>
      <w:pPr>
        <w:spacing w:after="0" w:line="321" w:lineRule="exact"/>
        <w:rPr>
          <w:sz w:val="20"/>
          <w:szCs w:val="20"/>
          <w:color w:val="auto"/>
        </w:rPr>
      </w:pPr>
    </w:p>
    <w:p>
      <w:pPr>
        <w:ind w:left="700" w:hanging="533"/>
        <w:spacing w:after="0"/>
        <w:tabs>
          <w:tab w:leader="none" w:pos="700" w:val="left"/>
        </w:tabs>
        <w:numPr>
          <w:ilvl w:val="0"/>
          <w:numId w:val="68"/>
        </w:numPr>
        <w:rPr>
          <w:rFonts w:ascii="Arial" w:cs="Arial" w:eastAsia="Arial" w:hAnsi="Arial"/>
          <w:sz w:val="21"/>
          <w:szCs w:val="21"/>
          <w:color w:val="0071CE"/>
        </w:rPr>
      </w:pPr>
      <w:r>
        <w:rPr>
          <w:rFonts w:ascii="Arial" w:cs="Arial" w:eastAsia="Arial" w:hAnsi="Arial"/>
          <w:sz w:val="25"/>
          <w:szCs w:val="25"/>
          <w:color w:val="3E3935"/>
        </w:rPr>
        <w:t>How We 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156210</wp:posOffset>
            </wp:positionV>
            <wp:extent cx="5061585" cy="1409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6158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hanging="533"/>
        <w:spacing w:after="0"/>
        <w:tabs>
          <w:tab w:leader="none" w:pos="700" w:val="left"/>
        </w:tabs>
        <w:numPr>
          <w:ilvl w:val="0"/>
          <w:numId w:val="69"/>
        </w:numPr>
        <w:rPr>
          <w:rFonts w:ascii="Arial" w:cs="Arial" w:eastAsia="Arial" w:hAnsi="Arial"/>
          <w:sz w:val="21"/>
          <w:szCs w:val="21"/>
          <w:color w:val="0071CE"/>
        </w:rPr>
      </w:pPr>
      <w:r>
        <w:rPr>
          <w:rFonts w:ascii="Arial" w:cs="Arial" w:eastAsia="Arial" w:hAnsi="Arial"/>
          <w:sz w:val="25"/>
          <w:szCs w:val="25"/>
          <w:color w:val="3E3935"/>
        </w:rPr>
        <w:t>Performance-Based Compensation Structure</w:t>
      </w:r>
    </w:p>
    <w:p>
      <w:pPr>
        <w:spacing w:after="0" w:line="14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Our incentive plans are designed to optimize long-term financial returns for our shareholders and reward our NEOs for delivering on the Company’s vision and strategy of zero crashes, zero emissions, and zero congestion. The performance-based structure for 2020 incorporated short-term and long-term incentives tied to financial and operational measures to drive Company performance for fiscal year 2020 and beyond. The Compensation Committee believes a majority of the compensation opportunity should be in the form of equity to align the interests of executives with those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144145</wp:posOffset>
            </wp:positionV>
            <wp:extent cx="6182360" cy="29895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82360" cy="298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48</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Principles</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The compensation provided to our senior leaders is guided by pay-for-performance and the following principles:</w:t>
      </w:r>
    </w:p>
    <w:p>
      <w:pPr>
        <w:spacing w:after="0" w:line="103"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Align with Shareholders </w:t>
      </w:r>
      <w:r>
        <w:rPr>
          <w:rFonts w:ascii="Arial" w:cs="Arial" w:eastAsia="Arial" w:hAnsi="Arial"/>
          <w:sz w:val="20"/>
          <w:szCs w:val="20"/>
          <w:color w:val="3E3935"/>
        </w:rPr>
        <w:t>– Compensation paid should</w:t>
      </w:r>
      <w:r>
        <w:rPr>
          <w:rFonts w:ascii="Arial" w:cs="Arial" w:eastAsia="Arial" w:hAnsi="Arial"/>
          <w:sz w:val="20"/>
          <w:szCs w:val="20"/>
          <w:b w:val="1"/>
          <w:bCs w:val="1"/>
          <w:color w:val="0071CE"/>
        </w:rPr>
        <w:t xml:space="preserve"> </w:t>
      </w:r>
      <w:r>
        <w:rPr>
          <w:rFonts w:ascii="Arial" w:cs="Arial" w:eastAsia="Arial" w:hAnsi="Arial"/>
          <w:sz w:val="20"/>
          <w:szCs w:val="20"/>
          <w:color w:val="3E3935"/>
        </w:rPr>
        <w:t>align directly with the long-term interests of our shareholders, and our executives should share with them in the performance and value of our common stock.</w:t>
      </w:r>
    </w:p>
    <w:p>
      <w:pPr>
        <w:spacing w:after="0" w:line="10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Enable Company Strategy </w:t>
      </w:r>
      <w:r>
        <w:rPr>
          <w:rFonts w:ascii="Arial" w:cs="Arial" w:eastAsia="Arial" w:hAnsi="Arial"/>
          <w:sz w:val="20"/>
          <w:szCs w:val="20"/>
          <w:color w:val="3E3935"/>
        </w:rPr>
        <w:t>– Compensation should be</w:t>
      </w:r>
      <w:r>
        <w:rPr>
          <w:rFonts w:ascii="Arial" w:cs="Arial" w:eastAsia="Arial" w:hAnsi="Arial"/>
          <w:sz w:val="20"/>
          <w:szCs w:val="20"/>
          <w:b w:val="1"/>
          <w:bCs w:val="1"/>
          <w:color w:val="0071CE"/>
        </w:rPr>
        <w:t xml:space="preserve"> </w:t>
      </w:r>
      <w:r>
        <w:rPr>
          <w:rFonts w:ascii="Arial" w:cs="Arial" w:eastAsia="Arial" w:hAnsi="Arial"/>
          <w:sz w:val="20"/>
          <w:szCs w:val="20"/>
          <w:color w:val="3E3935"/>
        </w:rPr>
        <w:t>based on challenging Company performance and strategic goals, which are within our executives’ control, and reward performance aligned with GM’s strategy, values, and expected behaviors.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0071CE"/>
        </w:rPr>
        <w:t xml:space="preserve">Market Competitive </w:t>
      </w:r>
      <w:r>
        <w:rPr>
          <w:rFonts w:ascii="Arial" w:cs="Arial" w:eastAsia="Arial" w:hAnsi="Arial"/>
          <w:sz w:val="20"/>
          <w:szCs w:val="20"/>
          <w:color w:val="3E3935"/>
        </w:rPr>
        <w:t>– Target compensation should have an</w:t>
      </w:r>
      <w:r>
        <w:rPr>
          <w:rFonts w:ascii="Arial" w:cs="Arial" w:eastAsia="Arial" w:hAnsi="Arial"/>
          <w:sz w:val="20"/>
          <w:szCs w:val="20"/>
          <w:b w:val="1"/>
          <w:bCs w:val="1"/>
          <w:color w:val="0071CE"/>
        </w:rPr>
        <w:t xml:space="preserve"> </w:t>
      </w:r>
      <w:r>
        <w:rPr>
          <w:rFonts w:ascii="Arial" w:cs="Arial" w:eastAsia="Arial" w:hAnsi="Arial"/>
          <w:sz w:val="20"/>
          <w:szCs w:val="20"/>
          <w:color w:val="3E3935"/>
        </w:rPr>
        <w:t>appropriate mix of short-term and long-term pay elements and should be competitive (market median) with that paid to individuals at peer group companies so that it attracts, motivates, and retains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-1579245</wp:posOffset>
            </wp:positionV>
            <wp:extent cx="717613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0071CE"/>
        </w:rPr>
        <w:t xml:space="preserve">Avoid Excessive Risk Taking </w:t>
      </w:r>
      <w:r>
        <w:rPr>
          <w:rFonts w:ascii="Arial" w:cs="Arial" w:eastAsia="Arial" w:hAnsi="Arial"/>
          <w:sz w:val="20"/>
          <w:szCs w:val="20"/>
          <w:color w:val="3E3935"/>
        </w:rPr>
        <w:t>– Compensation structure</w:t>
      </w:r>
      <w:r>
        <w:rPr>
          <w:rFonts w:ascii="Arial" w:cs="Arial" w:eastAsia="Arial" w:hAnsi="Arial"/>
          <w:sz w:val="20"/>
          <w:szCs w:val="20"/>
          <w:b w:val="1"/>
          <w:bCs w:val="1"/>
          <w:color w:val="0071CE"/>
        </w:rPr>
        <w:t xml:space="preserve"> </w:t>
      </w:r>
      <w:r>
        <w:rPr>
          <w:rFonts w:ascii="Arial" w:cs="Arial" w:eastAsia="Arial" w:hAnsi="Arial"/>
          <w:sz w:val="20"/>
          <w:szCs w:val="20"/>
          <w:color w:val="3E3935"/>
        </w:rPr>
        <w:t>should avoid incentivizing unnecessary and excessive risk taking.</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0071CE"/>
        </w:rPr>
        <w:t xml:space="preserve">Simple Design </w:t>
      </w:r>
      <w:r>
        <w:rPr>
          <w:rFonts w:ascii="Arial" w:cs="Arial" w:eastAsia="Arial" w:hAnsi="Arial"/>
          <w:sz w:val="20"/>
          <w:szCs w:val="20"/>
          <w:color w:val="3E3935"/>
        </w:rPr>
        <w:t>– Compensation plans should be easy to</w:t>
      </w:r>
      <w:r>
        <w:rPr>
          <w:rFonts w:ascii="Arial" w:cs="Arial" w:eastAsia="Arial" w:hAnsi="Arial"/>
          <w:sz w:val="20"/>
          <w:szCs w:val="20"/>
          <w:b w:val="1"/>
          <w:bCs w:val="1"/>
          <w:color w:val="0071CE"/>
        </w:rPr>
        <w:t xml:space="preserve"> </w:t>
      </w:r>
      <w:r>
        <w:rPr>
          <w:rFonts w:ascii="Arial" w:cs="Arial" w:eastAsia="Arial" w:hAnsi="Arial"/>
          <w:sz w:val="20"/>
          <w:szCs w:val="20"/>
          <w:color w:val="3E3935"/>
        </w:rPr>
        <w:t>understand and communicate and minimize unintended consequences.</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Elements</w:t>
      </w:r>
    </w:p>
    <w:p>
      <w:pPr>
        <w:spacing w:after="0" w:line="155" w:lineRule="exact"/>
        <w:rPr>
          <w:sz w:val="20"/>
          <w:szCs w:val="20"/>
          <w:color w:val="auto"/>
        </w:rPr>
      </w:pPr>
    </w:p>
    <w:p>
      <w:pPr>
        <w:ind w:left="700" w:hanging="533"/>
        <w:spacing w:after="0"/>
        <w:tabs>
          <w:tab w:leader="none" w:pos="700" w:val="left"/>
        </w:tabs>
        <w:numPr>
          <w:ilvl w:val="0"/>
          <w:numId w:val="70"/>
        </w:numPr>
        <w:rPr>
          <w:rFonts w:ascii="Arial" w:cs="Arial" w:eastAsia="Arial" w:hAnsi="Arial"/>
          <w:sz w:val="21"/>
          <w:szCs w:val="21"/>
          <w:color w:val="0071CE"/>
        </w:rPr>
      </w:pPr>
      <w:r>
        <w:rPr>
          <w:rFonts w:ascii="Arial" w:cs="Arial" w:eastAsia="Arial" w:hAnsi="Arial"/>
          <w:sz w:val="25"/>
          <w:szCs w:val="25"/>
          <w:color w:val="3E3935"/>
        </w:rPr>
        <w:t>Compensation Structure</w:t>
      </w:r>
    </w:p>
    <w:p>
      <w:pPr>
        <w:spacing w:after="0" w:line="149"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2020 compensation structure is market competitive with each pay element targeted at or near the market median and includes the following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142240</wp:posOffset>
            </wp:positionV>
            <wp:extent cx="5868035" cy="27686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6803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0" w:hanging="433"/>
        <w:spacing w:after="0" w:line="260" w:lineRule="auto"/>
        <w:tabs>
          <w:tab w:leader="none" w:pos="600" w:val="left"/>
        </w:tabs>
        <w:numPr>
          <w:ilvl w:val="0"/>
          <w:numId w:val="71"/>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 and Relative TSR is capped at target if GM’s TSR is negative over the performance period.</w:t>
      </w:r>
    </w:p>
    <w:p>
      <w:pPr>
        <w:spacing w:after="0" w:line="214" w:lineRule="exact"/>
        <w:rPr>
          <w:sz w:val="20"/>
          <w:szCs w:val="20"/>
          <w:color w:val="auto"/>
        </w:rPr>
      </w:pPr>
    </w:p>
    <w:p>
      <w:pPr>
        <w:ind w:left="700" w:hanging="533"/>
        <w:spacing w:after="0"/>
        <w:tabs>
          <w:tab w:leader="none" w:pos="700" w:val="left"/>
        </w:tabs>
        <w:numPr>
          <w:ilvl w:val="0"/>
          <w:numId w:val="72"/>
        </w:numPr>
        <w:rPr>
          <w:rFonts w:ascii="Arial" w:cs="Arial" w:eastAsia="Arial" w:hAnsi="Arial"/>
          <w:sz w:val="21"/>
          <w:szCs w:val="21"/>
          <w:color w:val="0071CE"/>
        </w:rPr>
      </w:pPr>
      <w:r>
        <w:rPr>
          <w:rFonts w:ascii="Arial" w:cs="Arial" w:eastAsia="Arial" w:hAnsi="Arial"/>
          <w:sz w:val="25"/>
          <w:szCs w:val="25"/>
          <w:color w:val="3E3935"/>
        </w:rPr>
        <w:t>Perquisites and Other Compensation</w:t>
      </w:r>
    </w:p>
    <w:p>
      <w:pPr>
        <w:spacing w:after="0" w:line="149"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We provide perquisites and other compensation to our NEOs consistent with market practices. The following perquisites and other compensation were provided in 2020.</w:t>
      </w:r>
    </w:p>
    <w:p>
      <w:pPr>
        <w:spacing w:after="0" w:line="89"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71CE"/>
        </w:rPr>
        <w:t xml:space="preserve">Personal Air Travel </w:t>
      </w:r>
      <w:r>
        <w:rPr>
          <w:rFonts w:ascii="Arial" w:cs="Arial" w:eastAsia="Arial" w:hAnsi="Arial"/>
          <w:sz w:val="20"/>
          <w:szCs w:val="20"/>
          <w:color w:val="3E3935"/>
        </w:rPr>
        <w:t>– Ms. Barra is prohibited by Company policy from commercial air travel for business and personal use</w:t>
      </w:r>
      <w:r>
        <w:rPr>
          <w:rFonts w:ascii="Arial" w:cs="Arial" w:eastAsia="Arial" w:hAnsi="Arial"/>
          <w:sz w:val="20"/>
          <w:szCs w:val="20"/>
          <w:b w:val="1"/>
          <w:bCs w:val="1"/>
          <w:color w:val="0071CE"/>
        </w:rPr>
        <w:t xml:space="preserve"> </w:t>
      </w:r>
      <w:r>
        <w:rPr>
          <w:rFonts w:ascii="Arial" w:cs="Arial" w:eastAsia="Arial" w:hAnsi="Arial"/>
          <w:sz w:val="20"/>
          <w:szCs w:val="20"/>
          <w:color w:val="3E3935"/>
        </w:rPr>
        <w:t>due to security reasons identified by an independent third-party security consultant.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73660</wp:posOffset>
            </wp:positionV>
            <wp:extent cx="5927725" cy="1016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49</w:t>
      </w:r>
    </w:p>
    <w:p>
      <w:pPr>
        <w:sectPr>
          <w:pgSz w:w="11900" w:h="16838" w:orient="portrait"/>
          <w:cols w:equalWidth="0" w:num="1">
            <w:col w:w="11080"/>
          </w:cols>
          <w:pgMar w:left="320" w:top="456" w:right="49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a result, the Company pays the costs associated with the use of aircraft for both business and personal use. Other NEOs may travel on company aircraft in certain circumstances with prior approval from the CEO or the Senior Vice President, Global Human Resources. No NEOs, other than the CEO, had personal use of aircraft in 2020. All NEOs, including our CEO, incur imputed income when aircraft is used for personal travel and do not receive any tax gross-ups. NEOs may be eligible to reimburse personal travel pursuant to time-sharing agreements that the Company may enter into from time-to-time, subject to Federal Aviation Administration regulations.</w:t>
      </w:r>
    </w:p>
    <w:p>
      <w:pPr>
        <w:spacing w:after="0" w:line="102"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20"/>
          <w:szCs w:val="20"/>
          <w:b w:val="1"/>
          <w:bCs w:val="1"/>
          <w:color w:val="0071CE"/>
        </w:rPr>
        <w:t xml:space="preserve">Company Vehicle Programs </w:t>
      </w:r>
      <w:r>
        <w:rPr>
          <w:rFonts w:ascii="Arial" w:cs="Arial" w:eastAsia="Arial" w:hAnsi="Arial"/>
          <w:sz w:val="20"/>
          <w:szCs w:val="20"/>
          <w:color w:val="3E3935"/>
        </w:rPr>
        <w:t>– NEOs are eligible to participate in the Executive Company Vehicle Program and may use</w:t>
      </w:r>
      <w:r>
        <w:rPr>
          <w:rFonts w:ascii="Arial" w:cs="Arial" w:eastAsia="Arial" w:hAnsi="Arial"/>
          <w:sz w:val="20"/>
          <w:szCs w:val="20"/>
          <w:b w:val="1"/>
          <w:bCs w:val="1"/>
          <w:color w:val="0071CE"/>
        </w:rPr>
        <w:t xml:space="preserve"> </w:t>
      </w:r>
      <w:r>
        <w:rPr>
          <w:rFonts w:ascii="Arial" w:cs="Arial" w:eastAsia="Arial" w:hAnsi="Arial"/>
          <w:sz w:val="20"/>
          <w:szCs w:val="20"/>
          <w:color w:val="3E3935"/>
        </w:rPr>
        <w:t>evaluation vehicles for the purpose of providing feedback on Company products. In addition, NEOs are eligible to use driver services provided by the Company in accordance with Company policies.</w:t>
      </w:r>
    </w:p>
    <w:p>
      <w:pPr>
        <w:spacing w:after="0" w:line="10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Security </w:t>
      </w:r>
      <w:r>
        <w:rPr>
          <w:rFonts w:ascii="Arial" w:cs="Arial" w:eastAsia="Arial" w:hAnsi="Arial"/>
          <w:sz w:val="20"/>
          <w:szCs w:val="20"/>
          <w:color w:val="3E3935"/>
        </w:rPr>
        <w:t>– NEOs may receive security services, including home security systems and monitoring, for specific security-related</w:t>
      </w:r>
      <w:r>
        <w:rPr>
          <w:rFonts w:ascii="Arial" w:cs="Arial" w:eastAsia="Arial" w:hAnsi="Arial"/>
          <w:sz w:val="20"/>
          <w:szCs w:val="20"/>
          <w:b w:val="1"/>
          <w:bCs w:val="1"/>
          <w:color w:val="0071CE"/>
        </w:rPr>
        <w:t xml:space="preserve"> </w:t>
      </w:r>
      <w:r>
        <w:rPr>
          <w:rFonts w:ascii="Arial" w:cs="Arial" w:eastAsia="Arial" w:hAnsi="Arial"/>
          <w:sz w:val="20"/>
          <w:szCs w:val="20"/>
          <w:color w:val="3E3935"/>
        </w:rPr>
        <w:t>reasons identified by independent third-party security consultants. We maintain security staff in order to provide all employees with a safe and secure environment, which aligns and reinforces our safety culture.</w:t>
      </w:r>
    </w:p>
    <w:p>
      <w:pPr>
        <w:spacing w:after="0" w:line="89"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Financial Counseling </w:t>
      </w:r>
      <w:r>
        <w:rPr>
          <w:rFonts w:ascii="Arial" w:cs="Arial" w:eastAsia="Arial" w:hAnsi="Arial"/>
          <w:sz w:val="20"/>
          <w:szCs w:val="20"/>
          <w:color w:val="3E3935"/>
        </w:rPr>
        <w:t>– NEOs are eligible to receive financial counseling, estate planning, and tax preparation services</w:t>
      </w:r>
      <w:r>
        <w:rPr>
          <w:rFonts w:ascii="Arial" w:cs="Arial" w:eastAsia="Arial" w:hAnsi="Arial"/>
          <w:sz w:val="20"/>
          <w:szCs w:val="20"/>
          <w:b w:val="1"/>
          <w:bCs w:val="1"/>
          <w:color w:val="0071CE"/>
        </w:rPr>
        <w:t xml:space="preserve"> </w:t>
      </w:r>
      <w:r>
        <w:rPr>
          <w:rFonts w:ascii="Arial" w:cs="Arial" w:eastAsia="Arial" w:hAnsi="Arial"/>
          <w:sz w:val="20"/>
          <w:szCs w:val="20"/>
          <w:color w:val="3E3935"/>
        </w:rPr>
        <w:t>through an approved provider. These services allow our NEOs to focus on Company business and ensure accurate personal tax reporting.</w:t>
      </w:r>
    </w:p>
    <w:p>
      <w:pPr>
        <w:spacing w:after="0" w:line="102"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Executive Physicals </w:t>
      </w:r>
      <w:r>
        <w:rPr>
          <w:rFonts w:ascii="Arial" w:cs="Arial" w:eastAsia="Arial" w:hAnsi="Arial"/>
          <w:sz w:val="20"/>
          <w:szCs w:val="20"/>
          <w:color w:val="3E3935"/>
        </w:rPr>
        <w:t>– The health and wellness of our workforce is a priority, and our employees are encouraged to</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complete an annual physical. NEOs are eligible to receive a comprehensive wellness examination with an approved provider. These wellness visits promote employee well-being and enable employees to take appropriate steps in the event of illness or a medical condition that may impact their ability to perform their duties.</w:t>
      </w:r>
    </w:p>
    <w:p>
      <w:pPr>
        <w:spacing w:after="0" w:line="319" w:lineRule="exact"/>
        <w:rPr>
          <w:sz w:val="20"/>
          <w:szCs w:val="20"/>
          <w:color w:val="auto"/>
        </w:rPr>
      </w:pPr>
    </w:p>
    <w:p>
      <w:pPr>
        <w:ind w:left="700" w:hanging="533"/>
        <w:spacing w:after="0"/>
        <w:tabs>
          <w:tab w:leader="none" w:pos="700" w:val="left"/>
        </w:tabs>
        <w:numPr>
          <w:ilvl w:val="0"/>
          <w:numId w:val="73"/>
        </w:numPr>
        <w:rPr>
          <w:rFonts w:ascii="Arial" w:cs="Arial" w:eastAsia="Arial" w:hAnsi="Arial"/>
          <w:sz w:val="21"/>
          <w:szCs w:val="21"/>
          <w:color w:val="0071CE"/>
        </w:rPr>
      </w:pPr>
      <w:r>
        <w:rPr>
          <w:rFonts w:ascii="Arial" w:cs="Arial" w:eastAsia="Arial" w:hAnsi="Arial"/>
          <w:sz w:val="25"/>
          <w:szCs w:val="25"/>
          <w:color w:val="3E3935"/>
        </w:rPr>
        <w:t>2020 Target Compensation</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Our target total direct compensation for each NEO in 2020 was as follows: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420" w:type="dxa"/>
            <w:vAlign w:val="bottom"/>
            <w:tcBorders>
              <w:top w:val="single" w:sz="8" w:color="00C1DE"/>
            </w:tcBorders>
          </w:tcPr>
          <w:p>
            <w:pPr>
              <w:spacing w:after="0"/>
              <w:rPr>
                <w:sz w:val="20"/>
                <w:szCs w:val="20"/>
                <w:color w:val="auto"/>
              </w:rPr>
            </w:pPr>
          </w:p>
        </w:tc>
        <w:tc>
          <w:tcPr>
            <w:tcW w:w="1540" w:type="dxa"/>
            <w:vAlign w:val="bottom"/>
            <w:tcBorders>
              <w:top w:val="single" w:sz="8" w:color="00C1DE"/>
            </w:tcBorders>
          </w:tcPr>
          <w:p>
            <w:pPr>
              <w:spacing w:after="0"/>
              <w:rPr>
                <w:sz w:val="20"/>
                <w:szCs w:val="20"/>
                <w:color w:val="auto"/>
              </w:rPr>
            </w:pPr>
          </w:p>
        </w:tc>
        <w:tc>
          <w:tcPr>
            <w:tcW w:w="680" w:type="dxa"/>
            <w:vAlign w:val="bottom"/>
            <w:tcBorders>
              <w:top w:val="single" w:sz="8" w:color="00C1DE"/>
            </w:tcBorders>
          </w:tcPr>
          <w:p>
            <w:pPr>
              <w:spacing w:after="0"/>
              <w:rPr>
                <w:sz w:val="20"/>
                <w:szCs w:val="20"/>
                <w:color w:val="auto"/>
              </w:rPr>
            </w:pPr>
          </w:p>
        </w:tc>
        <w:tc>
          <w:tcPr>
            <w:tcW w:w="960" w:type="dxa"/>
            <w:vAlign w:val="bottom"/>
            <w:tcBorders>
              <w:top w:val="single" w:sz="8" w:color="00C1DE"/>
            </w:tcBorders>
          </w:tcPr>
          <w:p>
            <w:pPr>
              <w:spacing w:after="0"/>
              <w:rPr>
                <w:sz w:val="20"/>
                <w:szCs w:val="20"/>
                <w:color w:val="auto"/>
              </w:rPr>
            </w:pPr>
          </w:p>
        </w:tc>
        <w:tc>
          <w:tcPr>
            <w:tcW w:w="1740" w:type="dxa"/>
            <w:vAlign w:val="bottom"/>
            <w:tcBorders>
              <w:top w:val="single" w:sz="8" w:color="00C1DE"/>
            </w:tcBorders>
          </w:tcPr>
          <w:p>
            <w:pPr>
              <w:spacing w:after="0"/>
              <w:rPr>
                <w:sz w:val="20"/>
                <w:szCs w:val="20"/>
                <w:color w:val="auto"/>
              </w:rPr>
            </w:pPr>
          </w:p>
        </w:tc>
        <w:tc>
          <w:tcPr>
            <w:tcW w:w="2060" w:type="dxa"/>
            <w:vAlign w:val="bottom"/>
            <w:tcBorders>
              <w:top w:val="single" w:sz="8" w:color="00C1DE"/>
            </w:tcBorders>
            <w:gridSpan w:val="2"/>
          </w:tcPr>
          <w:p>
            <w:pPr>
              <w:jc w:val="right"/>
              <w:ind w:right="758"/>
              <w:spacing w:after="0"/>
              <w:rPr>
                <w:sz w:val="20"/>
                <w:szCs w:val="20"/>
                <w:color w:val="auto"/>
              </w:rPr>
            </w:pPr>
            <w:r>
              <w:rPr>
                <w:rFonts w:ascii="Arial" w:cs="Arial" w:eastAsia="Arial" w:hAnsi="Arial"/>
                <w:sz w:val="17"/>
                <w:szCs w:val="17"/>
                <w:b w:val="1"/>
                <w:bCs w:val="1"/>
                <w:color w:val="00C1DE"/>
              </w:rPr>
              <w:t>LTIP</w:t>
            </w:r>
          </w:p>
        </w:tc>
        <w:tc>
          <w:tcPr>
            <w:tcW w:w="1520" w:type="dxa"/>
            <w:vAlign w:val="bottom"/>
            <w:tcBorders>
              <w:top w:val="single" w:sz="8" w:color="00C1DE"/>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Borders>
              <w:bottom w:val="single" w:sz="8" w:color="00C1DE"/>
            </w:tcBorders>
          </w:tcPr>
          <w:p>
            <w:pPr>
              <w:spacing w:after="0"/>
              <w:rPr>
                <w:sz w:val="5"/>
                <w:szCs w:val="5"/>
                <w:color w:val="auto"/>
              </w:rPr>
            </w:pPr>
          </w:p>
        </w:tc>
        <w:tc>
          <w:tcPr>
            <w:tcW w:w="940" w:type="dxa"/>
            <w:vAlign w:val="bottom"/>
            <w:tcBorders>
              <w:bottom w:val="single" w:sz="8" w:color="00C1DE"/>
            </w:tcBorders>
          </w:tcPr>
          <w:p>
            <w:pPr>
              <w:spacing w:after="0"/>
              <w:rPr>
                <w:sz w:val="5"/>
                <w:szCs w:val="5"/>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Target Total</w:t>
            </w: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Base Salary</w:t>
            </w:r>
          </w:p>
        </w:tc>
        <w:tc>
          <w:tcPr>
            <w:tcW w:w="680" w:type="dxa"/>
            <w:vAlign w:val="bottom"/>
            <w:vMerge w:val="restart"/>
          </w:tcPr>
          <w:p>
            <w:pPr>
              <w:jc w:val="right"/>
              <w:ind w:right="152"/>
              <w:spacing w:after="0"/>
              <w:rPr>
                <w:sz w:val="20"/>
                <w:szCs w:val="20"/>
                <w:color w:val="auto"/>
              </w:rPr>
            </w:pPr>
            <w:r>
              <w:rPr>
                <w:rFonts w:ascii="Arial" w:cs="Arial" w:eastAsia="Arial" w:hAnsi="Arial"/>
                <w:sz w:val="17"/>
                <w:szCs w:val="17"/>
                <w:b w:val="1"/>
                <w:bCs w:val="1"/>
                <w:color w:val="00C1DE"/>
              </w:rPr>
              <w:t>STIP</w:t>
            </w: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STIP</w:t>
            </w:r>
          </w:p>
        </w:tc>
        <w:tc>
          <w:tcPr>
            <w:tcW w:w="1740" w:type="dxa"/>
            <w:vAlign w:val="bottom"/>
          </w:tcPr>
          <w:p>
            <w:pPr>
              <w:jc w:val="right"/>
              <w:ind w:right="198"/>
              <w:spacing w:after="0" w:line="187" w:lineRule="exact"/>
              <w:rPr>
                <w:sz w:val="20"/>
                <w:szCs w:val="20"/>
                <w:color w:val="auto"/>
              </w:rPr>
            </w:pPr>
            <w:r>
              <w:rPr>
                <w:rFonts w:ascii="Arial" w:cs="Arial" w:eastAsia="Arial" w:hAnsi="Arial"/>
                <w:sz w:val="17"/>
                <w:szCs w:val="17"/>
                <w:b w:val="1"/>
                <w:bCs w:val="1"/>
                <w:color w:val="00C1DE"/>
              </w:rPr>
              <w:t>Target Total Cash</w:t>
            </w:r>
          </w:p>
        </w:tc>
        <w:tc>
          <w:tcPr>
            <w:tcW w:w="1120" w:type="dxa"/>
            <w:vAlign w:val="bottom"/>
            <w:vMerge w:val="restart"/>
          </w:tcPr>
          <w:p>
            <w:pPr>
              <w:jc w:val="right"/>
              <w:ind w:right="173"/>
              <w:spacing w:after="0"/>
              <w:rPr>
                <w:sz w:val="20"/>
                <w:szCs w:val="20"/>
                <w:color w:val="auto"/>
              </w:rPr>
            </w:pPr>
            <w:r>
              <w:rPr>
                <w:rFonts w:ascii="Arial" w:cs="Arial" w:eastAsia="Arial" w:hAnsi="Arial"/>
                <w:sz w:val="17"/>
                <w:szCs w:val="17"/>
                <w:b w:val="1"/>
                <w:bCs w:val="1"/>
                <w:color w:val="00C1DE"/>
              </w:rPr>
              <w:t>PSUs</w:t>
            </w:r>
          </w:p>
        </w:tc>
        <w:tc>
          <w:tcPr>
            <w:tcW w:w="940" w:type="dxa"/>
            <w:vAlign w:val="bottom"/>
          </w:tcPr>
          <w:p>
            <w:pPr>
              <w:jc w:val="right"/>
              <w:spacing w:after="0" w:line="187" w:lineRule="exact"/>
              <w:rPr>
                <w:sz w:val="20"/>
                <w:szCs w:val="20"/>
                <w:color w:val="auto"/>
              </w:rPr>
            </w:pPr>
            <w:r>
              <w:rPr>
                <w:rFonts w:ascii="Arial" w:cs="Arial" w:eastAsia="Arial" w:hAnsi="Arial"/>
                <w:sz w:val="17"/>
                <w:szCs w:val="17"/>
                <w:b w:val="1"/>
                <w:bCs w:val="1"/>
                <w:color w:val="00C1DE"/>
              </w:rPr>
              <w:t>Stock</w:t>
            </w:r>
          </w:p>
        </w:tc>
        <w:tc>
          <w:tcPr>
            <w:tcW w:w="1520" w:type="dxa"/>
            <w:vAlign w:val="bottom"/>
          </w:tcPr>
          <w:p>
            <w:pPr>
              <w:jc w:val="right"/>
              <w:spacing w:after="0" w:line="187" w:lineRule="exact"/>
              <w:rPr>
                <w:sz w:val="20"/>
                <w:szCs w:val="20"/>
                <w:color w:val="auto"/>
              </w:rPr>
            </w:pPr>
            <w:r>
              <w:rPr>
                <w:rFonts w:ascii="Arial" w:cs="Arial" w:eastAsia="Arial" w:hAnsi="Arial"/>
                <w:sz w:val="17"/>
                <w:szCs w:val="17"/>
                <w:b w:val="1"/>
                <w:bCs w:val="1"/>
                <w:color w:val="00C1DE"/>
              </w:rPr>
              <w:t>Direct</w:t>
            </w: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740" w:type="dxa"/>
            <w:vAlign w:val="bottom"/>
          </w:tcPr>
          <w:p>
            <w:pPr>
              <w:jc w:val="right"/>
              <w:ind w:right="198"/>
              <w:spacing w:after="0" w:line="30" w:lineRule="exact"/>
              <w:rPr>
                <w:sz w:val="20"/>
                <w:szCs w:val="20"/>
                <w:color w:val="auto"/>
              </w:rPr>
            </w:pPr>
            <w:r>
              <w:rPr>
                <w:rFonts w:ascii="Arial" w:cs="Arial" w:eastAsia="Arial" w:hAnsi="Arial"/>
                <w:sz w:val="3"/>
                <w:szCs w:val="3"/>
                <w:b w:val="1"/>
                <w:bCs w:val="1"/>
                <w:color w:val="00C1DE"/>
              </w:rPr>
              <w:t>Compensation</w:t>
            </w:r>
          </w:p>
        </w:tc>
        <w:tc>
          <w:tcPr>
            <w:tcW w:w="1120" w:type="dxa"/>
            <w:vAlign w:val="bottom"/>
            <w:vMerge w:val="continue"/>
          </w:tcPr>
          <w:p>
            <w:pPr>
              <w:spacing w:after="0"/>
              <w:rPr>
                <w:sz w:val="2"/>
                <w:szCs w:val="2"/>
                <w:color w:val="auto"/>
              </w:rPr>
            </w:pPr>
          </w:p>
        </w:tc>
        <w:tc>
          <w:tcPr>
            <w:tcW w:w="940" w:type="dxa"/>
            <w:vAlign w:val="bottom"/>
          </w:tcPr>
          <w:p>
            <w:pPr>
              <w:jc w:val="right"/>
              <w:spacing w:after="0" w:line="30" w:lineRule="exact"/>
              <w:rPr>
                <w:sz w:val="20"/>
                <w:szCs w:val="20"/>
                <w:color w:val="auto"/>
              </w:rPr>
            </w:pPr>
            <w:r>
              <w:rPr>
                <w:rFonts w:ascii="Arial" w:cs="Arial" w:eastAsia="Arial" w:hAnsi="Arial"/>
                <w:sz w:val="3"/>
                <w:szCs w:val="3"/>
                <w:b w:val="1"/>
                <w:bCs w:val="1"/>
                <w:color w:val="00C1DE"/>
              </w:rPr>
              <w:t>Options</w:t>
            </w:r>
          </w:p>
        </w:tc>
        <w:tc>
          <w:tcPr>
            <w:tcW w:w="1520" w:type="dxa"/>
            <w:vAlign w:val="bottom"/>
          </w:tcPr>
          <w:p>
            <w:pPr>
              <w:jc w:val="right"/>
              <w:spacing w:after="0" w:line="30" w:lineRule="exact"/>
              <w:rPr>
                <w:sz w:val="20"/>
                <w:szCs w:val="20"/>
                <w:color w:val="auto"/>
              </w:rPr>
            </w:pPr>
            <w:r>
              <w:rPr>
                <w:rFonts w:ascii="Arial" w:cs="Arial" w:eastAsia="Arial" w:hAnsi="Arial"/>
                <w:sz w:val="3"/>
                <w:szCs w:val="3"/>
                <w:b w:val="1"/>
                <w:bCs w:val="1"/>
                <w:color w:val="00C1DE"/>
              </w:rPr>
              <w:t>Compensation</w:t>
            </w:r>
          </w:p>
        </w:tc>
        <w:tc>
          <w:tcPr>
            <w:tcW w:w="0" w:type="dxa"/>
            <w:vAlign w:val="bottom"/>
          </w:tcPr>
          <w:p>
            <w:pPr>
              <w:spacing w:after="0" w:line="20" w:lineRule="exact"/>
              <w:rPr>
                <w:sz w:val="1"/>
                <w:szCs w:val="1"/>
                <w:color w:val="auto"/>
              </w:rPr>
            </w:pPr>
          </w:p>
        </w:tc>
      </w:tr>
      <w:tr>
        <w:trPr>
          <w:trHeight w:val="158"/>
        </w:trPr>
        <w:tc>
          <w:tcPr>
            <w:tcW w:w="2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20" w:type="dxa"/>
            <w:vAlign w:val="bottom"/>
          </w:tcPr>
          <w:p>
            <w:pPr>
              <w:jc w:val="right"/>
              <w:ind w:right="13"/>
              <w:spacing w:after="0" w:line="157" w:lineRule="exact"/>
              <w:rPr>
                <w:sz w:val="20"/>
                <w:szCs w:val="20"/>
                <w:color w:val="auto"/>
              </w:rPr>
            </w:pPr>
            <w:r>
              <w:rPr>
                <w:rFonts w:ascii="Arial" w:cs="Arial" w:eastAsia="Arial" w:hAnsi="Arial"/>
                <w:sz w:val="14"/>
                <w:szCs w:val="14"/>
                <w:b w:val="1"/>
                <w:bCs w:val="1"/>
                <w:color w:val="00C1DE"/>
              </w:rPr>
              <w:t>(1)</w:t>
            </w: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80"/>
              <w:spacing w:after="0"/>
              <w:rPr>
                <w:sz w:val="20"/>
                <w:szCs w:val="20"/>
                <w:color w:val="auto"/>
              </w:rPr>
            </w:pPr>
            <w:r>
              <w:rPr>
                <w:rFonts w:ascii="Arial" w:cs="Arial" w:eastAsia="Arial" w:hAnsi="Arial"/>
                <w:sz w:val="17"/>
                <w:szCs w:val="17"/>
                <w:b w:val="1"/>
                <w:bCs w:val="1"/>
                <w:color w:val="00C1DE"/>
              </w:rPr>
              <w:t>Name</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680" w:type="dxa"/>
            <w:vAlign w:val="bottom"/>
          </w:tcPr>
          <w:p>
            <w:pPr>
              <w:jc w:val="right"/>
              <w:ind w:right="152"/>
              <w:spacing w:after="0"/>
              <w:rPr>
                <w:sz w:val="20"/>
                <w:szCs w:val="20"/>
                <w:color w:val="auto"/>
              </w:rPr>
            </w:pPr>
            <w:r>
              <w:rPr>
                <w:rFonts w:ascii="Arial" w:cs="Arial" w:eastAsia="Arial" w:hAnsi="Arial"/>
                <w:sz w:val="17"/>
                <w:szCs w:val="17"/>
                <w:b w:val="1"/>
                <w:bCs w:val="1"/>
                <w:color w:val="00C1DE"/>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1740" w:type="dxa"/>
            <w:vAlign w:val="bottom"/>
          </w:tcPr>
          <w:p>
            <w:pPr>
              <w:jc w:val="right"/>
              <w:ind w:right="198"/>
              <w:spacing w:after="0"/>
              <w:rPr>
                <w:sz w:val="20"/>
                <w:szCs w:val="20"/>
                <w:color w:val="auto"/>
              </w:rPr>
            </w:pPr>
            <w:r>
              <w:rPr>
                <w:rFonts w:ascii="Arial" w:cs="Arial" w:eastAsia="Arial" w:hAnsi="Arial"/>
                <w:sz w:val="17"/>
                <w:szCs w:val="17"/>
                <w:b w:val="1"/>
                <w:bCs w:val="1"/>
                <w:color w:val="00C1DE"/>
              </w:rPr>
              <w:t>($)</w:t>
            </w:r>
          </w:p>
        </w:tc>
        <w:tc>
          <w:tcPr>
            <w:tcW w:w="1120" w:type="dxa"/>
            <w:vAlign w:val="bottom"/>
          </w:tcPr>
          <w:p>
            <w:pPr>
              <w:jc w:val="right"/>
              <w:ind w:right="13"/>
              <w:spacing w:after="0"/>
              <w:rPr>
                <w:sz w:val="20"/>
                <w:szCs w:val="20"/>
                <w:color w:val="auto"/>
              </w:rPr>
            </w:pPr>
            <w:r>
              <w:rPr>
                <w:rFonts w:ascii="Arial" w:cs="Arial" w:eastAsia="Arial" w:hAnsi="Arial"/>
                <w:sz w:val="17"/>
                <w:szCs w:val="17"/>
                <w:b w:val="1"/>
                <w:bCs w:val="1"/>
                <w:color w:val="00C1DE"/>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0" w:type="dxa"/>
            <w:vAlign w:val="bottom"/>
          </w:tcPr>
          <w:p>
            <w:pPr>
              <w:spacing w:after="0"/>
              <w:rPr>
                <w:sz w:val="1"/>
                <w:szCs w:val="1"/>
                <w:color w:val="auto"/>
              </w:rPr>
            </w:pPr>
          </w:p>
        </w:tc>
      </w:tr>
      <w:tr>
        <w:trPr>
          <w:trHeight w:val="70"/>
        </w:trPr>
        <w:tc>
          <w:tcPr>
            <w:tcW w:w="2420" w:type="dxa"/>
            <w:vAlign w:val="bottom"/>
            <w:tcBorders>
              <w:bottom w:val="single" w:sz="8" w:color="00C1DE"/>
            </w:tcBorders>
          </w:tcPr>
          <w:p>
            <w:pPr>
              <w:spacing w:after="0"/>
              <w:rPr>
                <w:sz w:val="6"/>
                <w:szCs w:val="6"/>
                <w:color w:val="auto"/>
              </w:rPr>
            </w:pPr>
          </w:p>
        </w:tc>
        <w:tc>
          <w:tcPr>
            <w:tcW w:w="1540" w:type="dxa"/>
            <w:vAlign w:val="bottom"/>
            <w:tcBorders>
              <w:bottom w:val="single" w:sz="8" w:color="00C1DE"/>
            </w:tcBorders>
          </w:tcPr>
          <w:p>
            <w:pPr>
              <w:spacing w:after="0"/>
              <w:rPr>
                <w:sz w:val="6"/>
                <w:szCs w:val="6"/>
                <w:color w:val="auto"/>
              </w:rPr>
            </w:pPr>
          </w:p>
        </w:tc>
        <w:tc>
          <w:tcPr>
            <w:tcW w:w="680" w:type="dxa"/>
            <w:vAlign w:val="bottom"/>
            <w:tcBorders>
              <w:bottom w:val="single" w:sz="8" w:color="00C1DE"/>
            </w:tcBorders>
          </w:tcPr>
          <w:p>
            <w:pPr>
              <w:spacing w:after="0"/>
              <w:rPr>
                <w:sz w:val="6"/>
                <w:szCs w:val="6"/>
                <w:color w:val="auto"/>
              </w:rPr>
            </w:pPr>
          </w:p>
        </w:tc>
        <w:tc>
          <w:tcPr>
            <w:tcW w:w="960" w:type="dxa"/>
            <w:vAlign w:val="bottom"/>
            <w:tcBorders>
              <w:bottom w:val="single" w:sz="8" w:color="00C1DE"/>
            </w:tcBorders>
          </w:tcPr>
          <w:p>
            <w:pPr>
              <w:spacing w:after="0"/>
              <w:rPr>
                <w:sz w:val="6"/>
                <w:szCs w:val="6"/>
                <w:color w:val="auto"/>
              </w:rPr>
            </w:pPr>
          </w:p>
        </w:tc>
        <w:tc>
          <w:tcPr>
            <w:tcW w:w="1740" w:type="dxa"/>
            <w:vAlign w:val="bottom"/>
            <w:tcBorders>
              <w:bottom w:val="single" w:sz="8" w:color="00C1DE"/>
            </w:tcBorders>
          </w:tcPr>
          <w:p>
            <w:pPr>
              <w:spacing w:after="0"/>
              <w:rPr>
                <w:sz w:val="6"/>
                <w:szCs w:val="6"/>
                <w:color w:val="auto"/>
              </w:rPr>
            </w:pPr>
          </w:p>
        </w:tc>
        <w:tc>
          <w:tcPr>
            <w:tcW w:w="1120" w:type="dxa"/>
            <w:vAlign w:val="bottom"/>
            <w:tcBorders>
              <w:bottom w:val="single" w:sz="8" w:color="00C1DE"/>
            </w:tcBorders>
          </w:tcPr>
          <w:p>
            <w:pPr>
              <w:spacing w:after="0"/>
              <w:rPr>
                <w:sz w:val="6"/>
                <w:szCs w:val="6"/>
                <w:color w:val="auto"/>
              </w:rPr>
            </w:pPr>
          </w:p>
        </w:tc>
        <w:tc>
          <w:tcPr>
            <w:tcW w:w="940" w:type="dxa"/>
            <w:vAlign w:val="bottom"/>
            <w:tcBorders>
              <w:bottom w:val="single" w:sz="8" w:color="00C1DE"/>
            </w:tcBorders>
          </w:tcPr>
          <w:p>
            <w:pPr>
              <w:spacing w:after="0"/>
              <w:rPr>
                <w:sz w:val="6"/>
                <w:szCs w:val="6"/>
                <w:color w:val="auto"/>
              </w:rPr>
            </w:pPr>
          </w:p>
        </w:tc>
        <w:tc>
          <w:tcPr>
            <w:tcW w:w="1520" w:type="dxa"/>
            <w:vAlign w:val="bottom"/>
            <w:tcBorders>
              <w:bottom w:val="single" w:sz="8" w:color="00C1DE"/>
            </w:tcBorders>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Mary T. Barra</w:t>
            </w:r>
          </w:p>
        </w:tc>
        <w:tc>
          <w:tcPr>
            <w:tcW w:w="1540" w:type="dxa"/>
            <w:vAlign w:val="bottom"/>
          </w:tcPr>
          <w:p>
            <w:pPr>
              <w:jc w:val="right"/>
              <w:spacing w:after="0"/>
              <w:rPr>
                <w:sz w:val="20"/>
                <w:szCs w:val="20"/>
                <w:color w:val="auto"/>
              </w:rPr>
            </w:pPr>
            <w:r>
              <w:rPr>
                <w:rFonts w:ascii="Arial" w:cs="Arial" w:eastAsia="Arial" w:hAnsi="Arial"/>
                <w:sz w:val="18"/>
                <w:szCs w:val="18"/>
                <w:color w:val="3E3935"/>
              </w:rPr>
              <w:t>2,100,000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200%</w:t>
            </w:r>
          </w:p>
        </w:tc>
        <w:tc>
          <w:tcPr>
            <w:tcW w:w="960" w:type="dxa"/>
            <w:vAlign w:val="bottom"/>
          </w:tcPr>
          <w:p>
            <w:pPr>
              <w:jc w:val="right"/>
              <w:spacing w:after="0"/>
              <w:rPr>
                <w:sz w:val="20"/>
                <w:szCs w:val="20"/>
                <w:color w:val="auto"/>
              </w:rPr>
            </w:pPr>
            <w:r>
              <w:rPr>
                <w:rFonts w:ascii="Arial" w:cs="Arial" w:eastAsia="Arial" w:hAnsi="Arial"/>
                <w:sz w:val="18"/>
                <w:szCs w:val="18"/>
                <w:color w:val="3E3935"/>
              </w:rPr>
              <w:t>4,200,000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6,300,000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11,250,000</w:t>
            </w:r>
          </w:p>
        </w:tc>
        <w:tc>
          <w:tcPr>
            <w:tcW w:w="940" w:type="dxa"/>
            <w:vAlign w:val="bottom"/>
          </w:tcPr>
          <w:p>
            <w:pPr>
              <w:jc w:val="right"/>
              <w:spacing w:after="0"/>
              <w:rPr>
                <w:sz w:val="20"/>
                <w:szCs w:val="20"/>
                <w:color w:val="auto"/>
              </w:rPr>
            </w:pPr>
            <w:r>
              <w:rPr>
                <w:rFonts w:ascii="Arial" w:cs="Arial" w:eastAsia="Arial" w:hAnsi="Arial"/>
                <w:sz w:val="18"/>
                <w:szCs w:val="18"/>
                <w:color w:val="3E3935"/>
              </w:rPr>
              <w:t>3,750,000</w:t>
            </w:r>
          </w:p>
        </w:tc>
        <w:tc>
          <w:tcPr>
            <w:tcW w:w="1520" w:type="dxa"/>
            <w:vAlign w:val="bottom"/>
          </w:tcPr>
          <w:p>
            <w:pPr>
              <w:jc w:val="right"/>
              <w:spacing w:after="0"/>
              <w:rPr>
                <w:sz w:val="20"/>
                <w:szCs w:val="20"/>
                <w:color w:val="auto"/>
              </w:rPr>
            </w:pPr>
            <w:r>
              <w:rPr>
                <w:rFonts w:ascii="Arial" w:cs="Arial" w:eastAsia="Arial" w:hAnsi="Arial"/>
                <w:sz w:val="18"/>
                <w:szCs w:val="18"/>
                <w:color w:val="3E3935"/>
              </w:rPr>
              <w:t>21,300,000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Paul A. Jacobson</w:t>
            </w:r>
            <w:r>
              <w:rPr>
                <w:rFonts w:ascii="Arial" w:cs="Arial" w:eastAsia="Arial" w:hAnsi="Arial"/>
                <w:sz w:val="15"/>
                <w:szCs w:val="15"/>
                <w:color w:val="3E3935"/>
              </w:rPr>
              <w:t>(2)</w:t>
            </w:r>
          </w:p>
        </w:tc>
        <w:tc>
          <w:tcPr>
            <w:tcW w:w="1540" w:type="dxa"/>
            <w:vAlign w:val="bottom"/>
          </w:tcPr>
          <w:p>
            <w:pPr>
              <w:jc w:val="right"/>
              <w:spacing w:after="0"/>
              <w:rPr>
                <w:sz w:val="20"/>
                <w:szCs w:val="20"/>
                <w:color w:val="auto"/>
              </w:rPr>
            </w:pPr>
            <w:r>
              <w:rPr>
                <w:rFonts w:ascii="Arial" w:cs="Arial" w:eastAsia="Arial" w:hAnsi="Arial"/>
                <w:sz w:val="18"/>
                <w:szCs w:val="18"/>
                <w:color w:val="3E3935"/>
              </w:rPr>
              <w:t>1,000,000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1,250,000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2,250,000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3,937,500</w:t>
            </w:r>
          </w:p>
        </w:tc>
        <w:tc>
          <w:tcPr>
            <w:tcW w:w="940" w:type="dxa"/>
            <w:vAlign w:val="bottom"/>
          </w:tcPr>
          <w:p>
            <w:pPr>
              <w:jc w:val="right"/>
              <w:spacing w:after="0"/>
              <w:rPr>
                <w:sz w:val="20"/>
                <w:szCs w:val="20"/>
                <w:color w:val="auto"/>
              </w:rPr>
            </w:pPr>
            <w:r>
              <w:rPr>
                <w:rFonts w:ascii="Arial" w:cs="Arial" w:eastAsia="Arial" w:hAnsi="Arial"/>
                <w:sz w:val="18"/>
                <w:szCs w:val="18"/>
                <w:color w:val="3E3935"/>
              </w:rPr>
              <w:t>1,312,500</w:t>
            </w:r>
          </w:p>
        </w:tc>
        <w:tc>
          <w:tcPr>
            <w:tcW w:w="1520" w:type="dxa"/>
            <w:vAlign w:val="bottom"/>
          </w:tcPr>
          <w:p>
            <w:pPr>
              <w:jc w:val="right"/>
              <w:spacing w:after="0"/>
              <w:rPr>
                <w:sz w:val="20"/>
                <w:szCs w:val="20"/>
                <w:color w:val="auto"/>
              </w:rPr>
            </w:pPr>
            <w:r>
              <w:rPr>
                <w:rFonts w:ascii="Arial" w:cs="Arial" w:eastAsia="Arial" w:hAnsi="Arial"/>
                <w:sz w:val="18"/>
                <w:szCs w:val="18"/>
                <w:color w:val="3E3935"/>
              </w:rPr>
              <w:t>7,500,000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Mark L. Reuss</w:t>
            </w:r>
          </w:p>
        </w:tc>
        <w:tc>
          <w:tcPr>
            <w:tcW w:w="1540" w:type="dxa"/>
            <w:vAlign w:val="bottom"/>
          </w:tcPr>
          <w:p>
            <w:pPr>
              <w:jc w:val="right"/>
              <w:spacing w:after="0"/>
              <w:rPr>
                <w:sz w:val="20"/>
                <w:szCs w:val="20"/>
                <w:color w:val="auto"/>
              </w:rPr>
            </w:pPr>
            <w:r>
              <w:rPr>
                <w:rFonts w:ascii="Arial" w:cs="Arial" w:eastAsia="Arial" w:hAnsi="Arial"/>
                <w:sz w:val="18"/>
                <w:szCs w:val="18"/>
                <w:color w:val="3E3935"/>
              </w:rPr>
              <w:t>1,300,000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1,625,000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2,925,000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4,275,000</w:t>
            </w:r>
          </w:p>
        </w:tc>
        <w:tc>
          <w:tcPr>
            <w:tcW w:w="940" w:type="dxa"/>
            <w:vAlign w:val="bottom"/>
          </w:tcPr>
          <w:p>
            <w:pPr>
              <w:jc w:val="right"/>
              <w:spacing w:after="0"/>
              <w:rPr>
                <w:sz w:val="20"/>
                <w:szCs w:val="20"/>
                <w:color w:val="auto"/>
              </w:rPr>
            </w:pPr>
            <w:r>
              <w:rPr>
                <w:rFonts w:ascii="Arial" w:cs="Arial" w:eastAsia="Arial" w:hAnsi="Arial"/>
                <w:sz w:val="18"/>
                <w:szCs w:val="18"/>
                <w:color w:val="3E3935"/>
              </w:rPr>
              <w:t>1,425,000</w:t>
            </w:r>
          </w:p>
        </w:tc>
        <w:tc>
          <w:tcPr>
            <w:tcW w:w="1520" w:type="dxa"/>
            <w:vAlign w:val="bottom"/>
          </w:tcPr>
          <w:p>
            <w:pPr>
              <w:jc w:val="right"/>
              <w:spacing w:after="0"/>
              <w:rPr>
                <w:sz w:val="20"/>
                <w:szCs w:val="20"/>
                <w:color w:val="auto"/>
              </w:rPr>
            </w:pPr>
            <w:r>
              <w:rPr>
                <w:rFonts w:ascii="Arial" w:cs="Arial" w:eastAsia="Arial" w:hAnsi="Arial"/>
                <w:sz w:val="18"/>
                <w:szCs w:val="18"/>
                <w:color w:val="3E3935"/>
              </w:rPr>
              <w:t>8,625,000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Douglas L. Parks</w:t>
            </w:r>
          </w:p>
        </w:tc>
        <w:tc>
          <w:tcPr>
            <w:tcW w:w="1540" w:type="dxa"/>
            <w:vAlign w:val="bottom"/>
          </w:tcPr>
          <w:p>
            <w:pPr>
              <w:jc w:val="right"/>
              <w:spacing w:after="0"/>
              <w:rPr>
                <w:sz w:val="20"/>
                <w:szCs w:val="20"/>
                <w:color w:val="auto"/>
              </w:rPr>
            </w:pPr>
            <w:r>
              <w:rPr>
                <w:rFonts w:ascii="Arial" w:cs="Arial" w:eastAsia="Arial" w:hAnsi="Arial"/>
                <w:sz w:val="18"/>
                <w:szCs w:val="18"/>
                <w:color w:val="3E3935"/>
              </w:rPr>
              <w:t>850,000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1,062,500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1,912,500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3,065,625</w:t>
            </w:r>
          </w:p>
        </w:tc>
        <w:tc>
          <w:tcPr>
            <w:tcW w:w="940" w:type="dxa"/>
            <w:vAlign w:val="bottom"/>
          </w:tcPr>
          <w:p>
            <w:pPr>
              <w:jc w:val="right"/>
              <w:spacing w:after="0"/>
              <w:rPr>
                <w:sz w:val="20"/>
                <w:szCs w:val="20"/>
                <w:color w:val="auto"/>
              </w:rPr>
            </w:pPr>
            <w:r>
              <w:rPr>
                <w:rFonts w:ascii="Arial" w:cs="Arial" w:eastAsia="Arial" w:hAnsi="Arial"/>
                <w:sz w:val="18"/>
                <w:szCs w:val="18"/>
                <w:color w:val="3E3935"/>
              </w:rPr>
              <w:t>1,021,875</w:t>
            </w:r>
          </w:p>
        </w:tc>
        <w:tc>
          <w:tcPr>
            <w:tcW w:w="1520" w:type="dxa"/>
            <w:vAlign w:val="bottom"/>
          </w:tcPr>
          <w:p>
            <w:pPr>
              <w:jc w:val="right"/>
              <w:spacing w:after="0"/>
              <w:rPr>
                <w:sz w:val="20"/>
                <w:szCs w:val="20"/>
                <w:color w:val="auto"/>
              </w:rPr>
            </w:pPr>
            <w:r>
              <w:rPr>
                <w:rFonts w:ascii="Arial" w:cs="Arial" w:eastAsia="Arial" w:hAnsi="Arial"/>
                <w:sz w:val="18"/>
                <w:szCs w:val="18"/>
                <w:color w:val="3E3935"/>
              </w:rPr>
              <w:t>6,000,000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Stephen K. Carlisle</w:t>
            </w:r>
            <w:r>
              <w:rPr>
                <w:rFonts w:ascii="Arial" w:cs="Arial" w:eastAsia="Arial" w:hAnsi="Arial"/>
                <w:sz w:val="15"/>
                <w:szCs w:val="15"/>
                <w:color w:val="3E3935"/>
              </w:rPr>
              <w:t>(2)</w:t>
            </w:r>
          </w:p>
        </w:tc>
        <w:tc>
          <w:tcPr>
            <w:tcW w:w="1540" w:type="dxa"/>
            <w:vAlign w:val="bottom"/>
          </w:tcPr>
          <w:p>
            <w:pPr>
              <w:jc w:val="right"/>
              <w:spacing w:after="0"/>
              <w:rPr>
                <w:sz w:val="20"/>
                <w:szCs w:val="20"/>
                <w:color w:val="auto"/>
              </w:rPr>
            </w:pPr>
            <w:r>
              <w:rPr>
                <w:rFonts w:ascii="Arial" w:cs="Arial" w:eastAsia="Arial" w:hAnsi="Arial"/>
                <w:sz w:val="18"/>
                <w:szCs w:val="18"/>
                <w:color w:val="3E3935"/>
              </w:rPr>
              <w:t>800,000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1,000,000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1,800,000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2,925,000</w:t>
            </w:r>
          </w:p>
        </w:tc>
        <w:tc>
          <w:tcPr>
            <w:tcW w:w="940" w:type="dxa"/>
            <w:vAlign w:val="bottom"/>
          </w:tcPr>
          <w:p>
            <w:pPr>
              <w:jc w:val="right"/>
              <w:spacing w:after="0"/>
              <w:rPr>
                <w:sz w:val="20"/>
                <w:szCs w:val="20"/>
                <w:color w:val="auto"/>
              </w:rPr>
            </w:pPr>
            <w:r>
              <w:rPr>
                <w:rFonts w:ascii="Arial" w:cs="Arial" w:eastAsia="Arial" w:hAnsi="Arial"/>
                <w:sz w:val="18"/>
                <w:szCs w:val="18"/>
                <w:color w:val="3E3935"/>
              </w:rPr>
              <w:t>875,000</w:t>
            </w:r>
          </w:p>
        </w:tc>
        <w:tc>
          <w:tcPr>
            <w:tcW w:w="1520" w:type="dxa"/>
            <w:vAlign w:val="bottom"/>
          </w:tcPr>
          <w:p>
            <w:pPr>
              <w:jc w:val="right"/>
              <w:spacing w:after="0"/>
              <w:rPr>
                <w:sz w:val="20"/>
                <w:szCs w:val="20"/>
                <w:color w:val="auto"/>
              </w:rPr>
            </w:pPr>
            <w:r>
              <w:rPr>
                <w:rFonts w:ascii="Arial" w:cs="Arial" w:eastAsia="Arial" w:hAnsi="Arial"/>
                <w:sz w:val="18"/>
                <w:szCs w:val="18"/>
                <w:color w:val="3E3935"/>
              </w:rPr>
              <w:t>5,600,000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Dhivya Suryadevara</w:t>
            </w:r>
            <w:r>
              <w:rPr>
                <w:rFonts w:ascii="Arial" w:cs="Arial" w:eastAsia="Arial" w:hAnsi="Arial"/>
                <w:sz w:val="15"/>
                <w:szCs w:val="15"/>
                <w:color w:val="3E3935"/>
              </w:rPr>
              <w:t>(2)</w:t>
            </w:r>
          </w:p>
        </w:tc>
        <w:tc>
          <w:tcPr>
            <w:tcW w:w="1540" w:type="dxa"/>
            <w:vAlign w:val="bottom"/>
          </w:tcPr>
          <w:p>
            <w:pPr>
              <w:jc w:val="right"/>
              <w:spacing w:after="0"/>
              <w:rPr>
                <w:sz w:val="20"/>
                <w:szCs w:val="20"/>
                <w:color w:val="auto"/>
              </w:rPr>
            </w:pPr>
            <w:r>
              <w:rPr>
                <w:rFonts w:ascii="Arial" w:cs="Arial" w:eastAsia="Arial" w:hAnsi="Arial"/>
                <w:sz w:val="18"/>
                <w:szCs w:val="18"/>
                <w:color w:val="3E3935"/>
              </w:rPr>
              <w:t>1,150,000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1,437,500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2,587,500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3,496,875</w:t>
            </w:r>
          </w:p>
        </w:tc>
        <w:tc>
          <w:tcPr>
            <w:tcW w:w="940" w:type="dxa"/>
            <w:vAlign w:val="bottom"/>
          </w:tcPr>
          <w:p>
            <w:pPr>
              <w:jc w:val="right"/>
              <w:spacing w:after="0"/>
              <w:rPr>
                <w:sz w:val="20"/>
                <w:szCs w:val="20"/>
                <w:color w:val="auto"/>
              </w:rPr>
            </w:pPr>
            <w:r>
              <w:rPr>
                <w:rFonts w:ascii="Arial" w:cs="Arial" w:eastAsia="Arial" w:hAnsi="Arial"/>
                <w:sz w:val="18"/>
                <w:szCs w:val="18"/>
                <w:color w:val="3E3935"/>
              </w:rPr>
              <w:t>1,165,625</w:t>
            </w:r>
          </w:p>
        </w:tc>
        <w:tc>
          <w:tcPr>
            <w:tcW w:w="1520" w:type="dxa"/>
            <w:vAlign w:val="bottom"/>
          </w:tcPr>
          <w:p>
            <w:pPr>
              <w:jc w:val="right"/>
              <w:spacing w:after="0"/>
              <w:rPr>
                <w:sz w:val="20"/>
                <w:szCs w:val="20"/>
                <w:color w:val="auto"/>
              </w:rPr>
            </w:pPr>
            <w:r>
              <w:rPr>
                <w:rFonts w:ascii="Arial" w:cs="Arial" w:eastAsia="Arial" w:hAnsi="Arial"/>
                <w:sz w:val="18"/>
                <w:szCs w:val="18"/>
                <w:color w:val="3E3935"/>
              </w:rPr>
              <w:t>7,250,000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John P. Stapleton</w:t>
            </w:r>
            <w:r>
              <w:rPr>
                <w:rFonts w:ascii="Arial" w:cs="Arial" w:eastAsia="Arial" w:hAnsi="Arial"/>
                <w:sz w:val="15"/>
                <w:szCs w:val="15"/>
                <w:color w:val="3E3935"/>
              </w:rPr>
              <w:t>(2)</w:t>
            </w:r>
          </w:p>
        </w:tc>
        <w:tc>
          <w:tcPr>
            <w:tcW w:w="1540" w:type="dxa"/>
            <w:vAlign w:val="bottom"/>
          </w:tcPr>
          <w:p>
            <w:pPr>
              <w:jc w:val="right"/>
              <w:spacing w:after="0"/>
              <w:rPr>
                <w:sz w:val="20"/>
                <w:szCs w:val="20"/>
                <w:color w:val="auto"/>
              </w:rPr>
            </w:pPr>
            <w:r>
              <w:rPr>
                <w:rFonts w:ascii="Arial" w:cs="Arial" w:eastAsia="Arial" w:hAnsi="Arial"/>
                <w:sz w:val="18"/>
                <w:szCs w:val="18"/>
                <w:color w:val="3E3935"/>
              </w:rPr>
              <w:t>625,000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781,300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1,406,300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712,500</w:t>
            </w:r>
          </w:p>
        </w:tc>
        <w:tc>
          <w:tcPr>
            <w:tcW w:w="940" w:type="dxa"/>
            <w:vAlign w:val="bottom"/>
          </w:tcPr>
          <w:p>
            <w:pPr>
              <w:jc w:val="right"/>
              <w:spacing w:after="0"/>
              <w:rPr>
                <w:sz w:val="20"/>
                <w:szCs w:val="20"/>
                <w:color w:val="auto"/>
              </w:rPr>
            </w:pPr>
            <w:r>
              <w:rPr>
                <w:rFonts w:ascii="Arial" w:cs="Arial" w:eastAsia="Arial" w:hAnsi="Arial"/>
                <w:sz w:val="18"/>
                <w:szCs w:val="18"/>
                <w:color w:val="3E3935"/>
              </w:rPr>
              <w:t>237,500</w:t>
            </w:r>
          </w:p>
        </w:tc>
        <w:tc>
          <w:tcPr>
            <w:tcW w:w="1520" w:type="dxa"/>
            <w:vAlign w:val="bottom"/>
          </w:tcPr>
          <w:p>
            <w:pPr>
              <w:jc w:val="right"/>
              <w:spacing w:after="0"/>
              <w:rPr>
                <w:sz w:val="20"/>
                <w:szCs w:val="20"/>
                <w:color w:val="auto"/>
              </w:rPr>
            </w:pPr>
            <w:r>
              <w:rPr>
                <w:rFonts w:ascii="Arial" w:cs="Arial" w:eastAsia="Arial" w:hAnsi="Arial"/>
                <w:sz w:val="18"/>
                <w:szCs w:val="18"/>
                <w:color w:val="3E3935"/>
              </w:rPr>
              <w:t>2,356,300</w:t>
            </w:r>
          </w:p>
        </w:tc>
        <w:tc>
          <w:tcPr>
            <w:tcW w:w="0" w:type="dxa"/>
            <w:vAlign w:val="bottom"/>
          </w:tcPr>
          <w:p>
            <w:pPr>
              <w:spacing w:after="0"/>
              <w:rPr>
                <w:sz w:val="1"/>
                <w:szCs w:val="1"/>
                <w:color w:val="auto"/>
              </w:rPr>
            </w:pPr>
          </w:p>
        </w:tc>
      </w:tr>
      <w:tr>
        <w:trPr>
          <w:trHeight w:val="68"/>
        </w:trPr>
        <w:tc>
          <w:tcPr>
            <w:tcW w:w="242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7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420" w:type="dxa"/>
            <w:vAlign w:val="bottom"/>
          </w:tcPr>
          <w:p>
            <w:pPr>
              <w:ind w:left="100"/>
              <w:spacing w:after="0"/>
              <w:rPr>
                <w:sz w:val="20"/>
                <w:szCs w:val="20"/>
                <w:color w:val="auto"/>
              </w:rPr>
            </w:pPr>
            <w:r>
              <w:rPr>
                <w:rFonts w:ascii="Arial" w:cs="Arial" w:eastAsia="Arial" w:hAnsi="Arial"/>
                <w:sz w:val="18"/>
                <w:szCs w:val="18"/>
                <w:color w:val="3E3935"/>
              </w:rPr>
              <w:t>Barry L. Engle II</w:t>
            </w:r>
            <w:r>
              <w:rPr>
                <w:rFonts w:ascii="Arial" w:cs="Arial" w:eastAsia="Arial" w:hAnsi="Arial"/>
                <w:sz w:val="15"/>
                <w:szCs w:val="15"/>
                <w:color w:val="3E3935"/>
              </w:rPr>
              <w:t>(2)</w:t>
            </w:r>
          </w:p>
        </w:tc>
        <w:tc>
          <w:tcPr>
            <w:tcW w:w="1540" w:type="dxa"/>
            <w:vAlign w:val="bottom"/>
          </w:tcPr>
          <w:p>
            <w:pPr>
              <w:jc w:val="right"/>
              <w:spacing w:after="0"/>
              <w:rPr>
                <w:sz w:val="20"/>
                <w:szCs w:val="20"/>
                <w:color w:val="auto"/>
              </w:rPr>
            </w:pPr>
            <w:r>
              <w:rPr>
                <w:rFonts w:ascii="Arial" w:cs="Arial" w:eastAsia="Arial" w:hAnsi="Arial"/>
                <w:sz w:val="18"/>
                <w:szCs w:val="18"/>
                <w:color w:val="3E3935"/>
              </w:rPr>
              <w:t>850,000</w:t>
            </w:r>
          </w:p>
        </w:tc>
        <w:tc>
          <w:tcPr>
            <w:tcW w:w="680" w:type="dxa"/>
            <w:vAlign w:val="bottom"/>
          </w:tcPr>
          <w:p>
            <w:pPr>
              <w:jc w:val="right"/>
              <w:spacing w:after="0"/>
              <w:rPr>
                <w:sz w:val="20"/>
                <w:szCs w:val="20"/>
                <w:color w:val="auto"/>
              </w:rPr>
            </w:pPr>
            <w:r>
              <w:rPr>
                <w:rFonts w:ascii="Arial" w:cs="Arial" w:eastAsia="Arial" w:hAnsi="Arial"/>
                <w:sz w:val="18"/>
                <w:szCs w:val="18"/>
                <w:color w:val="3E3935"/>
              </w:rPr>
              <w:t>125%</w:t>
            </w:r>
          </w:p>
        </w:tc>
        <w:tc>
          <w:tcPr>
            <w:tcW w:w="960" w:type="dxa"/>
            <w:vAlign w:val="bottom"/>
          </w:tcPr>
          <w:p>
            <w:pPr>
              <w:jc w:val="right"/>
              <w:spacing w:after="0"/>
              <w:rPr>
                <w:sz w:val="20"/>
                <w:szCs w:val="20"/>
                <w:color w:val="auto"/>
              </w:rPr>
            </w:pPr>
            <w:r>
              <w:rPr>
                <w:rFonts w:ascii="Arial" w:cs="Arial" w:eastAsia="Arial" w:hAnsi="Arial"/>
                <w:sz w:val="18"/>
                <w:szCs w:val="18"/>
                <w:color w:val="3E3935"/>
              </w:rPr>
              <w:t>1,062,500</w:t>
            </w:r>
          </w:p>
        </w:tc>
        <w:tc>
          <w:tcPr>
            <w:tcW w:w="1740" w:type="dxa"/>
            <w:vAlign w:val="bottom"/>
          </w:tcPr>
          <w:p>
            <w:pPr>
              <w:jc w:val="right"/>
              <w:ind w:right="198"/>
              <w:spacing w:after="0"/>
              <w:rPr>
                <w:sz w:val="20"/>
                <w:szCs w:val="20"/>
                <w:color w:val="auto"/>
              </w:rPr>
            </w:pPr>
            <w:r>
              <w:rPr>
                <w:rFonts w:ascii="Arial" w:cs="Arial" w:eastAsia="Arial" w:hAnsi="Arial"/>
                <w:sz w:val="18"/>
                <w:szCs w:val="18"/>
                <w:color w:val="3E3935"/>
              </w:rPr>
              <w:t>1,912,500</w:t>
            </w:r>
          </w:p>
        </w:tc>
        <w:tc>
          <w:tcPr>
            <w:tcW w:w="1120" w:type="dxa"/>
            <w:vAlign w:val="bottom"/>
          </w:tcPr>
          <w:p>
            <w:pPr>
              <w:jc w:val="right"/>
              <w:ind w:right="13"/>
              <w:spacing w:after="0"/>
              <w:rPr>
                <w:sz w:val="20"/>
                <w:szCs w:val="20"/>
                <w:color w:val="auto"/>
              </w:rPr>
            </w:pPr>
            <w:r>
              <w:rPr>
                <w:rFonts w:ascii="Arial" w:cs="Arial" w:eastAsia="Arial" w:hAnsi="Arial"/>
                <w:sz w:val="18"/>
                <w:szCs w:val="18"/>
                <w:color w:val="3E3935"/>
              </w:rPr>
              <w:t>3,065,625</w:t>
            </w:r>
          </w:p>
        </w:tc>
        <w:tc>
          <w:tcPr>
            <w:tcW w:w="940" w:type="dxa"/>
            <w:vAlign w:val="bottom"/>
          </w:tcPr>
          <w:p>
            <w:pPr>
              <w:jc w:val="right"/>
              <w:spacing w:after="0"/>
              <w:rPr>
                <w:sz w:val="20"/>
                <w:szCs w:val="20"/>
                <w:color w:val="auto"/>
              </w:rPr>
            </w:pPr>
            <w:r>
              <w:rPr>
                <w:rFonts w:ascii="Arial" w:cs="Arial" w:eastAsia="Arial" w:hAnsi="Arial"/>
                <w:sz w:val="18"/>
                <w:szCs w:val="18"/>
                <w:color w:val="3E3935"/>
              </w:rPr>
              <w:t>1,021,875</w:t>
            </w:r>
          </w:p>
        </w:tc>
        <w:tc>
          <w:tcPr>
            <w:tcW w:w="1520" w:type="dxa"/>
            <w:vAlign w:val="bottom"/>
          </w:tcPr>
          <w:p>
            <w:pPr>
              <w:jc w:val="right"/>
              <w:spacing w:after="0"/>
              <w:rPr>
                <w:sz w:val="20"/>
                <w:szCs w:val="20"/>
                <w:color w:val="auto"/>
              </w:rPr>
            </w:pPr>
            <w:r>
              <w:rPr>
                <w:rFonts w:ascii="Arial" w:cs="Arial" w:eastAsia="Arial" w:hAnsi="Arial"/>
                <w:sz w:val="18"/>
                <w:szCs w:val="18"/>
                <w:color w:val="3E3935"/>
              </w:rPr>
              <w:t>6,000,000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jc w:val="both"/>
        <w:ind w:left="600" w:hanging="433"/>
        <w:spacing w:after="0" w:line="246" w:lineRule="auto"/>
        <w:tabs>
          <w:tab w:leader="none" w:pos="600" w:val="left"/>
        </w:tabs>
        <w:numPr>
          <w:ilvl w:val="0"/>
          <w:numId w:val="74"/>
        </w:numPr>
        <w:rPr>
          <w:rFonts w:ascii="Arial" w:cs="Arial" w:eastAsia="Arial" w:hAnsi="Arial"/>
          <w:sz w:val="18"/>
          <w:szCs w:val="18"/>
          <w:i w:val="1"/>
          <w:iCs w:val="1"/>
          <w:color w:val="3E3935"/>
        </w:rPr>
      </w:pPr>
      <w:r>
        <w:rPr>
          <w:rFonts w:ascii="Arial" w:cs="Arial" w:eastAsia="Arial" w:hAnsi="Arial"/>
          <w:sz w:val="18"/>
          <w:szCs w:val="18"/>
          <w:i w:val="1"/>
          <w:iCs w:val="1"/>
          <w:color w:val="3E3935"/>
        </w:rPr>
        <w:t>The number of PSUs awarded is determined by using the target PSU value divided by the closing stock price on the date of grant. A portion of the PSU award with performance tied to Relative TSR is valued in the Summary Compensation Table using a Monte Carlo analysis resulting in amounts that may be higher or lower than target.</w:t>
      </w:r>
    </w:p>
    <w:p>
      <w:pPr>
        <w:spacing w:after="0" w:line="45" w:lineRule="exact"/>
        <w:rPr>
          <w:rFonts w:ascii="Arial" w:cs="Arial" w:eastAsia="Arial" w:hAnsi="Arial"/>
          <w:sz w:val="18"/>
          <w:szCs w:val="18"/>
          <w:i w:val="1"/>
          <w:iCs w:val="1"/>
          <w:color w:val="3E3935"/>
        </w:rPr>
      </w:pPr>
    </w:p>
    <w:p>
      <w:pPr>
        <w:ind w:left="600" w:hanging="433"/>
        <w:spacing w:after="0"/>
        <w:tabs>
          <w:tab w:leader="none" w:pos="600" w:val="left"/>
        </w:tabs>
        <w:numPr>
          <w:ilvl w:val="0"/>
          <w:numId w:val="74"/>
        </w:numPr>
        <w:rPr>
          <w:rFonts w:ascii="Arial" w:cs="Arial" w:eastAsia="Arial" w:hAnsi="Arial"/>
          <w:sz w:val="18"/>
          <w:szCs w:val="18"/>
          <w:i w:val="1"/>
          <w:iCs w:val="1"/>
          <w:color w:val="3E3935"/>
        </w:rPr>
      </w:pPr>
      <w:r>
        <w:rPr>
          <w:rFonts w:ascii="Arial" w:cs="Arial" w:eastAsia="Arial" w:hAnsi="Arial"/>
          <w:sz w:val="18"/>
          <w:szCs w:val="18"/>
          <w:i w:val="1"/>
          <w:iCs w:val="1"/>
          <w:color w:val="3E3935"/>
        </w:rPr>
        <w:t>Table reflects full-year target total direct compensation. NEOs indicated were only in their roles for a partial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101600</wp:posOffset>
            </wp:positionV>
            <wp:extent cx="5927725" cy="1016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4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50</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Performance Measures</w:t>
      </w:r>
    </w:p>
    <w:p>
      <w:pPr>
        <w:spacing w:after="0" w:line="128" w:lineRule="exact"/>
        <w:rPr>
          <w:sz w:val="20"/>
          <w:szCs w:val="20"/>
          <w:color w:val="auto"/>
        </w:rPr>
      </w:pPr>
    </w:p>
    <w:p>
      <w:pPr>
        <w:ind w:left="700" w:hanging="533"/>
        <w:spacing w:after="0"/>
        <w:tabs>
          <w:tab w:leader="none" w:pos="700" w:val="left"/>
        </w:tabs>
        <w:numPr>
          <w:ilvl w:val="0"/>
          <w:numId w:val="75"/>
        </w:numPr>
        <w:rPr>
          <w:rFonts w:ascii="Arial" w:cs="Arial" w:eastAsia="Arial" w:hAnsi="Arial"/>
          <w:sz w:val="21"/>
          <w:szCs w:val="21"/>
          <w:color w:val="0071CE"/>
        </w:rPr>
      </w:pPr>
      <w:r>
        <w:rPr>
          <w:rFonts w:ascii="Arial" w:cs="Arial" w:eastAsia="Arial" w:hAnsi="Arial"/>
          <w:sz w:val="25"/>
          <w:szCs w:val="25"/>
          <w:color w:val="3E3935"/>
        </w:rPr>
        <w:t>How We Set Performance Targets</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Compensation Committee approves the performance measures for the STIP and LTIP annually. The Compensation Committee reviews recommendations from management, receives input from its independent compensation consultant, evaluates the annual budget and mid-term business plan, and reviews prior year performance to approve value-creating goals tied to long-term shareholder value.</w:t>
      </w:r>
    </w:p>
    <w:p>
      <w:pPr>
        <w:spacing w:after="0" w:line="321" w:lineRule="exact"/>
        <w:rPr>
          <w:sz w:val="20"/>
          <w:szCs w:val="20"/>
          <w:color w:val="auto"/>
        </w:rPr>
      </w:pPr>
    </w:p>
    <w:p>
      <w:pPr>
        <w:ind w:left="700" w:hanging="533"/>
        <w:spacing w:after="0"/>
        <w:tabs>
          <w:tab w:leader="none" w:pos="700" w:val="left"/>
        </w:tabs>
        <w:numPr>
          <w:ilvl w:val="0"/>
          <w:numId w:val="76"/>
        </w:numPr>
        <w:rPr>
          <w:rFonts w:ascii="Arial" w:cs="Arial" w:eastAsia="Arial" w:hAnsi="Arial"/>
          <w:sz w:val="21"/>
          <w:szCs w:val="21"/>
          <w:color w:val="0071CE"/>
        </w:rPr>
      </w:pPr>
      <w:r>
        <w:rPr>
          <w:rFonts w:ascii="Arial" w:cs="Arial" w:eastAsia="Arial" w:hAnsi="Arial"/>
          <w:sz w:val="25"/>
          <w:szCs w:val="25"/>
          <w:color w:val="3E3935"/>
        </w:rPr>
        <w:t>2020 STIP Performance Measures</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STIP performance measures are linked to the Company’s annual financial goals and strategic goals that drive our long-term strategy. The Compensation Committee annually reviews and approves STIP performance measures that align with shareholders’ interests. 2020 STIP targets were set at the beginning of the performance period based on the business plan and prior to the start of the global pandemic.</w:t>
      </w:r>
    </w:p>
    <w:p>
      <w:pPr>
        <w:spacing w:after="0" w:line="116" w:lineRule="exact"/>
        <w:rPr>
          <w:sz w:val="20"/>
          <w:szCs w:val="20"/>
          <w:color w:val="auto"/>
        </w:rPr>
      </w:pPr>
    </w:p>
    <w:p>
      <w:pPr>
        <w:jc w:val="both"/>
        <w:ind w:left="160"/>
        <w:spacing w:after="0" w:line="244" w:lineRule="auto"/>
        <w:rPr>
          <w:sz w:val="20"/>
          <w:szCs w:val="20"/>
          <w:color w:val="auto"/>
        </w:rPr>
      </w:pPr>
      <w:r>
        <w:rPr>
          <w:rFonts w:ascii="Arial" w:cs="Arial" w:eastAsia="Arial" w:hAnsi="Arial"/>
          <w:sz w:val="19"/>
          <w:szCs w:val="19"/>
          <w:color w:val="3E3935"/>
        </w:rPr>
        <w:t>Each year, the Compensation Committee approves strategic goals that align to delivering on our long-term Company strategy and objectives. Following the performance period, the Committee uses a scorecard to assess individual performance results to strategic goals and makes final compensation decisions as discussed beginning on page 57 of this Proxy Statement.</w:t>
      </w:r>
    </w:p>
    <w:p>
      <w:pPr>
        <w:spacing w:after="0" w:line="12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STIP awards, if any, are determined based on final Company performance and the Compensation Committee’s assessment of performance to strategic goals for each NEO. The table below describes each STIP performance measure — its weighting, its target, and the leadership behavior each measure drives. The targets for EBIT-adjusted and Adjusted AFCF aligned to the guidance provided in the Form 10-K for the year ended December 31, 2019, and were set above prior year results and prior to the start of the global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480" w:type="dxa"/>
            <w:vAlign w:val="bottom"/>
          </w:tcPr>
          <w:p>
            <w:pPr>
              <w:ind w:left="120"/>
              <w:spacing w:after="0"/>
              <w:rPr>
                <w:sz w:val="20"/>
                <w:szCs w:val="20"/>
                <w:color w:val="auto"/>
              </w:rPr>
            </w:pPr>
            <w:r>
              <w:rPr>
                <w:rFonts w:ascii="Arial" w:cs="Arial" w:eastAsia="Arial" w:hAnsi="Arial"/>
                <w:sz w:val="20"/>
                <w:szCs w:val="20"/>
                <w:b w:val="1"/>
                <w:bCs w:val="1"/>
                <w:color w:val="00C1DE"/>
              </w:rPr>
              <w:t>STIP Performance</w:t>
            </w: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20" w:type="dxa"/>
            <w:vAlign w:val="bottom"/>
          </w:tcPr>
          <w:p>
            <w:pPr>
              <w:spacing w:after="0"/>
              <w:rPr>
                <w:sz w:val="19"/>
                <w:szCs w:val="19"/>
                <w:color w:val="auto"/>
              </w:rPr>
            </w:pPr>
          </w:p>
        </w:tc>
      </w:tr>
      <w:tr>
        <w:trPr>
          <w:trHeight w:val="273"/>
        </w:trPr>
        <w:tc>
          <w:tcPr>
            <w:tcW w:w="2480" w:type="dxa"/>
            <w:vAlign w:val="bottom"/>
          </w:tcPr>
          <w:p>
            <w:pPr>
              <w:ind w:left="120"/>
              <w:spacing w:after="0"/>
              <w:rPr>
                <w:sz w:val="20"/>
                <w:szCs w:val="20"/>
                <w:color w:val="auto"/>
              </w:rPr>
            </w:pPr>
            <w:r>
              <w:rPr>
                <w:rFonts w:ascii="Arial" w:cs="Arial" w:eastAsia="Arial" w:hAnsi="Arial"/>
                <w:sz w:val="20"/>
                <w:szCs w:val="20"/>
                <w:b w:val="1"/>
                <w:bCs w:val="1"/>
                <w:color w:val="00C1DE"/>
              </w:rPr>
              <w:t>Measure</w:t>
            </w:r>
          </w:p>
        </w:tc>
        <w:tc>
          <w:tcPr>
            <w:tcW w:w="1160" w:type="dxa"/>
            <w:vAlign w:val="bottom"/>
          </w:tcPr>
          <w:p>
            <w:pPr>
              <w:jc w:val="right"/>
              <w:ind w:right="62"/>
              <w:spacing w:after="0"/>
              <w:rPr>
                <w:sz w:val="20"/>
                <w:szCs w:val="20"/>
                <w:color w:val="auto"/>
              </w:rPr>
            </w:pPr>
            <w:r>
              <w:rPr>
                <w:rFonts w:ascii="Arial" w:cs="Arial" w:eastAsia="Arial" w:hAnsi="Arial"/>
                <w:sz w:val="20"/>
                <w:szCs w:val="20"/>
                <w:b w:val="1"/>
                <w:bCs w:val="1"/>
                <w:color w:val="00C1DE"/>
              </w:rPr>
              <w:t>Weight</w:t>
            </w:r>
          </w:p>
        </w:tc>
        <w:tc>
          <w:tcPr>
            <w:tcW w:w="860" w:type="dxa"/>
            <w:vAlign w:val="bottom"/>
          </w:tcPr>
          <w:p>
            <w:pPr>
              <w:jc w:val="right"/>
              <w:ind w:right="2"/>
              <w:spacing w:after="0"/>
              <w:rPr>
                <w:sz w:val="20"/>
                <w:szCs w:val="20"/>
                <w:color w:val="auto"/>
              </w:rPr>
            </w:pPr>
            <w:r>
              <w:rPr>
                <w:rFonts w:ascii="Arial" w:cs="Arial" w:eastAsia="Arial" w:hAnsi="Arial"/>
                <w:sz w:val="20"/>
                <w:szCs w:val="20"/>
                <w:b w:val="1"/>
                <w:bCs w:val="1"/>
                <w:color w:val="00C1DE"/>
              </w:rPr>
              <w:t>Target</w:t>
            </w:r>
          </w:p>
        </w:tc>
        <w:tc>
          <w:tcPr>
            <w:tcW w:w="6420" w:type="dxa"/>
            <w:vAlign w:val="bottom"/>
          </w:tcPr>
          <w:p>
            <w:pPr>
              <w:ind w:left="100"/>
              <w:spacing w:after="0"/>
              <w:rPr>
                <w:sz w:val="20"/>
                <w:szCs w:val="20"/>
                <w:color w:val="auto"/>
              </w:rPr>
            </w:pPr>
            <w:r>
              <w:rPr>
                <w:rFonts w:ascii="Arial" w:cs="Arial" w:eastAsia="Arial" w:hAnsi="Arial"/>
                <w:sz w:val="20"/>
                <w:szCs w:val="20"/>
                <w:b w:val="1"/>
                <w:bCs w:val="1"/>
                <w:color w:val="00C1DE"/>
              </w:rPr>
              <w:t>Leadership Behaviors</w:t>
            </w:r>
          </w:p>
        </w:tc>
      </w:tr>
      <w:tr>
        <w:trPr>
          <w:trHeight w:val="62"/>
        </w:trPr>
        <w:tc>
          <w:tcPr>
            <w:tcW w:w="2480" w:type="dxa"/>
            <w:vAlign w:val="bottom"/>
            <w:tcBorders>
              <w:bottom w:val="single" w:sz="8" w:color="00C1DE"/>
            </w:tcBorders>
          </w:tcPr>
          <w:p>
            <w:pPr>
              <w:spacing w:after="0"/>
              <w:rPr>
                <w:sz w:val="5"/>
                <w:szCs w:val="5"/>
                <w:color w:val="auto"/>
              </w:rPr>
            </w:pPr>
          </w:p>
        </w:tc>
        <w:tc>
          <w:tcPr>
            <w:tcW w:w="1160" w:type="dxa"/>
            <w:vAlign w:val="bottom"/>
            <w:tcBorders>
              <w:bottom w:val="single" w:sz="8" w:color="00C1DE"/>
            </w:tcBorders>
          </w:tcPr>
          <w:p>
            <w:pPr>
              <w:spacing w:after="0"/>
              <w:rPr>
                <w:sz w:val="5"/>
                <w:szCs w:val="5"/>
                <w:color w:val="auto"/>
              </w:rPr>
            </w:pPr>
          </w:p>
        </w:tc>
        <w:tc>
          <w:tcPr>
            <w:tcW w:w="860" w:type="dxa"/>
            <w:vAlign w:val="bottom"/>
            <w:tcBorders>
              <w:bottom w:val="single" w:sz="8" w:color="00C1DE"/>
            </w:tcBorders>
          </w:tcPr>
          <w:p>
            <w:pPr>
              <w:spacing w:after="0"/>
              <w:rPr>
                <w:sz w:val="5"/>
                <w:szCs w:val="5"/>
                <w:color w:val="auto"/>
              </w:rPr>
            </w:pPr>
          </w:p>
        </w:tc>
        <w:tc>
          <w:tcPr>
            <w:tcW w:w="6420" w:type="dxa"/>
            <w:vAlign w:val="bottom"/>
            <w:tcBorders>
              <w:bottom w:val="single" w:sz="8" w:color="00C1DE"/>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b w:val="1"/>
                <w:bCs w:val="1"/>
                <w:color w:val="3E3935"/>
              </w:rPr>
              <w:t>EBIT-adjusted ($B)</w:t>
            </w:r>
            <w:r>
              <w:rPr>
                <w:rFonts w:ascii="Arial" w:cs="Arial" w:eastAsia="Arial" w:hAnsi="Arial"/>
                <w:sz w:val="16"/>
                <w:szCs w:val="16"/>
                <w:b w:val="1"/>
                <w:bCs w:val="1"/>
                <w:color w:val="3E3935"/>
              </w:rPr>
              <w:t>(1)</w:t>
            </w:r>
          </w:p>
        </w:tc>
        <w:tc>
          <w:tcPr>
            <w:tcW w:w="1160" w:type="dxa"/>
            <w:vAlign w:val="bottom"/>
          </w:tcPr>
          <w:p>
            <w:pPr>
              <w:jc w:val="right"/>
              <w:ind w:right="62"/>
              <w:spacing w:after="0"/>
              <w:rPr>
                <w:sz w:val="20"/>
                <w:szCs w:val="20"/>
                <w:color w:val="auto"/>
              </w:rPr>
            </w:pPr>
            <w:r>
              <w:rPr>
                <w:rFonts w:ascii="Arial" w:cs="Arial" w:eastAsia="Arial" w:hAnsi="Arial"/>
                <w:sz w:val="20"/>
                <w:szCs w:val="20"/>
                <w:color w:val="3E3935"/>
              </w:rPr>
              <w:t>50%</w:t>
            </w:r>
          </w:p>
        </w:tc>
        <w:tc>
          <w:tcPr>
            <w:tcW w:w="860" w:type="dxa"/>
            <w:vAlign w:val="bottom"/>
          </w:tcPr>
          <w:p>
            <w:pPr>
              <w:jc w:val="right"/>
              <w:ind w:right="2"/>
              <w:spacing w:after="0"/>
              <w:rPr>
                <w:sz w:val="20"/>
                <w:szCs w:val="20"/>
                <w:color w:val="auto"/>
              </w:rPr>
            </w:pPr>
            <w:r>
              <w:rPr>
                <w:rFonts w:ascii="Arial" w:cs="Arial" w:eastAsia="Arial" w:hAnsi="Arial"/>
                <w:sz w:val="20"/>
                <w:szCs w:val="20"/>
                <w:color w:val="3E3935"/>
              </w:rPr>
              <w:t>$12.9</w:t>
            </w:r>
          </w:p>
        </w:tc>
        <w:tc>
          <w:tcPr>
            <w:tcW w:w="6420" w:type="dxa"/>
            <w:vAlign w:val="bottom"/>
          </w:tcPr>
          <w:p>
            <w:pPr>
              <w:ind w:left="100"/>
              <w:spacing w:after="0"/>
              <w:rPr>
                <w:sz w:val="20"/>
                <w:szCs w:val="20"/>
                <w:color w:val="auto"/>
              </w:rPr>
            </w:pPr>
            <w:r>
              <w:rPr>
                <w:rFonts w:ascii="Arial" w:cs="Arial" w:eastAsia="Arial" w:hAnsi="Arial"/>
                <w:sz w:val="20"/>
                <w:szCs w:val="20"/>
                <w:color w:val="3E3935"/>
              </w:rPr>
              <w:t>Focus on operating profit and driving strong profitability</w:t>
            </w:r>
          </w:p>
        </w:tc>
      </w:tr>
      <w:tr>
        <w:trPr>
          <w:trHeight w:val="62"/>
        </w:trPr>
        <w:tc>
          <w:tcPr>
            <w:tcW w:w="2480" w:type="dxa"/>
            <w:vAlign w:val="bottom"/>
            <w:tcBorders>
              <w:bottom w:val="single" w:sz="8" w:color="3E3935"/>
            </w:tcBorders>
          </w:tcPr>
          <w:p>
            <w:pPr>
              <w:spacing w:after="0"/>
              <w:rPr>
                <w:sz w:val="5"/>
                <w:szCs w:val="5"/>
                <w:color w:val="auto"/>
              </w:rPr>
            </w:pPr>
          </w:p>
        </w:tc>
        <w:tc>
          <w:tcPr>
            <w:tcW w:w="1160" w:type="dxa"/>
            <w:vAlign w:val="bottom"/>
            <w:tcBorders>
              <w:bottom w:val="single" w:sz="8" w:color="3E3935"/>
            </w:tcBorders>
          </w:tcPr>
          <w:p>
            <w:pPr>
              <w:spacing w:after="0"/>
              <w:rPr>
                <w:sz w:val="5"/>
                <w:szCs w:val="5"/>
                <w:color w:val="auto"/>
              </w:rPr>
            </w:pPr>
          </w:p>
        </w:tc>
        <w:tc>
          <w:tcPr>
            <w:tcW w:w="860" w:type="dxa"/>
            <w:vAlign w:val="bottom"/>
            <w:tcBorders>
              <w:bottom w:val="single" w:sz="8" w:color="3E3935"/>
            </w:tcBorders>
          </w:tcPr>
          <w:p>
            <w:pPr>
              <w:spacing w:after="0"/>
              <w:rPr>
                <w:sz w:val="5"/>
                <w:szCs w:val="5"/>
                <w:color w:val="auto"/>
              </w:rPr>
            </w:pPr>
          </w:p>
        </w:tc>
        <w:tc>
          <w:tcPr>
            <w:tcW w:w="64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b w:val="1"/>
                <w:bCs w:val="1"/>
                <w:color w:val="3E3935"/>
              </w:rPr>
              <w:t>Adjusted AFCF ($B)</w:t>
            </w:r>
            <w:r>
              <w:rPr>
                <w:rFonts w:ascii="Arial" w:cs="Arial" w:eastAsia="Arial" w:hAnsi="Arial"/>
                <w:sz w:val="16"/>
                <w:szCs w:val="16"/>
                <w:b w:val="1"/>
                <w:bCs w:val="1"/>
                <w:color w:val="3E3935"/>
              </w:rPr>
              <w:t>(2)</w:t>
            </w:r>
          </w:p>
        </w:tc>
        <w:tc>
          <w:tcPr>
            <w:tcW w:w="1160" w:type="dxa"/>
            <w:vAlign w:val="bottom"/>
          </w:tcPr>
          <w:p>
            <w:pPr>
              <w:jc w:val="right"/>
              <w:ind w:right="62"/>
              <w:spacing w:after="0"/>
              <w:rPr>
                <w:sz w:val="20"/>
                <w:szCs w:val="20"/>
                <w:color w:val="auto"/>
              </w:rPr>
            </w:pPr>
            <w:r>
              <w:rPr>
                <w:rFonts w:ascii="Arial" w:cs="Arial" w:eastAsia="Arial" w:hAnsi="Arial"/>
                <w:sz w:val="20"/>
                <w:szCs w:val="20"/>
                <w:color w:val="3E3935"/>
              </w:rPr>
              <w:t>25%</w:t>
            </w:r>
          </w:p>
        </w:tc>
        <w:tc>
          <w:tcPr>
            <w:tcW w:w="860" w:type="dxa"/>
            <w:vAlign w:val="bottom"/>
          </w:tcPr>
          <w:p>
            <w:pPr>
              <w:jc w:val="right"/>
              <w:ind w:right="2"/>
              <w:spacing w:after="0"/>
              <w:rPr>
                <w:sz w:val="20"/>
                <w:szCs w:val="20"/>
                <w:color w:val="auto"/>
              </w:rPr>
            </w:pPr>
            <w:r>
              <w:rPr>
                <w:rFonts w:ascii="Arial" w:cs="Arial" w:eastAsia="Arial" w:hAnsi="Arial"/>
                <w:sz w:val="20"/>
                <w:szCs w:val="20"/>
                <w:color w:val="3E3935"/>
              </w:rPr>
              <w:t>$7.1</w:t>
            </w:r>
          </w:p>
        </w:tc>
        <w:tc>
          <w:tcPr>
            <w:tcW w:w="6420" w:type="dxa"/>
            <w:vAlign w:val="bottom"/>
          </w:tcPr>
          <w:p>
            <w:pPr>
              <w:ind w:left="100"/>
              <w:spacing w:after="0"/>
              <w:rPr>
                <w:sz w:val="20"/>
                <w:szCs w:val="20"/>
                <w:color w:val="auto"/>
              </w:rPr>
            </w:pPr>
            <w:r>
              <w:rPr>
                <w:rFonts w:ascii="Arial" w:cs="Arial" w:eastAsia="Arial" w:hAnsi="Arial"/>
                <w:sz w:val="20"/>
                <w:szCs w:val="20"/>
                <w:color w:val="3E3935"/>
              </w:rPr>
              <w:t>Focus on driving strong cash flow to invest in the business</w:t>
            </w:r>
          </w:p>
        </w:tc>
      </w:tr>
      <w:tr>
        <w:trPr>
          <w:trHeight w:val="62"/>
        </w:trPr>
        <w:tc>
          <w:tcPr>
            <w:tcW w:w="2480" w:type="dxa"/>
            <w:vAlign w:val="bottom"/>
            <w:tcBorders>
              <w:bottom w:val="single" w:sz="8" w:color="3E3935"/>
            </w:tcBorders>
          </w:tcPr>
          <w:p>
            <w:pPr>
              <w:spacing w:after="0"/>
              <w:rPr>
                <w:sz w:val="5"/>
                <w:szCs w:val="5"/>
                <w:color w:val="auto"/>
              </w:rPr>
            </w:pPr>
          </w:p>
        </w:tc>
        <w:tc>
          <w:tcPr>
            <w:tcW w:w="1160" w:type="dxa"/>
            <w:vAlign w:val="bottom"/>
            <w:tcBorders>
              <w:bottom w:val="single" w:sz="8" w:color="3E3935"/>
            </w:tcBorders>
          </w:tcPr>
          <w:p>
            <w:pPr>
              <w:spacing w:after="0"/>
              <w:rPr>
                <w:sz w:val="5"/>
                <w:szCs w:val="5"/>
                <w:color w:val="auto"/>
              </w:rPr>
            </w:pPr>
          </w:p>
        </w:tc>
        <w:tc>
          <w:tcPr>
            <w:tcW w:w="860" w:type="dxa"/>
            <w:vAlign w:val="bottom"/>
            <w:tcBorders>
              <w:bottom w:val="single" w:sz="8" w:color="3E3935"/>
            </w:tcBorders>
          </w:tcPr>
          <w:p>
            <w:pPr>
              <w:spacing w:after="0"/>
              <w:rPr>
                <w:sz w:val="5"/>
                <w:szCs w:val="5"/>
                <w:color w:val="auto"/>
              </w:rPr>
            </w:pPr>
          </w:p>
        </w:tc>
        <w:tc>
          <w:tcPr>
            <w:tcW w:w="6420" w:type="dxa"/>
            <w:vAlign w:val="bottom"/>
            <w:tcBorders>
              <w:bottom w:val="single" w:sz="8" w:color="3E3935"/>
            </w:tcBorders>
          </w:tcPr>
          <w:p>
            <w:pPr>
              <w:spacing w:after="0"/>
              <w:rPr>
                <w:sz w:val="5"/>
                <w:szCs w:val="5"/>
                <w:color w:val="auto"/>
              </w:rPr>
            </w:pPr>
          </w:p>
        </w:tc>
      </w:tr>
      <w:tr>
        <w:trPr>
          <w:trHeight w:val="341"/>
        </w:trPr>
        <w:tc>
          <w:tcPr>
            <w:tcW w:w="2480" w:type="dxa"/>
            <w:vAlign w:val="bottom"/>
          </w:tcPr>
          <w:p>
            <w:pPr>
              <w:ind w:left="100"/>
              <w:spacing w:after="0"/>
              <w:rPr>
                <w:sz w:val="20"/>
                <w:szCs w:val="20"/>
                <w:color w:val="auto"/>
              </w:rPr>
            </w:pPr>
            <w:r>
              <w:rPr>
                <w:rFonts w:ascii="Arial" w:cs="Arial" w:eastAsia="Arial" w:hAnsi="Arial"/>
                <w:sz w:val="20"/>
                <w:szCs w:val="20"/>
                <w:b w:val="1"/>
                <w:bCs w:val="1"/>
                <w:color w:val="3E3935"/>
              </w:rPr>
              <w:t>Strategic Goals</w:t>
            </w:r>
          </w:p>
        </w:tc>
        <w:tc>
          <w:tcPr>
            <w:tcW w:w="1160" w:type="dxa"/>
            <w:vAlign w:val="bottom"/>
          </w:tcPr>
          <w:p>
            <w:pPr>
              <w:jc w:val="right"/>
              <w:ind w:right="62"/>
              <w:spacing w:after="0"/>
              <w:rPr>
                <w:sz w:val="20"/>
                <w:szCs w:val="20"/>
                <w:color w:val="auto"/>
              </w:rPr>
            </w:pPr>
            <w:r>
              <w:rPr>
                <w:rFonts w:ascii="Arial" w:cs="Arial" w:eastAsia="Arial" w:hAnsi="Arial"/>
                <w:sz w:val="20"/>
                <w:szCs w:val="20"/>
                <w:color w:val="3E3935"/>
              </w:rPr>
              <w:t>25%</w:t>
            </w:r>
          </w:p>
        </w:tc>
        <w:tc>
          <w:tcPr>
            <w:tcW w:w="860" w:type="dxa"/>
            <w:vAlign w:val="bottom"/>
          </w:tcPr>
          <w:p>
            <w:pPr>
              <w:jc w:val="right"/>
              <w:ind w:right="2"/>
              <w:spacing w:after="0"/>
              <w:rPr>
                <w:sz w:val="20"/>
                <w:szCs w:val="20"/>
                <w:color w:val="auto"/>
              </w:rPr>
            </w:pPr>
            <w:r>
              <w:rPr>
                <w:rFonts w:ascii="Arial" w:cs="Arial" w:eastAsia="Arial" w:hAnsi="Arial"/>
                <w:sz w:val="20"/>
                <w:szCs w:val="20"/>
                <w:color w:val="3E3935"/>
              </w:rPr>
              <w:t>25 pts.</w:t>
            </w:r>
          </w:p>
        </w:tc>
        <w:tc>
          <w:tcPr>
            <w:tcW w:w="6420" w:type="dxa"/>
            <w:vAlign w:val="bottom"/>
          </w:tcPr>
          <w:p>
            <w:pPr>
              <w:ind w:left="100"/>
              <w:spacing w:after="0"/>
              <w:rPr>
                <w:sz w:val="20"/>
                <w:szCs w:val="20"/>
                <w:color w:val="auto"/>
              </w:rPr>
            </w:pPr>
            <w:r>
              <w:rPr>
                <w:rFonts w:ascii="Arial" w:cs="Arial" w:eastAsia="Arial" w:hAnsi="Arial"/>
                <w:sz w:val="20"/>
                <w:szCs w:val="20"/>
                <w:color w:val="3E3935"/>
              </w:rPr>
              <w:t>Focus on performance that aligns to the Company vision and drives</w:t>
            </w:r>
          </w:p>
        </w:tc>
      </w:tr>
      <w:tr>
        <w:trPr>
          <w:trHeight w:val="235"/>
        </w:trPr>
        <w:tc>
          <w:tcPr>
            <w:tcW w:w="2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20" w:type="dxa"/>
            <w:vAlign w:val="bottom"/>
          </w:tcPr>
          <w:p>
            <w:pPr>
              <w:ind w:left="100"/>
              <w:spacing w:after="0"/>
              <w:rPr>
                <w:sz w:val="20"/>
                <w:szCs w:val="20"/>
                <w:color w:val="auto"/>
              </w:rPr>
            </w:pPr>
            <w:r>
              <w:rPr>
                <w:rFonts w:ascii="Arial" w:cs="Arial" w:eastAsia="Arial" w:hAnsi="Arial"/>
                <w:sz w:val="20"/>
                <w:szCs w:val="20"/>
                <w:color w:val="3E3935"/>
              </w:rPr>
              <w:t>business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7" w:lineRule="exact"/>
        <w:rPr>
          <w:sz w:val="20"/>
          <w:szCs w:val="20"/>
          <w:color w:val="auto"/>
        </w:rPr>
      </w:pPr>
    </w:p>
    <w:p>
      <w:pPr>
        <w:ind w:left="600" w:hanging="433"/>
        <w:spacing w:after="0" w:line="260" w:lineRule="auto"/>
        <w:tabs>
          <w:tab w:leader="none" w:pos="600" w:val="left"/>
        </w:tabs>
        <w:numPr>
          <w:ilvl w:val="0"/>
          <w:numId w:val="77"/>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the impact of Cruise. For a description of how EBIT-adjusted is calculated, see Appendix A of this Proxy Statement.</w:t>
      </w:r>
    </w:p>
    <w:p>
      <w:pPr>
        <w:spacing w:after="0" w:line="32" w:lineRule="exact"/>
        <w:rPr>
          <w:rFonts w:ascii="Arial" w:cs="Arial" w:eastAsia="Arial" w:hAnsi="Arial"/>
          <w:sz w:val="18"/>
          <w:szCs w:val="18"/>
          <w:i w:val="1"/>
          <w:iCs w:val="1"/>
          <w:color w:val="3E3935"/>
        </w:rPr>
      </w:pPr>
    </w:p>
    <w:p>
      <w:pPr>
        <w:ind w:left="600" w:hanging="433"/>
        <w:spacing w:after="0" w:line="260" w:lineRule="auto"/>
        <w:tabs>
          <w:tab w:leader="none" w:pos="600" w:val="left"/>
        </w:tabs>
        <w:numPr>
          <w:ilvl w:val="0"/>
          <w:numId w:val="77"/>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payments related to certain recall-related expenses attributable to events occurring in 2014. For a description of how Adjusted AFCF is calculated, see Appendix A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75565</wp:posOffset>
            </wp:positionV>
            <wp:extent cx="5927725" cy="1016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51</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potential payouts for each Company performance measure ranges from 0% to 200% of target based on actual Company performance. The payout for threshold performance is 25% for both EBIT-adjusted and Adjusted AFCF; performance below threshold results in a 0% payout. Final STIP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142875</wp:posOffset>
            </wp:positionV>
            <wp:extent cx="5146675" cy="17665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667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0" w:hanging="533"/>
        <w:spacing w:after="0"/>
        <w:tabs>
          <w:tab w:leader="none" w:pos="700" w:val="left"/>
        </w:tabs>
        <w:numPr>
          <w:ilvl w:val="0"/>
          <w:numId w:val="78"/>
        </w:numPr>
        <w:rPr>
          <w:rFonts w:ascii="Arial" w:cs="Arial" w:eastAsia="Arial" w:hAnsi="Arial"/>
          <w:sz w:val="21"/>
          <w:szCs w:val="21"/>
          <w:color w:val="0071CE"/>
        </w:rPr>
      </w:pPr>
      <w:r>
        <w:rPr>
          <w:rFonts w:ascii="Arial" w:cs="Arial" w:eastAsia="Arial" w:hAnsi="Arial"/>
          <w:sz w:val="25"/>
          <w:szCs w:val="25"/>
          <w:color w:val="3E3935"/>
        </w:rPr>
        <w:t>2020–2022 LTIP Performance Measures</w:t>
      </w:r>
    </w:p>
    <w:p>
      <w:pPr>
        <w:spacing w:after="0" w:line="149"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color w:val="3E3935"/>
        </w:rPr>
        <w:t>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input provided by its independent compensation consultant. The structure includes 75% PSUs and 25% Stock Options. PSUs cliff-vest following a three-year performance period, and Stock Options vest ratably over three years.</w:t>
      </w:r>
    </w:p>
    <w:p>
      <w:pPr>
        <w:spacing w:after="0" w:line="12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PSUs are based on Relative ROIC-adjusted and Relative TSR performance against our OEM peer group shown on page 46 of this Proxy Statement. Beginning in 2020, PSUs are equally weighted for Relative ROIC-adjusted and Relative TSR, and both measures are subject to performance caps. The PSU performance measures promote the efficient use of capital for long-term growth in shareholder value with an increased focus on stock price appreciation. The table below describes each PSU performance measure — its weighting, the leadership behavior each measure drives, and its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15201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1520190"/>
                    </a:xfrm>
                    <a:prstGeom prst="rect">
                      <a:avLst/>
                    </a:prstGeom>
                    <a:noFill/>
                  </pic:spPr>
                </pic:pic>
              </a:graphicData>
            </a:graphic>
          </wp:anchor>
        </w:drawing>
      </w:r>
    </w:p>
    <w:p>
      <w:pPr>
        <w:spacing w:after="0" w:line="380"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00C1DE"/>
        </w:rPr>
        <w:t>Performance</w:t>
      </w:r>
    </w:p>
    <w:p>
      <w:pPr>
        <w:spacing w:after="0" w:line="8" w:lineRule="exact"/>
        <w:rPr>
          <w:sz w:val="20"/>
          <w:szCs w:val="20"/>
          <w:color w:val="auto"/>
        </w:rPr>
      </w:pPr>
    </w:p>
    <w:p>
      <w:pPr>
        <w:ind w:left="280"/>
        <w:spacing w:after="0"/>
        <w:tabs>
          <w:tab w:leader="none" w:pos="1980" w:val="left"/>
          <w:tab w:leader="none" w:pos="2820" w:val="left"/>
        </w:tabs>
        <w:rPr>
          <w:sz w:val="20"/>
          <w:szCs w:val="20"/>
          <w:color w:val="auto"/>
        </w:rPr>
      </w:pPr>
      <w:r>
        <w:rPr>
          <w:rFonts w:ascii="Arial" w:cs="Arial" w:eastAsia="Arial" w:hAnsi="Arial"/>
          <w:sz w:val="20"/>
          <w:szCs w:val="20"/>
          <w:b w:val="1"/>
          <w:bCs w:val="1"/>
          <w:color w:val="00C1DE"/>
        </w:rPr>
        <w:t>Measure</w:t>
      </w:r>
      <w:r>
        <w:rPr>
          <w:sz w:val="20"/>
          <w:szCs w:val="20"/>
          <w:color w:val="auto"/>
        </w:rPr>
        <w:tab/>
      </w:r>
      <w:r>
        <w:rPr>
          <w:rFonts w:ascii="Arial" w:cs="Arial" w:eastAsia="Arial" w:hAnsi="Arial"/>
          <w:sz w:val="20"/>
          <w:szCs w:val="20"/>
          <w:b w:val="1"/>
          <w:bCs w:val="1"/>
          <w:color w:val="00C1DE"/>
        </w:rPr>
        <w:t>Weight</w:t>
      </w:r>
      <w:r>
        <w:rPr>
          <w:sz w:val="20"/>
          <w:szCs w:val="20"/>
          <w:color w:val="auto"/>
        </w:rPr>
        <w:tab/>
      </w:r>
      <w:r>
        <w:rPr>
          <w:rFonts w:ascii="Arial" w:cs="Arial" w:eastAsia="Arial" w:hAnsi="Arial"/>
          <w:sz w:val="19"/>
          <w:szCs w:val="19"/>
          <w:b w:val="1"/>
          <w:bCs w:val="1"/>
          <w:color w:val="00C1DE"/>
        </w:rPr>
        <w:t>Leadership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51435</wp:posOffset>
            </wp:positionV>
            <wp:extent cx="40252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02526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6"/>
          <w:szCs w:val="16"/>
          <w:color w:val="3E3935"/>
        </w:rPr>
        <w:t>Relative</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3E3935"/>
        </w:rPr>
        <w:t>ROIC-adjusted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3E3935"/>
        </w:rPr>
        <w:t>Focus on making sound investments that follow the</w:t>
      </w:r>
    </w:p>
    <w:p>
      <w:pPr>
        <w:spacing w:after="0" w:line="3" w:lineRule="exact"/>
        <w:rPr>
          <w:sz w:val="20"/>
          <w:szCs w:val="20"/>
          <w:color w:val="auto"/>
        </w:rPr>
      </w:pPr>
    </w:p>
    <w:p>
      <w:pPr>
        <w:ind w:right="4740" w:hanging="499"/>
        <w:spacing w:after="0" w:line="185" w:lineRule="auto"/>
        <w:rPr>
          <w:sz w:val="20"/>
          <w:szCs w:val="20"/>
          <w:color w:val="auto"/>
        </w:rPr>
      </w:pPr>
      <w:r>
        <w:rPr>
          <w:rFonts w:ascii="Arial" w:cs="Arial" w:eastAsia="Arial" w:hAnsi="Arial"/>
          <w:sz w:val="32"/>
          <w:szCs w:val="32"/>
          <w:color w:val="3E3935"/>
          <w:vertAlign w:val="subscript"/>
        </w:rPr>
        <w:t>50%</w:t>
      </w:r>
      <w:r>
        <w:rPr>
          <w:sz w:val="20"/>
          <w:szCs w:val="20"/>
          <w:color w:val="auto"/>
        </w:rPr>
        <w:t xml:space="preserve"> </w:t>
      </w:r>
      <w:r>
        <w:rPr>
          <w:rFonts w:ascii="Arial" w:cs="Arial" w:eastAsia="Arial" w:hAnsi="Arial"/>
          <w:sz w:val="16"/>
          <w:szCs w:val="16"/>
          <w:color w:val="3E3935"/>
        </w:rPr>
        <w:t>disciplined capital approach of driving 20% or higher returns in world-class vehicles and leading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122555</wp:posOffset>
            </wp:positionV>
            <wp:extent cx="40252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25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240"/>
          </w:cols>
          <w:pgMar w:left="320" w:top="456" w:right="499" w:bottom="1440" w:gutter="0" w:footer="0" w:header="0"/>
          <w:type w:val="continuous"/>
        </w:sectPr>
      </w:pPr>
    </w:p>
    <w:p>
      <w:pPr>
        <w:spacing w:after="0" w:line="89"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1500" w:type="dxa"/>
            <w:vAlign w:val="bottom"/>
            <w:vMerge w:val="restart"/>
          </w:tcPr>
          <w:p>
            <w:pPr>
              <w:spacing w:after="0"/>
              <w:rPr>
                <w:sz w:val="20"/>
                <w:szCs w:val="20"/>
                <w:color w:val="auto"/>
              </w:rPr>
            </w:pPr>
            <w:r>
              <w:rPr>
                <w:rFonts w:ascii="Arial" w:cs="Arial" w:eastAsia="Arial" w:hAnsi="Arial"/>
                <w:sz w:val="16"/>
                <w:szCs w:val="16"/>
                <w:color w:val="3E3935"/>
              </w:rPr>
              <w:t>Relative TSR</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3E3935"/>
              </w:rPr>
              <w:t>50%</w:t>
            </w:r>
          </w:p>
        </w:tc>
        <w:tc>
          <w:tcPr>
            <w:tcW w:w="3240" w:type="dxa"/>
            <w:vAlign w:val="bottom"/>
          </w:tcPr>
          <w:p>
            <w:pPr>
              <w:ind w:left="100"/>
              <w:spacing w:after="0"/>
              <w:rPr>
                <w:sz w:val="20"/>
                <w:szCs w:val="20"/>
                <w:color w:val="auto"/>
              </w:rPr>
            </w:pPr>
            <w:r>
              <w:rPr>
                <w:rFonts w:ascii="Arial" w:cs="Arial" w:eastAsia="Arial" w:hAnsi="Arial"/>
                <w:sz w:val="16"/>
                <w:szCs w:val="16"/>
                <w:color w:val="3E3935"/>
                <w:w w:val="99"/>
              </w:rPr>
              <w:t>Focus on delivering shareholder returns that</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3240" w:type="dxa"/>
            <w:vAlign w:val="bottom"/>
            <w:vMerge w:val="restart"/>
          </w:tcPr>
          <w:p>
            <w:pPr>
              <w:ind w:left="100"/>
              <w:spacing w:after="0"/>
              <w:rPr>
                <w:sz w:val="20"/>
                <w:szCs w:val="20"/>
                <w:color w:val="auto"/>
              </w:rPr>
            </w:pPr>
            <w:r>
              <w:rPr>
                <w:rFonts w:ascii="Arial" w:cs="Arial" w:eastAsia="Arial" w:hAnsi="Arial"/>
                <w:sz w:val="16"/>
                <w:szCs w:val="16"/>
                <w:color w:val="3E3935"/>
              </w:rPr>
              <w:t>outperform our OEM peer group</w:t>
            </w: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105410</wp:posOffset>
            </wp:positionV>
            <wp:extent cx="40252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025265" cy="8255"/>
                    </a:xfrm>
                    <a:prstGeom prst="rect">
                      <a:avLst/>
                    </a:prstGeom>
                    <a:noFill/>
                  </pic:spPr>
                </pic:pic>
              </a:graphicData>
            </a:graphic>
          </wp:anchor>
        </w:drawing>
      </w:r>
    </w:p>
    <w:p>
      <w:pPr>
        <w:spacing w:after="0" w:line="221" w:lineRule="exact"/>
        <w:rPr>
          <w:sz w:val="20"/>
          <w:szCs w:val="20"/>
          <w:color w:val="auto"/>
        </w:rPr>
      </w:pPr>
    </w:p>
    <w:p>
      <w:pPr>
        <w:ind w:left="600" w:hanging="433"/>
        <w:spacing w:after="0" w:line="260" w:lineRule="auto"/>
        <w:tabs>
          <w:tab w:leader="none" w:pos="600" w:val="left"/>
        </w:tabs>
        <w:numPr>
          <w:ilvl w:val="0"/>
          <w:numId w:val="79"/>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 and Relative TSR is capped at target if GM’s TSR is negative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75565</wp:posOffset>
            </wp:positionV>
            <wp:extent cx="5927725" cy="1016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52</w:t>
      </w:r>
    </w:p>
    <w:p>
      <w:pPr>
        <w:sectPr>
          <w:pgSz w:w="11900" w:h="16838" w:orient="portrait"/>
          <w:cols w:equalWidth="0" w:num="1">
            <w:col w:w="11080"/>
          </w:cols>
          <w:pgMar w:left="320" w:top="456" w:right="4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2020–2022 PSUs vest and are awarded and delivered following the completion of the three-year performance period beginning January 1, 2020, and may be earned at a level between 0% and 200% of target based on actual Company results relative to the OEM peer group.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142875</wp:posOffset>
            </wp:positionV>
            <wp:extent cx="4696460" cy="17665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9646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0" w:hanging="533"/>
        <w:spacing w:after="0"/>
        <w:tabs>
          <w:tab w:leader="none" w:pos="700" w:val="left"/>
        </w:tabs>
        <w:numPr>
          <w:ilvl w:val="0"/>
          <w:numId w:val="80"/>
        </w:numPr>
        <w:rPr>
          <w:rFonts w:ascii="Arial" w:cs="Arial" w:eastAsia="Arial" w:hAnsi="Arial"/>
          <w:sz w:val="21"/>
          <w:szCs w:val="21"/>
          <w:color w:val="0071CE"/>
        </w:rPr>
      </w:pPr>
      <w:r>
        <w:rPr>
          <w:rFonts w:ascii="Arial" w:cs="Arial" w:eastAsia="Arial" w:hAnsi="Arial"/>
          <w:sz w:val="25"/>
          <w:szCs w:val="25"/>
          <w:color w:val="3E3935"/>
        </w:rPr>
        <w:t>Summary of Outstanding Performance Awards</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Each PSU award features a three-year performance period resulting in overlapping awards that, in aggregate, cover a five-year period. The potential payout for each PSU award ranges from 0% to 200%. The table below illustrates the performance period for the three outstanding PSU awards as of the filing date of this Proxy Statement and the corresponding performance measures and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143510</wp:posOffset>
            </wp:positionV>
            <wp:extent cx="6454140" cy="21399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454140"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0" w:hanging="433"/>
        <w:spacing w:after="0"/>
        <w:tabs>
          <w:tab w:leader="none" w:pos="600" w:val="left"/>
        </w:tabs>
        <w:numPr>
          <w:ilvl w:val="0"/>
          <w:numId w:val="81"/>
        </w:numPr>
        <w:rPr>
          <w:rFonts w:ascii="Arial" w:cs="Arial" w:eastAsia="Arial" w:hAnsi="Arial"/>
          <w:sz w:val="18"/>
          <w:szCs w:val="18"/>
          <w:i w:val="1"/>
          <w:iCs w:val="1"/>
          <w:color w:val="3E3935"/>
        </w:rPr>
      </w:pPr>
      <w:r>
        <w:rPr>
          <w:rFonts w:ascii="Arial" w:cs="Arial" w:eastAsia="Arial" w:hAnsi="Arial"/>
          <w:sz w:val="18"/>
          <w:szCs w:val="18"/>
          <w:i w:val="1"/>
          <w:iCs w:val="1"/>
          <w:color w:val="3E3935"/>
        </w:rPr>
        <w:t>The performance of each PSU award will be measured and determined at the end of the performance period.</w:t>
      </w:r>
    </w:p>
    <w:p>
      <w:pPr>
        <w:spacing w:after="0" w:line="73" w:lineRule="exact"/>
        <w:rPr>
          <w:rFonts w:ascii="Arial" w:cs="Arial" w:eastAsia="Arial" w:hAnsi="Arial"/>
          <w:sz w:val="18"/>
          <w:szCs w:val="18"/>
          <w:i w:val="1"/>
          <w:iCs w:val="1"/>
          <w:color w:val="3E3935"/>
        </w:rPr>
      </w:pPr>
    </w:p>
    <w:p>
      <w:pPr>
        <w:ind w:left="600" w:right="340" w:hanging="433"/>
        <w:spacing w:after="0" w:line="260" w:lineRule="auto"/>
        <w:tabs>
          <w:tab w:leader="none" w:pos="600" w:val="left"/>
        </w:tabs>
        <w:numPr>
          <w:ilvl w:val="0"/>
          <w:numId w:val="81"/>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 and Relative TSR is capped at target if GM’s TSR is negative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75565</wp:posOffset>
            </wp:positionV>
            <wp:extent cx="5927725" cy="1016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53</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Performance Results and Compensation Decisions</w:t>
      </w:r>
    </w:p>
    <w:p>
      <w:pPr>
        <w:spacing w:after="0" w:line="155" w:lineRule="exact"/>
        <w:rPr>
          <w:sz w:val="20"/>
          <w:szCs w:val="20"/>
          <w:color w:val="auto"/>
        </w:rPr>
      </w:pPr>
    </w:p>
    <w:p>
      <w:pPr>
        <w:ind w:left="700" w:hanging="533"/>
        <w:spacing w:after="0"/>
        <w:tabs>
          <w:tab w:leader="none" w:pos="700" w:val="left"/>
        </w:tabs>
        <w:numPr>
          <w:ilvl w:val="0"/>
          <w:numId w:val="82"/>
        </w:numPr>
        <w:rPr>
          <w:rFonts w:ascii="Arial" w:cs="Arial" w:eastAsia="Arial" w:hAnsi="Arial"/>
          <w:sz w:val="21"/>
          <w:szCs w:val="21"/>
          <w:color w:val="0071CE"/>
        </w:rPr>
      </w:pPr>
      <w:r>
        <w:rPr>
          <w:rFonts w:ascii="Arial" w:cs="Arial" w:eastAsia="Arial" w:hAnsi="Arial"/>
          <w:sz w:val="25"/>
          <w:szCs w:val="25"/>
          <w:color w:val="3E3935"/>
        </w:rPr>
        <w:t>2020 STIP Results</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In 2020, the Company not only responded to the challenges presented by the global pandemic, which included work stoppages and global restrictions on consumers that impacted sales, but also positioned itself to emerge from the crisis in a stronger position by accelerating our long-term strategy of an all-electric future in the areas of EV and AV technologies.</w:t>
      </w:r>
    </w:p>
    <w:p>
      <w:pPr>
        <w:spacing w:after="0" w:line="128"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3E3935"/>
        </w:rPr>
        <w:t>During 2020, the Compensation Committee regularly reviewed and assessed Company performance. Following the completion of the performance year, the Committee completed a comprehensive assessment of total business results, including:</w:t>
      </w:r>
    </w:p>
    <w:p>
      <w:pPr>
        <w:spacing w:after="0" w:line="90" w:lineRule="exact"/>
        <w:rPr>
          <w:sz w:val="20"/>
          <w:szCs w:val="20"/>
          <w:color w:val="auto"/>
        </w:rPr>
      </w:pPr>
    </w:p>
    <w:p>
      <w:pPr>
        <w:jc w:val="both"/>
        <w:ind w:left="720"/>
        <w:spacing w:after="0" w:line="239" w:lineRule="auto"/>
        <w:rPr>
          <w:sz w:val="20"/>
          <w:szCs w:val="20"/>
          <w:color w:val="auto"/>
        </w:rPr>
      </w:pPr>
      <w:r>
        <w:rPr>
          <w:rFonts w:ascii="Arial" w:cs="Arial" w:eastAsia="Arial" w:hAnsi="Arial"/>
          <w:sz w:val="20"/>
          <w:szCs w:val="20"/>
          <w:b w:val="1"/>
          <w:bCs w:val="1"/>
          <w:color w:val="0071CE"/>
        </w:rPr>
        <w:t xml:space="preserve">Initial Response to COVID-19 </w:t>
      </w:r>
      <w:r>
        <w:rPr>
          <w:rFonts w:ascii="Arial" w:cs="Arial" w:eastAsia="Arial" w:hAnsi="Arial"/>
          <w:sz w:val="20"/>
          <w:szCs w:val="20"/>
          <w:color w:val="3E3935"/>
        </w:rPr>
        <w:t>— How the Company responded to the immediate uncertainty of COVID-19 and its</w:t>
      </w:r>
      <w:r>
        <w:rPr>
          <w:rFonts w:ascii="Arial" w:cs="Arial" w:eastAsia="Arial" w:hAnsi="Arial"/>
          <w:sz w:val="20"/>
          <w:szCs w:val="20"/>
          <w:b w:val="1"/>
          <w:bCs w:val="1"/>
          <w:color w:val="0071CE"/>
        </w:rPr>
        <w:t xml:space="preserve"> </w:t>
      </w:r>
      <w:r>
        <w:rPr>
          <w:rFonts w:ascii="Arial" w:cs="Arial" w:eastAsia="Arial" w:hAnsi="Arial"/>
          <w:sz w:val="20"/>
          <w:szCs w:val="20"/>
          <w:color w:val="3E3935"/>
        </w:rPr>
        <w:t>swift, societal response of re-focusing efforts to manufacture ventilators, masks, and other personal protective equipment, which were in short supply and desperately needed.</w:t>
      </w:r>
    </w:p>
    <w:p>
      <w:pPr>
        <w:spacing w:after="0" w:line="102" w:lineRule="exact"/>
        <w:rPr>
          <w:sz w:val="20"/>
          <w:szCs w:val="20"/>
          <w:color w:val="auto"/>
        </w:rPr>
      </w:pPr>
    </w:p>
    <w:p>
      <w:pPr>
        <w:jc w:val="both"/>
        <w:ind w:left="720" w:right="20"/>
        <w:spacing w:after="0" w:line="254" w:lineRule="auto"/>
        <w:rPr>
          <w:sz w:val="20"/>
          <w:szCs w:val="20"/>
          <w:color w:val="auto"/>
        </w:rPr>
      </w:pPr>
      <w:r>
        <w:rPr>
          <w:rFonts w:ascii="Arial" w:cs="Arial" w:eastAsia="Arial" w:hAnsi="Arial"/>
          <w:sz w:val="20"/>
          <w:szCs w:val="20"/>
          <w:b w:val="1"/>
          <w:bCs w:val="1"/>
          <w:color w:val="0071CE"/>
        </w:rPr>
        <w:t xml:space="preserve">Adaptation During COVID-19 </w:t>
      </w:r>
      <w:r>
        <w:rPr>
          <w:rFonts w:ascii="Arial" w:cs="Arial" w:eastAsia="Arial" w:hAnsi="Arial"/>
          <w:sz w:val="20"/>
          <w:szCs w:val="20"/>
          <w:color w:val="3E3935"/>
        </w:rPr>
        <w:t>— How the Company adapted to meet the continued uncertainty and challenges faced</w:t>
      </w:r>
      <w:r>
        <w:rPr>
          <w:rFonts w:ascii="Arial" w:cs="Arial" w:eastAsia="Arial" w:hAnsi="Arial"/>
          <w:sz w:val="20"/>
          <w:szCs w:val="20"/>
          <w:b w:val="1"/>
          <w:bCs w:val="1"/>
          <w:color w:val="0071CE"/>
        </w:rPr>
        <w:t xml:space="preserve"> </w:t>
      </w:r>
      <w:r>
        <w:rPr>
          <w:rFonts w:ascii="Arial" w:cs="Arial" w:eastAsia="Arial" w:hAnsi="Arial"/>
          <w:sz w:val="20"/>
          <w:szCs w:val="20"/>
          <w:color w:val="3E3935"/>
        </w:rPr>
        <w:t>during COVID-19 and developed plans to safely reopen manufacturing sites.</w:t>
      </w:r>
    </w:p>
    <w:p>
      <w:pPr>
        <w:spacing w:after="0" w:line="88" w:lineRule="exact"/>
        <w:rPr>
          <w:sz w:val="20"/>
          <w:szCs w:val="20"/>
          <w:color w:val="auto"/>
        </w:rPr>
      </w:pPr>
    </w:p>
    <w:p>
      <w:pPr>
        <w:jc w:val="both"/>
        <w:ind w:left="720"/>
        <w:spacing w:after="0" w:line="239" w:lineRule="auto"/>
        <w:rPr>
          <w:sz w:val="20"/>
          <w:szCs w:val="20"/>
          <w:color w:val="auto"/>
        </w:rPr>
      </w:pPr>
      <w:r>
        <w:rPr>
          <w:rFonts w:ascii="Arial" w:cs="Arial" w:eastAsia="Arial" w:hAnsi="Arial"/>
          <w:sz w:val="20"/>
          <w:szCs w:val="20"/>
          <w:b w:val="1"/>
          <w:bCs w:val="1"/>
          <w:color w:val="0071CE"/>
        </w:rPr>
        <w:t xml:space="preserve">Operating in a COVID-19 Environment </w:t>
      </w:r>
      <w:r>
        <w:rPr>
          <w:rFonts w:ascii="Arial" w:cs="Arial" w:eastAsia="Arial" w:hAnsi="Arial"/>
          <w:sz w:val="20"/>
          <w:szCs w:val="20"/>
          <w:color w:val="3E3935"/>
        </w:rPr>
        <w:t>— How the Company conserved cash and still delivered strong 2020 financial</w:t>
      </w:r>
      <w:r>
        <w:rPr>
          <w:rFonts w:ascii="Arial" w:cs="Arial" w:eastAsia="Arial" w:hAnsi="Arial"/>
          <w:sz w:val="20"/>
          <w:szCs w:val="20"/>
          <w:b w:val="1"/>
          <w:bCs w:val="1"/>
          <w:color w:val="0071CE"/>
        </w:rPr>
        <w:t xml:space="preserve"> </w:t>
      </w:r>
      <w:r>
        <w:rPr>
          <w:rFonts w:ascii="Arial" w:cs="Arial" w:eastAsia="Arial" w:hAnsi="Arial"/>
          <w:sz w:val="20"/>
          <w:szCs w:val="20"/>
          <w:color w:val="3E3935"/>
        </w:rPr>
        <w:t>results and other key business highlights as detailed in the “Our Company Performance” section on page 42 of this Proxy Statement, along with the collective achievement of strategic goals.</w:t>
      </w:r>
    </w:p>
    <w:p>
      <w:pPr>
        <w:spacing w:after="0" w:line="89" w:lineRule="exact"/>
        <w:rPr>
          <w:sz w:val="20"/>
          <w:szCs w:val="20"/>
          <w:color w:val="auto"/>
        </w:rPr>
      </w:pPr>
    </w:p>
    <w:p>
      <w:pPr>
        <w:jc w:val="both"/>
        <w:ind w:left="720"/>
        <w:spacing w:after="0" w:line="254" w:lineRule="auto"/>
        <w:rPr>
          <w:sz w:val="20"/>
          <w:szCs w:val="20"/>
          <w:color w:val="auto"/>
        </w:rPr>
      </w:pPr>
      <w:r>
        <w:rPr>
          <w:rFonts w:ascii="Arial" w:cs="Arial" w:eastAsia="Arial" w:hAnsi="Arial"/>
          <w:sz w:val="20"/>
          <w:szCs w:val="20"/>
          <w:b w:val="1"/>
          <w:bCs w:val="1"/>
          <w:color w:val="0071CE"/>
        </w:rPr>
        <w:t xml:space="preserve">STIP Results to Pre-Established Targets </w:t>
      </w:r>
      <w:r>
        <w:rPr>
          <w:rFonts w:ascii="Arial" w:cs="Arial" w:eastAsia="Arial" w:hAnsi="Arial"/>
          <w:sz w:val="20"/>
          <w:szCs w:val="20"/>
          <w:color w:val="3E3935"/>
        </w:rPr>
        <w:t>— How the Company performed relative to the targets set at the beginning</w:t>
      </w:r>
      <w:r>
        <w:rPr>
          <w:rFonts w:ascii="Arial" w:cs="Arial" w:eastAsia="Arial" w:hAnsi="Arial"/>
          <w:sz w:val="20"/>
          <w:szCs w:val="20"/>
          <w:b w:val="1"/>
          <w:bCs w:val="1"/>
          <w:color w:val="0071CE"/>
        </w:rPr>
        <w:t xml:space="preserve"> </w:t>
      </w:r>
      <w:r>
        <w:rPr>
          <w:rFonts w:ascii="Arial" w:cs="Arial" w:eastAsia="Arial" w:hAnsi="Arial"/>
          <w:sz w:val="20"/>
          <w:szCs w:val="20"/>
          <w:color w:val="3E3935"/>
        </w:rPr>
        <w:t>of the plan year prior to the start of the pandemic.</w:t>
      </w:r>
    </w:p>
    <w:p>
      <w:pPr>
        <w:spacing w:after="0" w:line="88" w:lineRule="exact"/>
        <w:rPr>
          <w:sz w:val="20"/>
          <w:szCs w:val="20"/>
          <w:color w:val="auto"/>
        </w:rPr>
      </w:pPr>
    </w:p>
    <w:p>
      <w:pPr>
        <w:jc w:val="both"/>
        <w:ind w:left="720" w:right="20"/>
        <w:spacing w:after="0" w:line="254" w:lineRule="auto"/>
        <w:rPr>
          <w:sz w:val="20"/>
          <w:szCs w:val="20"/>
          <w:color w:val="auto"/>
        </w:rPr>
      </w:pPr>
      <w:r>
        <w:rPr>
          <w:rFonts w:ascii="Arial" w:cs="Arial" w:eastAsia="Arial" w:hAnsi="Arial"/>
          <w:sz w:val="20"/>
          <w:szCs w:val="20"/>
          <w:b w:val="1"/>
          <w:bCs w:val="1"/>
          <w:color w:val="0071CE"/>
        </w:rPr>
        <w:t xml:space="preserve">Delivering on Our EV and AV Strategy </w:t>
      </w:r>
      <w:r>
        <w:rPr>
          <w:rFonts w:ascii="Arial" w:cs="Arial" w:eastAsia="Arial" w:hAnsi="Arial"/>
          <w:sz w:val="20"/>
          <w:szCs w:val="20"/>
          <w:color w:val="3E3935"/>
        </w:rPr>
        <w:t>— How the Company continued to invest and accelerate plans for an</w:t>
      </w:r>
      <w:r>
        <w:rPr>
          <w:rFonts w:ascii="Arial" w:cs="Arial" w:eastAsia="Arial" w:hAnsi="Arial"/>
          <w:sz w:val="20"/>
          <w:szCs w:val="20"/>
          <w:b w:val="1"/>
          <w:bCs w:val="1"/>
          <w:color w:val="0071CE"/>
        </w:rPr>
        <w:t xml:space="preserve"> </w:t>
      </w:r>
      <w:r>
        <w:rPr>
          <w:rFonts w:ascii="Arial" w:cs="Arial" w:eastAsia="Arial" w:hAnsi="Arial"/>
          <w:sz w:val="20"/>
          <w:szCs w:val="20"/>
          <w:color w:val="3E3935"/>
        </w:rPr>
        <w:t>all-electric future.</w:t>
      </w:r>
    </w:p>
    <w:p>
      <w:pPr>
        <w:spacing w:after="0" w:line="17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Despite the impact of the global pandemic, which disrupted operations and resulted in multiple plant closures and unprecedented global supply chain challenges, the Company delivered strong performance, reflected in EBIT-adjusted and Adjusted AFCF results. These performance measures and goals (threshold, target, and maximum), comprising the Company portion of the 2020 STIP, were set at the beginning of the performance period prior to the onset of the COVID-19 pandemic and were not adjusted during the year. In addition to Company financial measures, a portion of each NEO’s STIP evaluates his or her performance against pre-established strategic goals.</w:t>
      </w:r>
    </w:p>
    <w:p>
      <w:pPr>
        <w:spacing w:after="0" w:line="193"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3E3935"/>
        </w:rPr>
        <w:t>Given Company performance, actions taken, and results achieved during an unprecedented year, using informed judgement the Compensation Committee approved the final STIP performance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720" w:type="dxa"/>
            <w:vAlign w:val="bottom"/>
            <w:tcBorders>
              <w:top w:val="single" w:sz="8" w:color="00C1DE"/>
            </w:tcBorders>
          </w:tcPr>
          <w:p>
            <w:pPr>
              <w:spacing w:after="0"/>
              <w:rPr>
                <w:sz w:val="18"/>
                <w:szCs w:val="18"/>
                <w:color w:val="auto"/>
              </w:rPr>
            </w:pPr>
          </w:p>
        </w:tc>
        <w:tc>
          <w:tcPr>
            <w:tcW w:w="1060" w:type="dxa"/>
            <w:vAlign w:val="bottom"/>
            <w:tcBorders>
              <w:top w:val="single" w:sz="8" w:color="00C1DE"/>
            </w:tcBorders>
          </w:tcPr>
          <w:p>
            <w:pPr>
              <w:spacing w:after="0"/>
              <w:rPr>
                <w:sz w:val="18"/>
                <w:szCs w:val="18"/>
                <w:color w:val="auto"/>
              </w:rPr>
            </w:pPr>
          </w:p>
        </w:tc>
        <w:tc>
          <w:tcPr>
            <w:tcW w:w="1700" w:type="dxa"/>
            <w:vAlign w:val="bottom"/>
            <w:tcBorders>
              <w:top w:val="single" w:sz="8" w:color="00C1DE"/>
            </w:tcBorders>
          </w:tcPr>
          <w:p>
            <w:pPr>
              <w:spacing w:after="0"/>
              <w:rPr>
                <w:sz w:val="18"/>
                <w:szCs w:val="18"/>
                <w:color w:val="auto"/>
              </w:rPr>
            </w:pPr>
          </w:p>
        </w:tc>
        <w:tc>
          <w:tcPr>
            <w:tcW w:w="1360" w:type="dxa"/>
            <w:vAlign w:val="bottom"/>
            <w:tcBorders>
              <w:top w:val="single" w:sz="8" w:color="00C1DE"/>
            </w:tcBorders>
          </w:tcPr>
          <w:p>
            <w:pPr>
              <w:spacing w:after="0"/>
              <w:rPr>
                <w:sz w:val="18"/>
                <w:szCs w:val="18"/>
                <w:color w:val="auto"/>
              </w:rPr>
            </w:pPr>
          </w:p>
        </w:tc>
        <w:tc>
          <w:tcPr>
            <w:tcW w:w="1540" w:type="dxa"/>
            <w:vAlign w:val="bottom"/>
            <w:tcBorders>
              <w:top w:val="single" w:sz="8" w:color="00C1DE"/>
            </w:tcBorders>
          </w:tcPr>
          <w:p>
            <w:pPr>
              <w:spacing w:after="0"/>
              <w:rPr>
                <w:sz w:val="18"/>
                <w:szCs w:val="18"/>
                <w:color w:val="auto"/>
              </w:rPr>
            </w:pPr>
          </w:p>
        </w:tc>
        <w:tc>
          <w:tcPr>
            <w:tcW w:w="1540" w:type="dxa"/>
            <w:vAlign w:val="bottom"/>
            <w:tcBorders>
              <w:top w:val="single" w:sz="8" w:color="00C1DE"/>
            </w:tcBorders>
          </w:tcPr>
          <w:p>
            <w:pPr>
              <w:jc w:val="right"/>
              <w:spacing w:after="0" w:line="213" w:lineRule="exact"/>
              <w:rPr>
                <w:sz w:val="20"/>
                <w:szCs w:val="20"/>
                <w:color w:val="auto"/>
              </w:rPr>
            </w:pPr>
            <w:r>
              <w:rPr>
                <w:rFonts w:ascii="Arial" w:cs="Arial" w:eastAsia="Arial" w:hAnsi="Arial"/>
                <w:sz w:val="20"/>
                <w:szCs w:val="20"/>
                <w:b w:val="1"/>
                <w:bCs w:val="1"/>
                <w:color w:val="00C1DE"/>
              </w:rPr>
              <w:t>Performance</w:t>
            </w:r>
          </w:p>
        </w:tc>
      </w:tr>
      <w:tr>
        <w:trPr>
          <w:trHeight w:val="273"/>
        </w:trPr>
        <w:tc>
          <w:tcPr>
            <w:tcW w:w="3720" w:type="dxa"/>
            <w:vAlign w:val="bottom"/>
          </w:tcPr>
          <w:p>
            <w:pPr>
              <w:ind w:left="120"/>
              <w:spacing w:after="0"/>
              <w:rPr>
                <w:sz w:val="20"/>
                <w:szCs w:val="20"/>
                <w:color w:val="auto"/>
              </w:rPr>
            </w:pPr>
            <w:r>
              <w:rPr>
                <w:rFonts w:ascii="Arial" w:cs="Arial" w:eastAsia="Arial" w:hAnsi="Arial"/>
                <w:sz w:val="20"/>
                <w:szCs w:val="20"/>
                <w:b w:val="1"/>
                <w:bCs w:val="1"/>
                <w:color w:val="00C1DE"/>
              </w:rPr>
              <w:t>STIP Measure</w:t>
            </w:r>
          </w:p>
        </w:tc>
        <w:tc>
          <w:tcPr>
            <w:tcW w:w="1060" w:type="dxa"/>
            <w:vAlign w:val="bottom"/>
          </w:tcPr>
          <w:p>
            <w:pPr>
              <w:jc w:val="right"/>
              <w:ind w:right="262"/>
              <w:spacing w:after="0"/>
              <w:rPr>
                <w:sz w:val="20"/>
                <w:szCs w:val="20"/>
                <w:color w:val="auto"/>
              </w:rPr>
            </w:pPr>
            <w:r>
              <w:rPr>
                <w:rFonts w:ascii="Arial" w:cs="Arial" w:eastAsia="Arial" w:hAnsi="Arial"/>
                <w:sz w:val="20"/>
                <w:szCs w:val="20"/>
                <w:b w:val="1"/>
                <w:bCs w:val="1"/>
                <w:color w:val="00C1DE"/>
              </w:rPr>
              <w:t>Weight</w:t>
            </w:r>
          </w:p>
        </w:tc>
        <w:tc>
          <w:tcPr>
            <w:tcW w:w="1700" w:type="dxa"/>
            <w:vAlign w:val="bottom"/>
          </w:tcPr>
          <w:p>
            <w:pPr>
              <w:jc w:val="right"/>
              <w:ind w:right="282"/>
              <w:spacing w:after="0"/>
              <w:rPr>
                <w:sz w:val="20"/>
                <w:szCs w:val="20"/>
                <w:color w:val="auto"/>
              </w:rPr>
            </w:pPr>
            <w:r>
              <w:rPr>
                <w:rFonts w:ascii="Arial" w:cs="Arial" w:eastAsia="Arial" w:hAnsi="Arial"/>
                <w:sz w:val="20"/>
                <w:szCs w:val="20"/>
                <w:b w:val="1"/>
                <w:bCs w:val="1"/>
                <w:color w:val="00C1DE"/>
              </w:rPr>
              <w:t>Threshold</w:t>
            </w:r>
          </w:p>
        </w:tc>
        <w:tc>
          <w:tcPr>
            <w:tcW w:w="1360" w:type="dxa"/>
            <w:vAlign w:val="bottom"/>
          </w:tcPr>
          <w:p>
            <w:pPr>
              <w:jc w:val="right"/>
              <w:ind w:right="262"/>
              <w:spacing w:after="0"/>
              <w:rPr>
                <w:sz w:val="20"/>
                <w:szCs w:val="20"/>
                <w:color w:val="auto"/>
              </w:rPr>
            </w:pPr>
            <w:r>
              <w:rPr>
                <w:rFonts w:ascii="Arial" w:cs="Arial" w:eastAsia="Arial" w:hAnsi="Arial"/>
                <w:sz w:val="20"/>
                <w:szCs w:val="20"/>
                <w:b w:val="1"/>
                <w:bCs w:val="1"/>
                <w:color w:val="00C1DE"/>
              </w:rPr>
              <w:t>Target</w:t>
            </w:r>
          </w:p>
        </w:tc>
        <w:tc>
          <w:tcPr>
            <w:tcW w:w="1540" w:type="dxa"/>
            <w:vAlign w:val="bottom"/>
          </w:tcPr>
          <w:p>
            <w:pPr>
              <w:jc w:val="right"/>
              <w:ind w:right="182"/>
              <w:spacing w:after="0"/>
              <w:rPr>
                <w:sz w:val="20"/>
                <w:szCs w:val="20"/>
                <w:color w:val="auto"/>
              </w:rPr>
            </w:pPr>
            <w:r>
              <w:rPr>
                <w:rFonts w:ascii="Arial" w:cs="Arial" w:eastAsia="Arial" w:hAnsi="Arial"/>
                <w:sz w:val="20"/>
                <w:szCs w:val="20"/>
                <w:b w:val="1"/>
                <w:bCs w:val="1"/>
                <w:color w:val="00C1DE"/>
              </w:rPr>
              <w:t>Maximum</w:t>
            </w:r>
          </w:p>
        </w:tc>
        <w:tc>
          <w:tcPr>
            <w:tcW w:w="1540" w:type="dxa"/>
            <w:vAlign w:val="bottom"/>
          </w:tcPr>
          <w:p>
            <w:pPr>
              <w:jc w:val="right"/>
              <w:spacing w:after="0"/>
              <w:rPr>
                <w:sz w:val="20"/>
                <w:szCs w:val="20"/>
                <w:color w:val="auto"/>
              </w:rPr>
            </w:pPr>
            <w:r>
              <w:rPr>
                <w:rFonts w:ascii="Arial" w:cs="Arial" w:eastAsia="Arial" w:hAnsi="Arial"/>
                <w:sz w:val="20"/>
                <w:szCs w:val="20"/>
                <w:b w:val="1"/>
                <w:bCs w:val="1"/>
                <w:color w:val="00C1DE"/>
              </w:rPr>
              <w:t>Results</w:t>
            </w:r>
          </w:p>
        </w:tc>
      </w:tr>
      <w:tr>
        <w:trPr>
          <w:trHeight w:val="62"/>
        </w:trPr>
        <w:tc>
          <w:tcPr>
            <w:tcW w:w="3720" w:type="dxa"/>
            <w:vAlign w:val="bottom"/>
            <w:tcBorders>
              <w:bottom w:val="single" w:sz="8" w:color="00C1DE"/>
            </w:tcBorders>
          </w:tcPr>
          <w:p>
            <w:pPr>
              <w:spacing w:after="0"/>
              <w:rPr>
                <w:sz w:val="5"/>
                <w:szCs w:val="5"/>
                <w:color w:val="auto"/>
              </w:rPr>
            </w:pPr>
          </w:p>
        </w:tc>
        <w:tc>
          <w:tcPr>
            <w:tcW w:w="1060" w:type="dxa"/>
            <w:vAlign w:val="bottom"/>
            <w:tcBorders>
              <w:bottom w:val="single" w:sz="8" w:color="00C1DE"/>
            </w:tcBorders>
          </w:tcPr>
          <w:p>
            <w:pPr>
              <w:spacing w:after="0"/>
              <w:rPr>
                <w:sz w:val="5"/>
                <w:szCs w:val="5"/>
                <w:color w:val="auto"/>
              </w:rPr>
            </w:pPr>
          </w:p>
        </w:tc>
        <w:tc>
          <w:tcPr>
            <w:tcW w:w="1700" w:type="dxa"/>
            <w:vAlign w:val="bottom"/>
            <w:tcBorders>
              <w:bottom w:val="single" w:sz="8" w:color="00C1DE"/>
            </w:tcBorders>
          </w:tcPr>
          <w:p>
            <w:pPr>
              <w:spacing w:after="0"/>
              <w:rPr>
                <w:sz w:val="5"/>
                <w:szCs w:val="5"/>
                <w:color w:val="auto"/>
              </w:rPr>
            </w:pPr>
          </w:p>
        </w:tc>
        <w:tc>
          <w:tcPr>
            <w:tcW w:w="1360" w:type="dxa"/>
            <w:vAlign w:val="bottom"/>
            <w:tcBorders>
              <w:bottom w:val="single" w:sz="8" w:color="00C1DE"/>
            </w:tcBorders>
          </w:tcPr>
          <w:p>
            <w:pPr>
              <w:spacing w:after="0"/>
              <w:rPr>
                <w:sz w:val="5"/>
                <w:szCs w:val="5"/>
                <w:color w:val="auto"/>
              </w:rPr>
            </w:pPr>
          </w:p>
        </w:tc>
        <w:tc>
          <w:tcPr>
            <w:tcW w:w="1540" w:type="dxa"/>
            <w:vAlign w:val="bottom"/>
            <w:tcBorders>
              <w:bottom w:val="single" w:sz="8" w:color="00C1DE"/>
            </w:tcBorders>
          </w:tcPr>
          <w:p>
            <w:pPr>
              <w:spacing w:after="0"/>
              <w:rPr>
                <w:sz w:val="5"/>
                <w:szCs w:val="5"/>
                <w:color w:val="auto"/>
              </w:rPr>
            </w:pPr>
          </w:p>
        </w:tc>
        <w:tc>
          <w:tcPr>
            <w:tcW w:w="1540" w:type="dxa"/>
            <w:vAlign w:val="bottom"/>
            <w:tcBorders>
              <w:bottom w:val="single" w:sz="8" w:color="00C1DE"/>
            </w:tcBorders>
          </w:tcPr>
          <w:p>
            <w:pPr>
              <w:spacing w:after="0"/>
              <w:rPr>
                <w:sz w:val="5"/>
                <w:szCs w:val="5"/>
                <w:color w:val="auto"/>
              </w:rPr>
            </w:pPr>
          </w:p>
        </w:tc>
      </w:tr>
      <w:tr>
        <w:trPr>
          <w:trHeight w:val="292"/>
        </w:trPr>
        <w:tc>
          <w:tcPr>
            <w:tcW w:w="3720" w:type="dxa"/>
            <w:vAlign w:val="bottom"/>
          </w:tcPr>
          <w:p>
            <w:pPr>
              <w:ind w:left="100"/>
              <w:spacing w:after="0"/>
              <w:rPr>
                <w:sz w:val="20"/>
                <w:szCs w:val="20"/>
                <w:color w:val="auto"/>
              </w:rPr>
            </w:pPr>
            <w:r>
              <w:rPr>
                <w:rFonts w:ascii="Arial" w:cs="Arial" w:eastAsia="Arial" w:hAnsi="Arial"/>
                <w:sz w:val="20"/>
                <w:szCs w:val="20"/>
                <w:color w:val="3E3935"/>
              </w:rPr>
              <w:t>EBIT-adjusted ($B)</w:t>
            </w:r>
            <w:r>
              <w:rPr>
                <w:rFonts w:ascii="Arial" w:cs="Arial" w:eastAsia="Arial" w:hAnsi="Arial"/>
                <w:sz w:val="16"/>
                <w:szCs w:val="16"/>
                <w:color w:val="3E3935"/>
              </w:rPr>
              <w:t>(1)</w:t>
            </w:r>
          </w:p>
        </w:tc>
        <w:tc>
          <w:tcPr>
            <w:tcW w:w="1060" w:type="dxa"/>
            <w:vAlign w:val="bottom"/>
          </w:tcPr>
          <w:p>
            <w:pPr>
              <w:jc w:val="right"/>
              <w:ind w:right="262"/>
              <w:spacing w:after="0"/>
              <w:rPr>
                <w:sz w:val="20"/>
                <w:szCs w:val="20"/>
                <w:color w:val="auto"/>
              </w:rPr>
            </w:pPr>
            <w:r>
              <w:rPr>
                <w:rFonts w:ascii="Arial" w:cs="Arial" w:eastAsia="Arial" w:hAnsi="Arial"/>
                <w:sz w:val="20"/>
                <w:szCs w:val="20"/>
                <w:color w:val="3E3935"/>
              </w:rPr>
              <w:t>50%</w:t>
            </w:r>
          </w:p>
        </w:tc>
        <w:tc>
          <w:tcPr>
            <w:tcW w:w="1700" w:type="dxa"/>
            <w:vAlign w:val="bottom"/>
          </w:tcPr>
          <w:p>
            <w:pPr>
              <w:jc w:val="right"/>
              <w:ind w:right="282"/>
              <w:spacing w:after="0"/>
              <w:rPr>
                <w:sz w:val="20"/>
                <w:szCs w:val="20"/>
                <w:color w:val="auto"/>
              </w:rPr>
            </w:pPr>
            <w:r>
              <w:rPr>
                <w:rFonts w:ascii="Arial" w:cs="Arial" w:eastAsia="Arial" w:hAnsi="Arial"/>
                <w:sz w:val="20"/>
                <w:szCs w:val="20"/>
                <w:color w:val="3E3935"/>
              </w:rPr>
              <w:t>$7.0</w:t>
            </w:r>
          </w:p>
        </w:tc>
        <w:tc>
          <w:tcPr>
            <w:tcW w:w="1360" w:type="dxa"/>
            <w:vAlign w:val="bottom"/>
          </w:tcPr>
          <w:p>
            <w:pPr>
              <w:jc w:val="right"/>
              <w:ind w:right="262"/>
              <w:spacing w:after="0"/>
              <w:rPr>
                <w:sz w:val="20"/>
                <w:szCs w:val="20"/>
                <w:color w:val="auto"/>
              </w:rPr>
            </w:pPr>
            <w:r>
              <w:rPr>
                <w:rFonts w:ascii="Arial" w:cs="Arial" w:eastAsia="Arial" w:hAnsi="Arial"/>
                <w:sz w:val="20"/>
                <w:szCs w:val="20"/>
                <w:color w:val="3E3935"/>
              </w:rPr>
              <w:t>$12.9</w:t>
            </w:r>
          </w:p>
        </w:tc>
        <w:tc>
          <w:tcPr>
            <w:tcW w:w="1540" w:type="dxa"/>
            <w:vAlign w:val="bottom"/>
          </w:tcPr>
          <w:p>
            <w:pPr>
              <w:jc w:val="right"/>
              <w:ind w:right="182"/>
              <w:spacing w:after="0"/>
              <w:rPr>
                <w:sz w:val="20"/>
                <w:szCs w:val="20"/>
                <w:color w:val="auto"/>
              </w:rPr>
            </w:pPr>
            <w:r>
              <w:rPr>
                <w:rFonts w:ascii="Arial" w:cs="Arial" w:eastAsia="Arial" w:hAnsi="Arial"/>
                <w:sz w:val="20"/>
                <w:szCs w:val="20"/>
                <w:color w:val="3E3935"/>
              </w:rPr>
              <w:t>$14.8</w:t>
            </w:r>
          </w:p>
        </w:tc>
        <w:tc>
          <w:tcPr>
            <w:tcW w:w="1540" w:type="dxa"/>
            <w:vAlign w:val="bottom"/>
          </w:tcPr>
          <w:p>
            <w:pPr>
              <w:jc w:val="right"/>
              <w:spacing w:after="0"/>
              <w:rPr>
                <w:sz w:val="20"/>
                <w:szCs w:val="20"/>
                <w:color w:val="auto"/>
              </w:rPr>
            </w:pPr>
            <w:r>
              <w:rPr>
                <w:rFonts w:ascii="Arial" w:cs="Arial" w:eastAsia="Arial" w:hAnsi="Arial"/>
                <w:sz w:val="20"/>
                <w:szCs w:val="20"/>
                <w:color w:val="3E3935"/>
              </w:rPr>
              <w:t>$10.6</w:t>
            </w:r>
          </w:p>
        </w:tc>
      </w:tr>
      <w:tr>
        <w:trPr>
          <w:trHeight w:val="62"/>
        </w:trPr>
        <w:tc>
          <w:tcPr>
            <w:tcW w:w="372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c>
          <w:tcPr>
            <w:tcW w:w="136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r>
      <w:tr>
        <w:trPr>
          <w:trHeight w:val="292"/>
        </w:trPr>
        <w:tc>
          <w:tcPr>
            <w:tcW w:w="3720" w:type="dxa"/>
            <w:vAlign w:val="bottom"/>
          </w:tcPr>
          <w:p>
            <w:pPr>
              <w:ind w:left="100"/>
              <w:spacing w:after="0"/>
              <w:rPr>
                <w:sz w:val="20"/>
                <w:szCs w:val="20"/>
                <w:color w:val="auto"/>
              </w:rPr>
            </w:pPr>
            <w:r>
              <w:rPr>
                <w:rFonts w:ascii="Arial" w:cs="Arial" w:eastAsia="Arial" w:hAnsi="Arial"/>
                <w:sz w:val="20"/>
                <w:szCs w:val="20"/>
                <w:color w:val="3E3935"/>
              </w:rPr>
              <w:t>Adjusted AFCF ($B)</w:t>
            </w:r>
            <w:r>
              <w:rPr>
                <w:rFonts w:ascii="Arial" w:cs="Arial" w:eastAsia="Arial" w:hAnsi="Arial"/>
                <w:sz w:val="16"/>
                <w:szCs w:val="16"/>
                <w:color w:val="3E3935"/>
              </w:rPr>
              <w:t>(2)</w:t>
            </w:r>
          </w:p>
        </w:tc>
        <w:tc>
          <w:tcPr>
            <w:tcW w:w="1060" w:type="dxa"/>
            <w:vAlign w:val="bottom"/>
          </w:tcPr>
          <w:p>
            <w:pPr>
              <w:jc w:val="right"/>
              <w:ind w:right="262"/>
              <w:spacing w:after="0"/>
              <w:rPr>
                <w:sz w:val="20"/>
                <w:szCs w:val="20"/>
                <w:color w:val="auto"/>
              </w:rPr>
            </w:pPr>
            <w:r>
              <w:rPr>
                <w:rFonts w:ascii="Arial" w:cs="Arial" w:eastAsia="Arial" w:hAnsi="Arial"/>
                <w:sz w:val="20"/>
                <w:szCs w:val="20"/>
                <w:color w:val="3E3935"/>
              </w:rPr>
              <w:t>25%</w:t>
            </w:r>
          </w:p>
        </w:tc>
        <w:tc>
          <w:tcPr>
            <w:tcW w:w="1700" w:type="dxa"/>
            <w:vAlign w:val="bottom"/>
          </w:tcPr>
          <w:p>
            <w:pPr>
              <w:jc w:val="right"/>
              <w:ind w:right="282"/>
              <w:spacing w:after="0"/>
              <w:rPr>
                <w:sz w:val="20"/>
                <w:szCs w:val="20"/>
                <w:color w:val="auto"/>
              </w:rPr>
            </w:pPr>
            <w:r>
              <w:rPr>
                <w:rFonts w:ascii="Arial" w:cs="Arial" w:eastAsia="Arial" w:hAnsi="Arial"/>
                <w:sz w:val="20"/>
                <w:szCs w:val="20"/>
                <w:color w:val="3E3935"/>
              </w:rPr>
              <w:t>$0.0</w:t>
            </w:r>
          </w:p>
        </w:tc>
        <w:tc>
          <w:tcPr>
            <w:tcW w:w="1360" w:type="dxa"/>
            <w:vAlign w:val="bottom"/>
          </w:tcPr>
          <w:p>
            <w:pPr>
              <w:jc w:val="right"/>
              <w:ind w:right="262"/>
              <w:spacing w:after="0"/>
              <w:rPr>
                <w:sz w:val="20"/>
                <w:szCs w:val="20"/>
                <w:color w:val="auto"/>
              </w:rPr>
            </w:pPr>
            <w:r>
              <w:rPr>
                <w:rFonts w:ascii="Arial" w:cs="Arial" w:eastAsia="Arial" w:hAnsi="Arial"/>
                <w:sz w:val="20"/>
                <w:szCs w:val="20"/>
                <w:color w:val="3E3935"/>
              </w:rPr>
              <w:t>$7.1</w:t>
            </w:r>
          </w:p>
        </w:tc>
        <w:tc>
          <w:tcPr>
            <w:tcW w:w="1540" w:type="dxa"/>
            <w:vAlign w:val="bottom"/>
          </w:tcPr>
          <w:p>
            <w:pPr>
              <w:jc w:val="right"/>
              <w:ind w:right="182"/>
              <w:spacing w:after="0"/>
              <w:rPr>
                <w:sz w:val="20"/>
                <w:szCs w:val="20"/>
                <w:color w:val="auto"/>
              </w:rPr>
            </w:pPr>
            <w:r>
              <w:rPr>
                <w:rFonts w:ascii="Arial" w:cs="Arial" w:eastAsia="Arial" w:hAnsi="Arial"/>
                <w:sz w:val="20"/>
                <w:szCs w:val="20"/>
                <w:color w:val="3E3935"/>
              </w:rPr>
              <w:t>$8.1</w:t>
            </w:r>
          </w:p>
        </w:tc>
        <w:tc>
          <w:tcPr>
            <w:tcW w:w="1540" w:type="dxa"/>
            <w:vAlign w:val="bottom"/>
          </w:tcPr>
          <w:p>
            <w:pPr>
              <w:jc w:val="right"/>
              <w:spacing w:after="0"/>
              <w:rPr>
                <w:sz w:val="20"/>
                <w:szCs w:val="20"/>
                <w:color w:val="auto"/>
              </w:rPr>
            </w:pPr>
            <w:r>
              <w:rPr>
                <w:rFonts w:ascii="Arial" w:cs="Arial" w:eastAsia="Arial" w:hAnsi="Arial"/>
                <w:sz w:val="20"/>
                <w:szCs w:val="20"/>
                <w:color w:val="3E3935"/>
              </w:rPr>
              <w:t>$2.7</w:t>
            </w:r>
          </w:p>
        </w:tc>
      </w:tr>
      <w:tr>
        <w:trPr>
          <w:trHeight w:val="62"/>
        </w:trPr>
        <w:tc>
          <w:tcPr>
            <w:tcW w:w="372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c>
          <w:tcPr>
            <w:tcW w:w="136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r>
      <w:tr>
        <w:trPr>
          <w:trHeight w:val="292"/>
        </w:trPr>
        <w:tc>
          <w:tcPr>
            <w:tcW w:w="3720" w:type="dxa"/>
            <w:vAlign w:val="bottom"/>
          </w:tcPr>
          <w:p>
            <w:pPr>
              <w:ind w:left="100"/>
              <w:spacing w:after="0"/>
              <w:rPr>
                <w:sz w:val="20"/>
                <w:szCs w:val="20"/>
                <w:color w:val="auto"/>
              </w:rPr>
            </w:pPr>
            <w:r>
              <w:rPr>
                <w:rFonts w:ascii="Arial" w:cs="Arial" w:eastAsia="Arial" w:hAnsi="Arial"/>
                <w:sz w:val="20"/>
                <w:szCs w:val="20"/>
                <w:color w:val="3E3935"/>
              </w:rPr>
              <w:t>Strategic Goals</w:t>
            </w:r>
            <w:r>
              <w:rPr>
                <w:rFonts w:ascii="Arial" w:cs="Arial" w:eastAsia="Arial" w:hAnsi="Arial"/>
                <w:sz w:val="16"/>
                <w:szCs w:val="16"/>
                <w:color w:val="3E3935"/>
              </w:rPr>
              <w:t>(3)</w:t>
            </w:r>
          </w:p>
        </w:tc>
        <w:tc>
          <w:tcPr>
            <w:tcW w:w="1060" w:type="dxa"/>
            <w:vAlign w:val="bottom"/>
          </w:tcPr>
          <w:p>
            <w:pPr>
              <w:jc w:val="right"/>
              <w:ind w:right="262"/>
              <w:spacing w:after="0"/>
              <w:rPr>
                <w:sz w:val="20"/>
                <w:szCs w:val="20"/>
                <w:color w:val="auto"/>
              </w:rPr>
            </w:pPr>
            <w:r>
              <w:rPr>
                <w:rFonts w:ascii="Arial" w:cs="Arial" w:eastAsia="Arial" w:hAnsi="Arial"/>
                <w:sz w:val="20"/>
                <w:szCs w:val="20"/>
                <w:color w:val="3E3935"/>
              </w:rPr>
              <w:t>25%</w:t>
            </w:r>
          </w:p>
        </w:tc>
        <w:tc>
          <w:tcPr>
            <w:tcW w:w="1700" w:type="dxa"/>
            <w:vAlign w:val="bottom"/>
          </w:tcPr>
          <w:p>
            <w:pPr>
              <w:jc w:val="right"/>
              <w:ind w:right="282"/>
              <w:spacing w:after="0"/>
              <w:rPr>
                <w:sz w:val="20"/>
                <w:szCs w:val="20"/>
                <w:color w:val="auto"/>
              </w:rPr>
            </w:pPr>
            <w:r>
              <w:rPr>
                <w:rFonts w:ascii="Arial" w:cs="Arial" w:eastAsia="Arial" w:hAnsi="Arial"/>
                <w:sz w:val="20"/>
                <w:szCs w:val="20"/>
                <w:color w:val="3E3935"/>
              </w:rPr>
              <w:t>0 pts.</w:t>
            </w:r>
          </w:p>
        </w:tc>
        <w:tc>
          <w:tcPr>
            <w:tcW w:w="1360" w:type="dxa"/>
            <w:vAlign w:val="bottom"/>
          </w:tcPr>
          <w:p>
            <w:pPr>
              <w:jc w:val="right"/>
              <w:ind w:right="262"/>
              <w:spacing w:after="0"/>
              <w:rPr>
                <w:sz w:val="20"/>
                <w:szCs w:val="20"/>
                <w:color w:val="auto"/>
              </w:rPr>
            </w:pPr>
            <w:r>
              <w:rPr>
                <w:rFonts w:ascii="Arial" w:cs="Arial" w:eastAsia="Arial" w:hAnsi="Arial"/>
                <w:sz w:val="20"/>
                <w:szCs w:val="20"/>
                <w:color w:val="3E3935"/>
              </w:rPr>
              <w:t>25 pts.</w:t>
            </w:r>
          </w:p>
        </w:tc>
        <w:tc>
          <w:tcPr>
            <w:tcW w:w="1540" w:type="dxa"/>
            <w:vAlign w:val="bottom"/>
          </w:tcPr>
          <w:p>
            <w:pPr>
              <w:jc w:val="right"/>
              <w:ind w:right="182"/>
              <w:spacing w:after="0"/>
              <w:rPr>
                <w:sz w:val="20"/>
                <w:szCs w:val="20"/>
                <w:color w:val="auto"/>
              </w:rPr>
            </w:pPr>
            <w:r>
              <w:rPr>
                <w:rFonts w:ascii="Arial" w:cs="Arial" w:eastAsia="Arial" w:hAnsi="Arial"/>
                <w:sz w:val="20"/>
                <w:szCs w:val="20"/>
                <w:color w:val="3E3935"/>
              </w:rPr>
              <w:t>50 pts.</w:t>
            </w:r>
          </w:p>
        </w:tc>
        <w:tc>
          <w:tcPr>
            <w:tcW w:w="1540" w:type="dxa"/>
            <w:vAlign w:val="bottom"/>
          </w:tcPr>
          <w:p>
            <w:pPr>
              <w:jc w:val="right"/>
              <w:spacing w:after="0"/>
              <w:rPr>
                <w:sz w:val="20"/>
                <w:szCs w:val="20"/>
                <w:color w:val="auto"/>
              </w:rPr>
            </w:pPr>
            <w:r>
              <w:rPr>
                <w:rFonts w:ascii="Arial" w:cs="Arial" w:eastAsia="Arial" w:hAnsi="Arial"/>
                <w:sz w:val="20"/>
                <w:szCs w:val="20"/>
                <w:color w:val="3E3935"/>
              </w:rPr>
              <w:t>25-35 pts.</w:t>
            </w:r>
          </w:p>
        </w:tc>
      </w:tr>
      <w:tr>
        <w:trPr>
          <w:trHeight w:val="62"/>
        </w:trPr>
        <w:tc>
          <w:tcPr>
            <w:tcW w:w="372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c>
          <w:tcPr>
            <w:tcW w:w="1360" w:type="dxa"/>
            <w:vAlign w:val="bottom"/>
            <w:tcBorders>
              <w:bottom w:val="single" w:sz="8" w:color="3E3935"/>
            </w:tcBorders>
          </w:tcPr>
          <w:p>
            <w:pPr>
              <w:spacing w:after="0"/>
              <w:rPr>
                <w:sz w:val="5"/>
                <w:szCs w:val="5"/>
                <w:color w:val="auto"/>
              </w:rPr>
            </w:pPr>
          </w:p>
        </w:tc>
        <w:tc>
          <w:tcPr>
            <w:tcW w:w="3080" w:type="dxa"/>
            <w:vAlign w:val="bottom"/>
            <w:tcBorders>
              <w:bottom w:val="single" w:sz="8" w:color="3E3935"/>
            </w:tcBorders>
            <w:gridSpan w:val="2"/>
          </w:tcPr>
          <w:p>
            <w:pPr>
              <w:spacing w:after="0"/>
              <w:rPr>
                <w:sz w:val="5"/>
                <w:szCs w:val="5"/>
                <w:color w:val="auto"/>
              </w:rPr>
            </w:pPr>
          </w:p>
        </w:tc>
      </w:tr>
      <w:tr>
        <w:trPr>
          <w:trHeight w:val="292"/>
        </w:trPr>
        <w:tc>
          <w:tcPr>
            <w:tcW w:w="3720" w:type="dxa"/>
            <w:vAlign w:val="bottom"/>
          </w:tcPr>
          <w:p>
            <w:pPr>
              <w:ind w:left="100"/>
              <w:spacing w:after="0"/>
              <w:rPr>
                <w:sz w:val="20"/>
                <w:szCs w:val="20"/>
                <w:color w:val="auto"/>
              </w:rPr>
            </w:pPr>
            <w:r>
              <w:rPr>
                <w:rFonts w:ascii="Arial" w:cs="Arial" w:eastAsia="Arial" w:hAnsi="Arial"/>
                <w:sz w:val="20"/>
                <w:szCs w:val="20"/>
                <w:b w:val="1"/>
                <w:bCs w:val="1"/>
                <w:color w:val="0071CE"/>
              </w:rPr>
              <w:t>Performance Payout</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gridSpan w:val="2"/>
          </w:tcPr>
          <w:p>
            <w:pPr>
              <w:jc w:val="right"/>
              <w:spacing w:after="0"/>
              <w:rPr>
                <w:sz w:val="20"/>
                <w:szCs w:val="20"/>
                <w:color w:val="auto"/>
              </w:rPr>
            </w:pPr>
            <w:r>
              <w:rPr>
                <w:rFonts w:ascii="Arial" w:cs="Arial" w:eastAsia="Arial" w:hAnsi="Arial"/>
                <w:sz w:val="20"/>
                <w:szCs w:val="20"/>
                <w:b w:val="1"/>
                <w:bCs w:val="1"/>
                <w:color w:val="0071CE"/>
              </w:rPr>
              <w:t>73%—83% of Target</w:t>
            </w:r>
          </w:p>
        </w:tc>
      </w:tr>
      <w:tr>
        <w:trPr>
          <w:trHeight w:val="294"/>
        </w:trPr>
        <w:tc>
          <w:tcPr>
            <w:tcW w:w="3720" w:type="dxa"/>
            <w:vAlign w:val="bottom"/>
          </w:tcPr>
          <w:p>
            <w:pPr>
              <w:ind w:left="100"/>
              <w:spacing w:after="0"/>
              <w:rPr>
                <w:sz w:val="20"/>
                <w:szCs w:val="20"/>
                <w:color w:val="auto"/>
              </w:rPr>
            </w:pPr>
            <w:r>
              <w:rPr>
                <w:rFonts w:ascii="Arial" w:cs="Arial" w:eastAsia="Arial" w:hAnsi="Arial"/>
                <w:sz w:val="20"/>
                <w:szCs w:val="20"/>
                <w:b w:val="1"/>
                <w:bCs w:val="1"/>
                <w:color w:val="0071CE"/>
                <w:w w:val="98"/>
              </w:rPr>
              <w:t>Performance Payout with 2020 Review</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gridSpan w:val="2"/>
          </w:tcPr>
          <w:p>
            <w:pPr>
              <w:jc w:val="right"/>
              <w:spacing w:after="0"/>
              <w:rPr>
                <w:sz w:val="20"/>
                <w:szCs w:val="20"/>
                <w:color w:val="auto"/>
              </w:rPr>
            </w:pPr>
            <w:r>
              <w:rPr>
                <w:rFonts w:ascii="Arial" w:cs="Arial" w:eastAsia="Arial" w:hAnsi="Arial"/>
                <w:sz w:val="20"/>
                <w:szCs w:val="20"/>
                <w:b w:val="1"/>
                <w:bCs w:val="1"/>
                <w:color w:val="0071CE"/>
              </w:rPr>
              <w:t>85%—95%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line="260" w:lineRule="auto"/>
        <w:tabs>
          <w:tab w:leader="none" w:pos="600" w:val="left"/>
        </w:tabs>
        <w:numPr>
          <w:ilvl w:val="0"/>
          <w:numId w:val="83"/>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the impact of Cruise. For a description of how EBIT-adjusted is calculated, see Appendix A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75565</wp:posOffset>
            </wp:positionV>
            <wp:extent cx="5927725" cy="1016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54</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hanging="433"/>
        <w:spacing w:after="0" w:line="260" w:lineRule="auto"/>
        <w:tabs>
          <w:tab w:leader="none" w:pos="600" w:val="left"/>
        </w:tabs>
        <w:numPr>
          <w:ilvl w:val="0"/>
          <w:numId w:val="84"/>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payments related to certain recall-related expenses attributable to events occurring in 2014. For a description of how Adjusted AFCF is calculated, see Appendix A of this Proxy Statement.</w:t>
      </w:r>
    </w:p>
    <w:p>
      <w:pPr>
        <w:spacing w:after="0" w:line="32" w:lineRule="exact"/>
        <w:rPr>
          <w:rFonts w:ascii="Arial" w:cs="Arial" w:eastAsia="Arial" w:hAnsi="Arial"/>
          <w:sz w:val="18"/>
          <w:szCs w:val="18"/>
          <w:i w:val="1"/>
          <w:iCs w:val="1"/>
          <w:color w:val="3E3935"/>
        </w:rPr>
      </w:pPr>
    </w:p>
    <w:p>
      <w:pPr>
        <w:ind w:left="600" w:hanging="433"/>
        <w:spacing w:after="0"/>
        <w:tabs>
          <w:tab w:leader="none" w:pos="600" w:val="left"/>
        </w:tabs>
        <w:numPr>
          <w:ilvl w:val="0"/>
          <w:numId w:val="84"/>
        </w:numPr>
        <w:rPr>
          <w:rFonts w:ascii="Arial" w:cs="Arial" w:eastAsia="Arial" w:hAnsi="Arial"/>
          <w:sz w:val="18"/>
          <w:szCs w:val="18"/>
          <w:i w:val="1"/>
          <w:iCs w:val="1"/>
          <w:color w:val="3E3935"/>
        </w:rPr>
      </w:pPr>
      <w:r>
        <w:rPr>
          <w:rFonts w:ascii="Arial" w:cs="Arial" w:eastAsia="Arial" w:hAnsi="Arial"/>
          <w:sz w:val="18"/>
          <w:szCs w:val="18"/>
          <w:i w:val="1"/>
          <w:iCs w:val="1"/>
          <w:color w:val="3E3935"/>
        </w:rPr>
        <w:t>Performance results to strategic goals are discussed beginning on page 57 of this Proxy Statement.</w:t>
      </w:r>
    </w:p>
    <w:p>
      <w:pPr>
        <w:spacing w:after="0" w:line="348" w:lineRule="exact"/>
        <w:rPr>
          <w:sz w:val="20"/>
          <w:szCs w:val="20"/>
          <w:color w:val="auto"/>
        </w:rPr>
      </w:pPr>
    </w:p>
    <w:p>
      <w:pPr>
        <w:ind w:left="700" w:hanging="533"/>
        <w:spacing w:after="0"/>
        <w:tabs>
          <w:tab w:leader="none" w:pos="700" w:val="left"/>
        </w:tabs>
        <w:numPr>
          <w:ilvl w:val="0"/>
          <w:numId w:val="85"/>
        </w:numPr>
        <w:rPr>
          <w:rFonts w:ascii="Arial" w:cs="Arial" w:eastAsia="Arial" w:hAnsi="Arial"/>
          <w:sz w:val="21"/>
          <w:szCs w:val="21"/>
          <w:color w:val="0071CE"/>
        </w:rPr>
      </w:pPr>
      <w:r>
        <w:rPr>
          <w:rFonts w:ascii="Arial" w:cs="Arial" w:eastAsia="Arial" w:hAnsi="Arial"/>
          <w:sz w:val="25"/>
          <w:szCs w:val="25"/>
          <w:color w:val="3E3935"/>
        </w:rPr>
        <w:t>2018–2020 LTIP Results</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2018–2020 PSUs vested on February 13, 2021, based on Company performance for the three-year performance period beginning January 1, 2018, against pre-established performance targets for Relative ROIC-adjusted and Relative TSR. Final LTIP performance approved by the Compensation Committee is displayed below.</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2600" w:type="dxa"/>
            <w:vAlign w:val="bottom"/>
            <w:tcBorders>
              <w:top w:val="single" w:sz="8" w:color="00C1DE"/>
            </w:tcBorders>
          </w:tcPr>
          <w:p>
            <w:pPr>
              <w:spacing w:after="0"/>
              <w:rPr>
                <w:sz w:val="23"/>
                <w:szCs w:val="23"/>
                <w:color w:val="auto"/>
              </w:rPr>
            </w:pPr>
          </w:p>
        </w:tc>
        <w:tc>
          <w:tcPr>
            <w:tcW w:w="1340" w:type="dxa"/>
            <w:vAlign w:val="bottom"/>
            <w:tcBorders>
              <w:top w:val="single" w:sz="8" w:color="00C1DE"/>
            </w:tcBorders>
          </w:tcPr>
          <w:p>
            <w:pPr>
              <w:spacing w:after="0"/>
              <w:rPr>
                <w:sz w:val="23"/>
                <w:szCs w:val="23"/>
                <w:color w:val="auto"/>
              </w:rPr>
            </w:pPr>
          </w:p>
        </w:tc>
        <w:tc>
          <w:tcPr>
            <w:tcW w:w="2080" w:type="dxa"/>
            <w:vAlign w:val="bottom"/>
            <w:tcBorders>
              <w:top w:val="single" w:sz="8" w:color="00C1DE"/>
            </w:tcBorders>
          </w:tcPr>
          <w:p>
            <w:pPr>
              <w:spacing w:after="0"/>
              <w:rPr>
                <w:sz w:val="23"/>
                <w:szCs w:val="23"/>
                <w:color w:val="auto"/>
              </w:rPr>
            </w:pPr>
          </w:p>
        </w:tc>
        <w:tc>
          <w:tcPr>
            <w:tcW w:w="1540" w:type="dxa"/>
            <w:vAlign w:val="bottom"/>
            <w:tcBorders>
              <w:top w:val="single" w:sz="8" w:color="00C1DE"/>
            </w:tcBorders>
          </w:tcPr>
          <w:p>
            <w:pPr>
              <w:jc w:val="right"/>
              <w:ind w:right="222"/>
              <w:spacing w:after="0"/>
              <w:rPr>
                <w:sz w:val="20"/>
                <w:szCs w:val="20"/>
                <w:color w:val="auto"/>
              </w:rPr>
            </w:pPr>
            <w:r>
              <w:rPr>
                <w:rFonts w:ascii="Arial" w:cs="Arial" w:eastAsia="Arial" w:hAnsi="Arial"/>
                <w:sz w:val="20"/>
                <w:szCs w:val="20"/>
                <w:b w:val="1"/>
                <w:bCs w:val="1"/>
                <w:color w:val="00C1DE"/>
              </w:rPr>
              <w:t>Percentile</w:t>
            </w:r>
          </w:p>
        </w:tc>
        <w:tc>
          <w:tcPr>
            <w:tcW w:w="1280" w:type="dxa"/>
            <w:vAlign w:val="bottom"/>
            <w:tcBorders>
              <w:top w:val="single" w:sz="8" w:color="00C1DE"/>
            </w:tcBorders>
          </w:tcPr>
          <w:p>
            <w:pPr>
              <w:spacing w:after="0"/>
              <w:rPr>
                <w:sz w:val="23"/>
                <w:szCs w:val="23"/>
                <w:color w:val="auto"/>
              </w:rPr>
            </w:pPr>
          </w:p>
        </w:tc>
        <w:tc>
          <w:tcPr>
            <w:tcW w:w="2080" w:type="dxa"/>
            <w:vAlign w:val="bottom"/>
            <w:tcBorders>
              <w:top w:val="single" w:sz="8" w:color="00C1DE"/>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80" w:type="dxa"/>
            <w:vAlign w:val="bottom"/>
            <w:tcBorders>
              <w:bottom w:val="single" w:sz="8" w:color="00C1DE"/>
            </w:tcBorders>
          </w:tcPr>
          <w:p>
            <w:pPr>
              <w:spacing w:after="0"/>
              <w:rPr>
                <w:sz w:val="4"/>
                <w:szCs w:val="4"/>
                <w:color w:val="auto"/>
              </w:rPr>
            </w:pPr>
          </w:p>
        </w:tc>
        <w:tc>
          <w:tcPr>
            <w:tcW w:w="1540" w:type="dxa"/>
            <w:vAlign w:val="bottom"/>
            <w:tcBorders>
              <w:bottom w:val="single" w:sz="8" w:color="00C1DE"/>
            </w:tcBorders>
          </w:tcPr>
          <w:p>
            <w:pPr>
              <w:spacing w:after="0"/>
              <w:rPr>
                <w:sz w:val="4"/>
                <w:szCs w:val="4"/>
                <w:color w:val="auto"/>
              </w:rPr>
            </w:pPr>
          </w:p>
        </w:tc>
        <w:tc>
          <w:tcPr>
            <w:tcW w:w="1280" w:type="dxa"/>
            <w:vAlign w:val="bottom"/>
            <w:tcBorders>
              <w:bottom w:val="single" w:sz="8" w:color="00C1DE"/>
            </w:tcBorders>
          </w:tcPr>
          <w:p>
            <w:pPr>
              <w:spacing w:after="0"/>
              <w:rPr>
                <w:sz w:val="4"/>
                <w:szCs w:val="4"/>
                <w:color w:val="auto"/>
              </w:rPr>
            </w:pPr>
          </w:p>
        </w:tc>
        <w:tc>
          <w:tcPr>
            <w:tcW w:w="208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Performance</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600" w:type="dxa"/>
            <w:vAlign w:val="bottom"/>
          </w:tcPr>
          <w:p>
            <w:pPr>
              <w:ind w:left="120"/>
              <w:spacing w:after="0"/>
              <w:rPr>
                <w:sz w:val="20"/>
                <w:szCs w:val="20"/>
                <w:color w:val="auto"/>
              </w:rPr>
            </w:pPr>
            <w:r>
              <w:rPr>
                <w:rFonts w:ascii="Arial" w:cs="Arial" w:eastAsia="Arial" w:hAnsi="Arial"/>
                <w:sz w:val="20"/>
                <w:szCs w:val="20"/>
                <w:b w:val="1"/>
                <w:bCs w:val="1"/>
                <w:color w:val="00C1DE"/>
              </w:rPr>
              <w:t>LTIP Measure</w:t>
            </w:r>
          </w:p>
        </w:tc>
        <w:tc>
          <w:tcPr>
            <w:tcW w:w="1340" w:type="dxa"/>
            <w:vAlign w:val="bottom"/>
          </w:tcPr>
          <w:p>
            <w:pPr>
              <w:jc w:val="right"/>
              <w:ind w:right="162"/>
              <w:spacing w:after="0"/>
              <w:rPr>
                <w:sz w:val="20"/>
                <w:szCs w:val="20"/>
                <w:color w:val="auto"/>
              </w:rPr>
            </w:pPr>
            <w:r>
              <w:rPr>
                <w:rFonts w:ascii="Arial" w:cs="Arial" w:eastAsia="Arial" w:hAnsi="Arial"/>
                <w:sz w:val="20"/>
                <w:szCs w:val="20"/>
                <w:b w:val="1"/>
                <w:bCs w:val="1"/>
                <w:color w:val="00C1DE"/>
              </w:rPr>
              <w:t>Weight</w:t>
            </w:r>
          </w:p>
        </w:tc>
        <w:tc>
          <w:tcPr>
            <w:tcW w:w="2080" w:type="dxa"/>
            <w:vAlign w:val="bottom"/>
          </w:tcPr>
          <w:p>
            <w:pPr>
              <w:jc w:val="right"/>
              <w:ind w:right="182"/>
              <w:spacing w:after="0"/>
              <w:rPr>
                <w:sz w:val="20"/>
                <w:szCs w:val="20"/>
                <w:color w:val="auto"/>
              </w:rPr>
            </w:pPr>
            <w:r>
              <w:rPr>
                <w:rFonts w:ascii="Arial" w:cs="Arial" w:eastAsia="Arial" w:hAnsi="Arial"/>
                <w:sz w:val="20"/>
                <w:szCs w:val="20"/>
                <w:b w:val="1"/>
                <w:bCs w:val="1"/>
                <w:color w:val="00C1DE"/>
              </w:rPr>
              <w:t>Threshold</w:t>
            </w:r>
          </w:p>
        </w:tc>
        <w:tc>
          <w:tcPr>
            <w:tcW w:w="1540" w:type="dxa"/>
            <w:vAlign w:val="bottom"/>
          </w:tcPr>
          <w:p>
            <w:pPr>
              <w:jc w:val="right"/>
              <w:ind w:right="362"/>
              <w:spacing w:after="0"/>
              <w:rPr>
                <w:sz w:val="20"/>
                <w:szCs w:val="20"/>
                <w:color w:val="auto"/>
              </w:rPr>
            </w:pPr>
            <w:r>
              <w:rPr>
                <w:rFonts w:ascii="Arial" w:cs="Arial" w:eastAsia="Arial" w:hAnsi="Arial"/>
                <w:sz w:val="20"/>
                <w:szCs w:val="20"/>
                <w:b w:val="1"/>
                <w:bCs w:val="1"/>
                <w:color w:val="00C1DE"/>
              </w:rPr>
              <w:t>Target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00C1DE"/>
              </w:rPr>
              <w:t>Maximum</w:t>
            </w:r>
          </w:p>
        </w:tc>
        <w:tc>
          <w:tcPr>
            <w:tcW w:w="2080" w:type="dxa"/>
            <w:vAlign w:val="bottom"/>
          </w:tcPr>
          <w:p>
            <w:pPr>
              <w:jc w:val="right"/>
              <w:spacing w:after="0"/>
              <w:rPr>
                <w:sz w:val="20"/>
                <w:szCs w:val="20"/>
                <w:color w:val="auto"/>
              </w:rPr>
            </w:pPr>
            <w:r>
              <w:rPr>
                <w:rFonts w:ascii="Arial" w:cs="Arial" w:eastAsia="Arial" w:hAnsi="Arial"/>
                <w:sz w:val="20"/>
                <w:szCs w:val="20"/>
                <w:b w:val="1"/>
                <w:bCs w:val="1"/>
                <w:color w:val="00C1DE"/>
              </w:rPr>
              <w:t>Results</w:t>
            </w:r>
          </w:p>
        </w:tc>
        <w:tc>
          <w:tcPr>
            <w:tcW w:w="0" w:type="dxa"/>
            <w:vAlign w:val="bottom"/>
          </w:tcPr>
          <w:p>
            <w:pPr>
              <w:spacing w:after="0"/>
              <w:rPr>
                <w:sz w:val="1"/>
                <w:szCs w:val="1"/>
                <w:color w:val="auto"/>
              </w:rPr>
            </w:pPr>
          </w:p>
        </w:tc>
      </w:tr>
      <w:tr>
        <w:trPr>
          <w:trHeight w:val="62"/>
        </w:trPr>
        <w:tc>
          <w:tcPr>
            <w:tcW w:w="2600" w:type="dxa"/>
            <w:vAlign w:val="bottom"/>
            <w:tcBorders>
              <w:bottom w:val="single" w:sz="8" w:color="00C1DE"/>
            </w:tcBorders>
          </w:tcPr>
          <w:p>
            <w:pPr>
              <w:spacing w:after="0"/>
              <w:rPr>
                <w:sz w:val="5"/>
                <w:szCs w:val="5"/>
                <w:color w:val="auto"/>
              </w:rPr>
            </w:pPr>
          </w:p>
        </w:tc>
        <w:tc>
          <w:tcPr>
            <w:tcW w:w="1340" w:type="dxa"/>
            <w:vAlign w:val="bottom"/>
            <w:tcBorders>
              <w:bottom w:val="single" w:sz="8" w:color="00C1DE"/>
            </w:tcBorders>
          </w:tcPr>
          <w:p>
            <w:pPr>
              <w:spacing w:after="0"/>
              <w:rPr>
                <w:sz w:val="5"/>
                <w:szCs w:val="5"/>
                <w:color w:val="auto"/>
              </w:rPr>
            </w:pPr>
          </w:p>
        </w:tc>
        <w:tc>
          <w:tcPr>
            <w:tcW w:w="2080" w:type="dxa"/>
            <w:vAlign w:val="bottom"/>
            <w:tcBorders>
              <w:bottom w:val="single" w:sz="8" w:color="00C1DE"/>
            </w:tcBorders>
          </w:tcPr>
          <w:p>
            <w:pPr>
              <w:spacing w:after="0"/>
              <w:rPr>
                <w:sz w:val="5"/>
                <w:szCs w:val="5"/>
                <w:color w:val="auto"/>
              </w:rPr>
            </w:pPr>
          </w:p>
        </w:tc>
        <w:tc>
          <w:tcPr>
            <w:tcW w:w="1540" w:type="dxa"/>
            <w:vAlign w:val="bottom"/>
            <w:tcBorders>
              <w:bottom w:val="single" w:sz="8" w:color="00C1DE"/>
            </w:tcBorders>
          </w:tcPr>
          <w:p>
            <w:pPr>
              <w:spacing w:after="0"/>
              <w:rPr>
                <w:sz w:val="5"/>
                <w:szCs w:val="5"/>
                <w:color w:val="auto"/>
              </w:rPr>
            </w:pPr>
          </w:p>
        </w:tc>
        <w:tc>
          <w:tcPr>
            <w:tcW w:w="1280" w:type="dxa"/>
            <w:vAlign w:val="bottom"/>
            <w:tcBorders>
              <w:bottom w:val="single" w:sz="8" w:color="00C1DE"/>
            </w:tcBorders>
          </w:tcPr>
          <w:p>
            <w:pPr>
              <w:spacing w:after="0"/>
              <w:rPr>
                <w:sz w:val="5"/>
                <w:szCs w:val="5"/>
                <w:color w:val="auto"/>
              </w:rPr>
            </w:pPr>
          </w:p>
        </w:tc>
        <w:tc>
          <w:tcPr>
            <w:tcW w:w="2080" w:type="dxa"/>
            <w:vAlign w:val="bottom"/>
            <w:tcBorders>
              <w:bottom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600" w:type="dxa"/>
            <w:vAlign w:val="bottom"/>
          </w:tcPr>
          <w:p>
            <w:pPr>
              <w:ind w:left="100"/>
              <w:spacing w:after="0"/>
              <w:rPr>
                <w:sz w:val="20"/>
                <w:szCs w:val="20"/>
                <w:color w:val="auto"/>
              </w:rPr>
            </w:pPr>
            <w:r>
              <w:rPr>
                <w:rFonts w:ascii="Arial" w:cs="Arial" w:eastAsia="Arial" w:hAnsi="Arial"/>
                <w:sz w:val="20"/>
                <w:szCs w:val="20"/>
                <w:color w:val="3E3935"/>
              </w:rPr>
              <w:t>Relative ROIC-adjusted</w:t>
            </w:r>
          </w:p>
        </w:tc>
        <w:tc>
          <w:tcPr>
            <w:tcW w:w="1340" w:type="dxa"/>
            <w:vAlign w:val="bottom"/>
          </w:tcPr>
          <w:p>
            <w:pPr>
              <w:jc w:val="right"/>
              <w:ind w:right="162"/>
              <w:spacing w:after="0"/>
              <w:rPr>
                <w:sz w:val="20"/>
                <w:szCs w:val="20"/>
                <w:color w:val="auto"/>
              </w:rPr>
            </w:pPr>
            <w:r>
              <w:rPr>
                <w:rFonts w:ascii="Arial" w:cs="Arial" w:eastAsia="Arial" w:hAnsi="Arial"/>
                <w:sz w:val="20"/>
                <w:szCs w:val="20"/>
                <w:color w:val="3E3935"/>
              </w:rPr>
              <w:t>67%</w:t>
            </w:r>
          </w:p>
        </w:tc>
        <w:tc>
          <w:tcPr>
            <w:tcW w:w="2080" w:type="dxa"/>
            <w:vAlign w:val="bottom"/>
          </w:tcPr>
          <w:p>
            <w:pPr>
              <w:jc w:val="right"/>
              <w:ind w:right="182"/>
              <w:spacing w:after="0"/>
              <w:rPr>
                <w:sz w:val="20"/>
                <w:szCs w:val="20"/>
                <w:color w:val="auto"/>
              </w:rPr>
            </w:pPr>
            <w:r>
              <w:rPr>
                <w:rFonts w:ascii="Arial" w:cs="Arial" w:eastAsia="Arial" w:hAnsi="Arial"/>
                <w:sz w:val="20"/>
                <w:szCs w:val="20"/>
                <w:color w:val="3E3935"/>
              </w:rPr>
              <w:t>35</w:t>
            </w:r>
            <w:r>
              <w:rPr>
                <w:rFonts w:ascii="Arial" w:cs="Arial" w:eastAsia="Arial" w:hAnsi="Arial"/>
                <w:sz w:val="16"/>
                <w:szCs w:val="16"/>
                <w:color w:val="3E3935"/>
              </w:rPr>
              <w:t>th</w:t>
            </w:r>
          </w:p>
        </w:tc>
        <w:tc>
          <w:tcPr>
            <w:tcW w:w="1540" w:type="dxa"/>
            <w:vAlign w:val="bottom"/>
          </w:tcPr>
          <w:p>
            <w:pPr>
              <w:jc w:val="right"/>
              <w:ind w:right="362"/>
              <w:spacing w:after="0"/>
              <w:rPr>
                <w:sz w:val="20"/>
                <w:szCs w:val="20"/>
                <w:color w:val="auto"/>
              </w:rPr>
            </w:pPr>
            <w:r>
              <w:rPr>
                <w:rFonts w:ascii="Arial" w:cs="Arial" w:eastAsia="Arial" w:hAnsi="Arial"/>
                <w:sz w:val="20"/>
                <w:szCs w:val="20"/>
                <w:color w:val="3E3935"/>
              </w:rPr>
              <w:t>60</w:t>
            </w:r>
            <w:r>
              <w:rPr>
                <w:rFonts w:ascii="Arial" w:cs="Arial" w:eastAsia="Arial" w:hAnsi="Arial"/>
                <w:sz w:val="16"/>
                <w:szCs w:val="16"/>
                <w:color w:val="3E3935"/>
              </w:rPr>
              <w:t>th</w:t>
            </w:r>
          </w:p>
        </w:tc>
        <w:tc>
          <w:tcPr>
            <w:tcW w:w="1280" w:type="dxa"/>
            <w:vAlign w:val="bottom"/>
          </w:tcPr>
          <w:p>
            <w:pPr>
              <w:jc w:val="right"/>
              <w:spacing w:after="0"/>
              <w:rPr>
                <w:sz w:val="20"/>
                <w:szCs w:val="20"/>
                <w:color w:val="auto"/>
              </w:rPr>
            </w:pPr>
            <w:r>
              <w:rPr>
                <w:rFonts w:ascii="Arial" w:cs="Arial" w:eastAsia="Arial" w:hAnsi="Arial"/>
                <w:sz w:val="20"/>
                <w:szCs w:val="20"/>
                <w:color w:val="3E3935"/>
              </w:rPr>
              <w:t>100</w:t>
            </w:r>
            <w:r>
              <w:rPr>
                <w:rFonts w:ascii="Arial" w:cs="Arial" w:eastAsia="Arial" w:hAnsi="Arial"/>
                <w:sz w:val="16"/>
                <w:szCs w:val="16"/>
                <w:color w:val="3E3935"/>
              </w:rPr>
              <w:t>th</w:t>
            </w:r>
          </w:p>
        </w:tc>
        <w:tc>
          <w:tcPr>
            <w:tcW w:w="2080" w:type="dxa"/>
            <w:vAlign w:val="bottom"/>
          </w:tcPr>
          <w:p>
            <w:pPr>
              <w:jc w:val="right"/>
              <w:spacing w:after="0"/>
              <w:rPr>
                <w:sz w:val="20"/>
                <w:szCs w:val="20"/>
                <w:color w:val="auto"/>
              </w:rPr>
            </w:pPr>
            <w:r>
              <w:rPr>
                <w:rFonts w:ascii="Arial" w:cs="Arial" w:eastAsia="Arial" w:hAnsi="Arial"/>
                <w:sz w:val="20"/>
                <w:szCs w:val="20"/>
                <w:color w:val="3E3935"/>
              </w:rPr>
              <w:t>100</w:t>
            </w:r>
            <w:r>
              <w:rPr>
                <w:rFonts w:ascii="Arial" w:cs="Arial" w:eastAsia="Arial" w:hAnsi="Arial"/>
                <w:sz w:val="16"/>
                <w:szCs w:val="16"/>
                <w:color w:val="3E3935"/>
              </w:rPr>
              <w:t>th</w:t>
            </w:r>
            <w:r>
              <w:rPr>
                <w:rFonts w:ascii="Arial" w:cs="Arial" w:eastAsia="Arial" w:hAnsi="Arial"/>
                <w:sz w:val="20"/>
                <w:szCs w:val="20"/>
                <w:color w:val="3E3935"/>
              </w:rPr>
              <w:t xml:space="preserve"> Percentile</w:t>
            </w:r>
          </w:p>
        </w:tc>
        <w:tc>
          <w:tcPr>
            <w:tcW w:w="0" w:type="dxa"/>
            <w:vAlign w:val="bottom"/>
          </w:tcPr>
          <w:p>
            <w:pPr>
              <w:spacing w:after="0"/>
              <w:rPr>
                <w:sz w:val="1"/>
                <w:szCs w:val="1"/>
                <w:color w:val="auto"/>
              </w:rPr>
            </w:pPr>
          </w:p>
        </w:tc>
      </w:tr>
      <w:tr>
        <w:trPr>
          <w:trHeight w:val="62"/>
        </w:trPr>
        <w:tc>
          <w:tcPr>
            <w:tcW w:w="260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600" w:type="dxa"/>
            <w:vAlign w:val="bottom"/>
          </w:tcPr>
          <w:p>
            <w:pPr>
              <w:ind w:left="100"/>
              <w:spacing w:after="0"/>
              <w:rPr>
                <w:sz w:val="20"/>
                <w:szCs w:val="20"/>
                <w:color w:val="auto"/>
              </w:rPr>
            </w:pPr>
            <w:r>
              <w:rPr>
                <w:rFonts w:ascii="Arial" w:cs="Arial" w:eastAsia="Arial" w:hAnsi="Arial"/>
                <w:sz w:val="20"/>
                <w:szCs w:val="20"/>
                <w:color w:val="3E3935"/>
              </w:rPr>
              <w:t>Relative TSR</w:t>
            </w:r>
          </w:p>
        </w:tc>
        <w:tc>
          <w:tcPr>
            <w:tcW w:w="1340" w:type="dxa"/>
            <w:vAlign w:val="bottom"/>
          </w:tcPr>
          <w:p>
            <w:pPr>
              <w:jc w:val="right"/>
              <w:ind w:right="162"/>
              <w:spacing w:after="0"/>
              <w:rPr>
                <w:sz w:val="20"/>
                <w:szCs w:val="20"/>
                <w:color w:val="auto"/>
              </w:rPr>
            </w:pPr>
            <w:r>
              <w:rPr>
                <w:rFonts w:ascii="Arial" w:cs="Arial" w:eastAsia="Arial" w:hAnsi="Arial"/>
                <w:sz w:val="20"/>
                <w:szCs w:val="20"/>
                <w:color w:val="3E3935"/>
              </w:rPr>
              <w:t>33%</w:t>
            </w:r>
          </w:p>
        </w:tc>
        <w:tc>
          <w:tcPr>
            <w:tcW w:w="2080" w:type="dxa"/>
            <w:vAlign w:val="bottom"/>
          </w:tcPr>
          <w:p>
            <w:pPr>
              <w:jc w:val="right"/>
              <w:ind w:right="182"/>
              <w:spacing w:after="0"/>
              <w:rPr>
                <w:sz w:val="20"/>
                <w:szCs w:val="20"/>
                <w:color w:val="auto"/>
              </w:rPr>
            </w:pPr>
            <w:r>
              <w:rPr>
                <w:rFonts w:ascii="Arial" w:cs="Arial" w:eastAsia="Arial" w:hAnsi="Arial"/>
                <w:sz w:val="20"/>
                <w:szCs w:val="20"/>
                <w:color w:val="3E3935"/>
              </w:rPr>
              <w:t>25</w:t>
            </w:r>
            <w:r>
              <w:rPr>
                <w:rFonts w:ascii="Arial" w:cs="Arial" w:eastAsia="Arial" w:hAnsi="Arial"/>
                <w:sz w:val="16"/>
                <w:szCs w:val="16"/>
                <w:color w:val="3E3935"/>
              </w:rPr>
              <w:t>th</w:t>
            </w:r>
          </w:p>
        </w:tc>
        <w:tc>
          <w:tcPr>
            <w:tcW w:w="1540" w:type="dxa"/>
            <w:vAlign w:val="bottom"/>
          </w:tcPr>
          <w:p>
            <w:pPr>
              <w:jc w:val="right"/>
              <w:ind w:right="362"/>
              <w:spacing w:after="0"/>
              <w:rPr>
                <w:sz w:val="20"/>
                <w:szCs w:val="20"/>
                <w:color w:val="auto"/>
              </w:rPr>
            </w:pPr>
            <w:r>
              <w:rPr>
                <w:rFonts w:ascii="Arial" w:cs="Arial" w:eastAsia="Arial" w:hAnsi="Arial"/>
                <w:sz w:val="20"/>
                <w:szCs w:val="20"/>
                <w:color w:val="3E3935"/>
              </w:rPr>
              <w:t>50</w:t>
            </w:r>
            <w:r>
              <w:rPr>
                <w:rFonts w:ascii="Arial" w:cs="Arial" w:eastAsia="Arial" w:hAnsi="Arial"/>
                <w:sz w:val="16"/>
                <w:szCs w:val="16"/>
                <w:color w:val="3E3935"/>
              </w:rPr>
              <w:t>th</w:t>
            </w:r>
          </w:p>
        </w:tc>
        <w:tc>
          <w:tcPr>
            <w:tcW w:w="1280" w:type="dxa"/>
            <w:vAlign w:val="bottom"/>
          </w:tcPr>
          <w:p>
            <w:pPr>
              <w:jc w:val="right"/>
              <w:spacing w:after="0"/>
              <w:rPr>
                <w:sz w:val="20"/>
                <w:szCs w:val="20"/>
                <w:color w:val="auto"/>
              </w:rPr>
            </w:pPr>
            <w:r>
              <w:rPr>
                <w:rFonts w:ascii="Arial" w:cs="Arial" w:eastAsia="Arial" w:hAnsi="Arial"/>
                <w:sz w:val="20"/>
                <w:szCs w:val="20"/>
                <w:color w:val="3E3935"/>
              </w:rPr>
              <w:t>75</w:t>
            </w:r>
            <w:r>
              <w:rPr>
                <w:rFonts w:ascii="Arial" w:cs="Arial" w:eastAsia="Arial" w:hAnsi="Arial"/>
                <w:sz w:val="16"/>
                <w:szCs w:val="16"/>
                <w:color w:val="3E3935"/>
              </w:rPr>
              <w:t>th</w:t>
            </w:r>
          </w:p>
        </w:tc>
        <w:tc>
          <w:tcPr>
            <w:tcW w:w="2080" w:type="dxa"/>
            <w:vAlign w:val="bottom"/>
          </w:tcPr>
          <w:p>
            <w:pPr>
              <w:jc w:val="right"/>
              <w:spacing w:after="0"/>
              <w:rPr>
                <w:sz w:val="20"/>
                <w:szCs w:val="20"/>
                <w:color w:val="auto"/>
              </w:rPr>
            </w:pPr>
            <w:r>
              <w:rPr>
                <w:rFonts w:ascii="Arial" w:cs="Arial" w:eastAsia="Arial" w:hAnsi="Arial"/>
                <w:sz w:val="20"/>
                <w:szCs w:val="20"/>
                <w:color w:val="3E3935"/>
              </w:rPr>
              <w:t>65</w:t>
            </w:r>
            <w:r>
              <w:rPr>
                <w:rFonts w:ascii="Arial" w:cs="Arial" w:eastAsia="Arial" w:hAnsi="Arial"/>
                <w:sz w:val="16"/>
                <w:szCs w:val="16"/>
                <w:color w:val="3E3935"/>
              </w:rPr>
              <w:t>th</w:t>
            </w:r>
            <w:r>
              <w:rPr>
                <w:rFonts w:ascii="Arial" w:cs="Arial" w:eastAsia="Arial" w:hAnsi="Arial"/>
                <w:sz w:val="20"/>
                <w:szCs w:val="20"/>
                <w:color w:val="3E3935"/>
              </w:rPr>
              <w:t xml:space="preserve"> Percentile</w:t>
            </w:r>
          </w:p>
        </w:tc>
        <w:tc>
          <w:tcPr>
            <w:tcW w:w="0" w:type="dxa"/>
            <w:vAlign w:val="bottom"/>
          </w:tcPr>
          <w:p>
            <w:pPr>
              <w:spacing w:after="0"/>
              <w:rPr>
                <w:sz w:val="1"/>
                <w:szCs w:val="1"/>
                <w:color w:val="auto"/>
              </w:rPr>
            </w:pPr>
          </w:p>
        </w:tc>
      </w:tr>
      <w:tr>
        <w:trPr>
          <w:trHeight w:val="62"/>
        </w:trPr>
        <w:tc>
          <w:tcPr>
            <w:tcW w:w="260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1540" w:type="dxa"/>
            <w:vAlign w:val="bottom"/>
            <w:tcBorders>
              <w:bottom w:val="single" w:sz="8" w:color="3E3935"/>
            </w:tcBorders>
          </w:tcPr>
          <w:p>
            <w:pPr>
              <w:spacing w:after="0"/>
              <w:rPr>
                <w:sz w:val="5"/>
                <w:szCs w:val="5"/>
                <w:color w:val="auto"/>
              </w:rPr>
            </w:pPr>
          </w:p>
        </w:tc>
        <w:tc>
          <w:tcPr>
            <w:tcW w:w="1280" w:type="dxa"/>
            <w:vAlign w:val="bottom"/>
            <w:tcBorders>
              <w:bottom w:val="single" w:sz="8" w:color="3E3935"/>
            </w:tcBorders>
          </w:tcPr>
          <w:p>
            <w:pPr>
              <w:spacing w:after="0"/>
              <w:rPr>
                <w:sz w:val="5"/>
                <w:szCs w:val="5"/>
                <w:color w:val="auto"/>
              </w:rPr>
            </w:pPr>
          </w:p>
        </w:tc>
        <w:tc>
          <w:tcPr>
            <w:tcW w:w="20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600" w:type="dxa"/>
            <w:vAlign w:val="bottom"/>
          </w:tcPr>
          <w:p>
            <w:pPr>
              <w:ind w:left="100"/>
              <w:spacing w:after="0"/>
              <w:rPr>
                <w:sz w:val="20"/>
                <w:szCs w:val="20"/>
                <w:color w:val="auto"/>
              </w:rPr>
            </w:pPr>
            <w:r>
              <w:rPr>
                <w:rFonts w:ascii="Arial" w:cs="Arial" w:eastAsia="Arial" w:hAnsi="Arial"/>
                <w:sz w:val="20"/>
                <w:szCs w:val="20"/>
                <w:b w:val="1"/>
                <w:bCs w:val="1"/>
                <w:color w:val="0071CE"/>
              </w:rPr>
              <w:t>Performance Payout</w:t>
            </w:r>
          </w:p>
        </w:tc>
        <w:tc>
          <w:tcPr>
            <w:tcW w:w="1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0"/>
                <w:szCs w:val="20"/>
                <w:b w:val="1"/>
                <w:bCs w:val="1"/>
                <w:color w:val="0071CE"/>
              </w:rPr>
              <w:t>187% of Target</w:t>
            </w:r>
          </w:p>
        </w:tc>
        <w:tc>
          <w:tcPr>
            <w:tcW w:w="0" w:type="dxa"/>
            <w:vAlign w:val="bottom"/>
          </w:tcPr>
          <w:p>
            <w:pPr>
              <w:spacing w:after="0"/>
              <w:rPr>
                <w:sz w:val="1"/>
                <w:szCs w:val="1"/>
                <w:color w:val="auto"/>
              </w:rPr>
            </w:pPr>
          </w:p>
        </w:tc>
      </w:tr>
      <w:tr>
        <w:trPr>
          <w:trHeight w:val="62"/>
        </w:trPr>
        <w:tc>
          <w:tcPr>
            <w:tcW w:w="2600" w:type="dxa"/>
            <w:vAlign w:val="bottom"/>
            <w:tcBorders>
              <w:bottom w:val="single" w:sz="8" w:color="0071CE"/>
            </w:tcBorders>
          </w:tcPr>
          <w:p>
            <w:pPr>
              <w:spacing w:after="0"/>
              <w:rPr>
                <w:sz w:val="5"/>
                <w:szCs w:val="5"/>
                <w:color w:val="auto"/>
              </w:rPr>
            </w:pPr>
          </w:p>
        </w:tc>
        <w:tc>
          <w:tcPr>
            <w:tcW w:w="1340" w:type="dxa"/>
            <w:vAlign w:val="bottom"/>
            <w:tcBorders>
              <w:bottom w:val="single" w:sz="8" w:color="0071CE"/>
            </w:tcBorders>
          </w:tcPr>
          <w:p>
            <w:pPr>
              <w:spacing w:after="0"/>
              <w:rPr>
                <w:sz w:val="5"/>
                <w:szCs w:val="5"/>
                <w:color w:val="auto"/>
              </w:rPr>
            </w:pPr>
          </w:p>
        </w:tc>
        <w:tc>
          <w:tcPr>
            <w:tcW w:w="2080" w:type="dxa"/>
            <w:vAlign w:val="bottom"/>
            <w:tcBorders>
              <w:bottom w:val="single" w:sz="8" w:color="0071CE"/>
            </w:tcBorders>
          </w:tcPr>
          <w:p>
            <w:pPr>
              <w:spacing w:after="0"/>
              <w:rPr>
                <w:sz w:val="5"/>
                <w:szCs w:val="5"/>
                <w:color w:val="auto"/>
              </w:rPr>
            </w:pPr>
          </w:p>
        </w:tc>
        <w:tc>
          <w:tcPr>
            <w:tcW w:w="1540" w:type="dxa"/>
            <w:vAlign w:val="bottom"/>
            <w:tcBorders>
              <w:bottom w:val="single" w:sz="8" w:color="0071CE"/>
            </w:tcBorders>
          </w:tcPr>
          <w:p>
            <w:pPr>
              <w:spacing w:after="0"/>
              <w:rPr>
                <w:sz w:val="5"/>
                <w:szCs w:val="5"/>
                <w:color w:val="auto"/>
              </w:rPr>
            </w:pPr>
          </w:p>
        </w:tc>
        <w:tc>
          <w:tcPr>
            <w:tcW w:w="1280" w:type="dxa"/>
            <w:vAlign w:val="bottom"/>
            <w:tcBorders>
              <w:bottom w:val="single" w:sz="8" w:color="0071CE"/>
            </w:tcBorders>
          </w:tcPr>
          <w:p>
            <w:pPr>
              <w:spacing w:after="0"/>
              <w:rPr>
                <w:sz w:val="5"/>
                <w:szCs w:val="5"/>
                <w:color w:val="auto"/>
              </w:rPr>
            </w:pPr>
          </w:p>
        </w:tc>
        <w:tc>
          <w:tcPr>
            <w:tcW w:w="208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Company continues to focus on ROIC and delivering best results among the OEMs, while driving TSR performance with a focus on the long-term interest of our shareholders. We continue to prioritize and focus on investing in new and existing businesses, including opportunities in EV, AV, and connected services to achieve strong, profitable growth with solid return on investment.</w:t>
      </w:r>
    </w:p>
    <w:p>
      <w:pPr>
        <w:spacing w:after="0" w:line="321" w:lineRule="exact"/>
        <w:rPr>
          <w:sz w:val="20"/>
          <w:szCs w:val="20"/>
          <w:color w:val="auto"/>
        </w:rPr>
      </w:pPr>
    </w:p>
    <w:p>
      <w:pPr>
        <w:ind w:left="700" w:hanging="533"/>
        <w:spacing w:after="0"/>
        <w:tabs>
          <w:tab w:leader="none" w:pos="700" w:val="left"/>
        </w:tabs>
        <w:numPr>
          <w:ilvl w:val="0"/>
          <w:numId w:val="86"/>
        </w:numPr>
        <w:rPr>
          <w:rFonts w:ascii="Arial" w:cs="Arial" w:eastAsia="Arial" w:hAnsi="Arial"/>
          <w:sz w:val="21"/>
          <w:szCs w:val="21"/>
          <w:color w:val="0071CE"/>
        </w:rPr>
      </w:pPr>
      <w:r>
        <w:rPr>
          <w:rFonts w:ascii="Arial" w:cs="Arial" w:eastAsia="Arial" w:hAnsi="Arial"/>
          <w:sz w:val="25"/>
          <w:szCs w:val="25"/>
          <w:color w:val="3E3935"/>
        </w:rPr>
        <w:t>Response to COVID-19</w:t>
      </w:r>
    </w:p>
    <w:p>
      <w:pPr>
        <w:spacing w:after="0" w:line="135"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Company responded quickly to the challenges initially presented during the COVID-19 pandemic. In anticipation of possible, although unknown, ramifications of the global pandemic, the Company immediately put in place austerity measures to preserve cash and maintain our strong balance sheet in preparation for a prolonged economic downturn. The Company took the pay actions described below, suspended the dividend, drew on our revolving credit facilities, and required many employees to work from home in order to direct our critical resources to manufacturing facilities. The Company also entered into new areas of manufacturing, including partnering with Ventec Life Systems to produce life-saving ventilators in the early months of the pandemic, and manufactured masks and other personal protection equipment for global distribution to fight the spread of COVID-19.</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Specific pay actions taken related to COVID-19 included the following:</w:t>
      </w:r>
    </w:p>
    <w:p>
      <w:pPr>
        <w:spacing w:after="0" w:line="67" w:lineRule="exact"/>
        <w:rPr>
          <w:sz w:val="20"/>
          <w:szCs w:val="20"/>
          <w:color w:val="auto"/>
        </w:rPr>
      </w:pPr>
    </w:p>
    <w:p>
      <w:pPr>
        <w:jc w:val="both"/>
        <w:ind w:left="720"/>
        <w:spacing w:after="0" w:line="239" w:lineRule="auto"/>
        <w:rPr>
          <w:sz w:val="20"/>
          <w:szCs w:val="20"/>
          <w:color w:val="auto"/>
        </w:rPr>
      </w:pPr>
      <w:r>
        <w:rPr>
          <w:rFonts w:ascii="Arial" w:cs="Arial" w:eastAsia="Arial" w:hAnsi="Arial"/>
          <w:sz w:val="20"/>
          <w:szCs w:val="20"/>
          <w:b w:val="1"/>
          <w:bCs w:val="1"/>
          <w:color w:val="0071CE"/>
        </w:rPr>
        <w:t xml:space="preserve">20% Salary Deferral </w:t>
      </w:r>
      <w:r>
        <w:rPr>
          <w:rFonts w:ascii="Arial" w:cs="Arial" w:eastAsia="Arial" w:hAnsi="Arial"/>
          <w:sz w:val="20"/>
          <w:szCs w:val="20"/>
          <w:color w:val="3E3935"/>
        </w:rPr>
        <w:t>— All global salaried employees, where legally allowed, had 20% of their salary deferred. This</w:t>
      </w:r>
      <w:r>
        <w:rPr>
          <w:rFonts w:ascii="Arial" w:cs="Arial" w:eastAsia="Arial" w:hAnsi="Arial"/>
          <w:sz w:val="20"/>
          <w:szCs w:val="20"/>
          <w:b w:val="1"/>
          <w:bCs w:val="1"/>
          <w:color w:val="0071CE"/>
        </w:rPr>
        <w:t xml:space="preserve"> </w:t>
      </w:r>
      <w:r>
        <w:rPr>
          <w:rFonts w:ascii="Arial" w:cs="Arial" w:eastAsia="Arial" w:hAnsi="Arial"/>
          <w:sz w:val="20"/>
          <w:szCs w:val="20"/>
          <w:color w:val="3E3935"/>
        </w:rPr>
        <w:t>was intended as a temporary deferral and due to the successful actions on the part of the Company, all employees received full reimbursement of their deferred pay with interest in October 2020.</w:t>
      </w:r>
    </w:p>
    <w:p>
      <w:pPr>
        <w:spacing w:after="0" w:line="62" w:lineRule="exact"/>
        <w:rPr>
          <w:sz w:val="20"/>
          <w:szCs w:val="20"/>
          <w:color w:val="auto"/>
        </w:rPr>
      </w:pPr>
    </w:p>
    <w:p>
      <w:pPr>
        <w:jc w:val="both"/>
        <w:ind w:left="720"/>
        <w:spacing w:after="0" w:line="239" w:lineRule="auto"/>
        <w:rPr>
          <w:sz w:val="20"/>
          <w:szCs w:val="20"/>
          <w:color w:val="auto"/>
        </w:rPr>
      </w:pPr>
      <w:r>
        <w:rPr>
          <w:rFonts w:ascii="Arial" w:cs="Arial" w:eastAsia="Arial" w:hAnsi="Arial"/>
          <w:sz w:val="20"/>
          <w:szCs w:val="20"/>
          <w:b w:val="1"/>
          <w:bCs w:val="1"/>
          <w:color w:val="0071CE"/>
        </w:rPr>
        <w:t xml:space="preserve">Additional 10% Salary Reduction </w:t>
      </w:r>
      <w:r>
        <w:rPr>
          <w:rFonts w:ascii="Arial" w:cs="Arial" w:eastAsia="Arial" w:hAnsi="Arial"/>
          <w:sz w:val="20"/>
          <w:szCs w:val="20"/>
          <w:color w:val="3E3935"/>
        </w:rPr>
        <w:t>— Senior leaders took an additional 10% salary reduction, receiving an equivalent</w:t>
      </w:r>
      <w:r>
        <w:rPr>
          <w:rFonts w:ascii="Arial" w:cs="Arial" w:eastAsia="Arial" w:hAnsi="Arial"/>
          <w:sz w:val="20"/>
          <w:szCs w:val="20"/>
          <w:b w:val="1"/>
          <w:bCs w:val="1"/>
          <w:color w:val="0071CE"/>
        </w:rPr>
        <w:t xml:space="preserve"> </w:t>
      </w:r>
      <w:r>
        <w:rPr>
          <w:rFonts w:ascii="Arial" w:cs="Arial" w:eastAsia="Arial" w:hAnsi="Arial"/>
          <w:sz w:val="20"/>
          <w:szCs w:val="20"/>
          <w:color w:val="3E3935"/>
        </w:rPr>
        <w:t>RSU grant (the “Salary Reduction RSUs”) on May 7, 2020. The Salary Reduction RSUs were intended to replace their cash salary for a period of six months and vested and settled on April 1, 2021, prorated for service.</w:t>
      </w:r>
    </w:p>
    <w:p>
      <w:pPr>
        <w:spacing w:after="0" w:line="62" w:lineRule="exact"/>
        <w:rPr>
          <w:sz w:val="20"/>
          <w:szCs w:val="20"/>
          <w:color w:val="auto"/>
        </w:rPr>
      </w:pPr>
    </w:p>
    <w:p>
      <w:pPr>
        <w:jc w:val="both"/>
        <w:ind w:left="720"/>
        <w:spacing w:after="0" w:line="254" w:lineRule="auto"/>
        <w:rPr>
          <w:sz w:val="20"/>
          <w:szCs w:val="20"/>
          <w:color w:val="auto"/>
        </w:rPr>
      </w:pPr>
      <w:r>
        <w:rPr>
          <w:rFonts w:ascii="Arial" w:cs="Arial" w:eastAsia="Arial" w:hAnsi="Arial"/>
          <w:sz w:val="20"/>
          <w:szCs w:val="20"/>
          <w:b w:val="1"/>
          <w:bCs w:val="1"/>
          <w:color w:val="0071CE"/>
        </w:rPr>
        <w:t xml:space="preserve">Downtime Pay </w:t>
      </w:r>
      <w:r>
        <w:rPr>
          <w:rFonts w:ascii="Arial" w:cs="Arial" w:eastAsia="Arial" w:hAnsi="Arial"/>
          <w:sz w:val="20"/>
          <w:szCs w:val="20"/>
          <w:color w:val="3E3935"/>
        </w:rPr>
        <w:t>— For employees who were unable to complete their work remotely while our facilities were closed, we</w:t>
      </w:r>
      <w:r>
        <w:rPr>
          <w:rFonts w:ascii="Arial" w:cs="Arial" w:eastAsia="Arial" w:hAnsi="Arial"/>
          <w:sz w:val="20"/>
          <w:szCs w:val="20"/>
          <w:b w:val="1"/>
          <w:bCs w:val="1"/>
          <w:color w:val="0071CE"/>
        </w:rPr>
        <w:t xml:space="preserve"> </w:t>
      </w:r>
      <w:r>
        <w:rPr>
          <w:rFonts w:ascii="Arial" w:cs="Arial" w:eastAsia="Arial" w:hAnsi="Arial"/>
          <w:sz w:val="20"/>
          <w:szCs w:val="20"/>
          <w:color w:val="3E3935"/>
        </w:rPr>
        <w:t>provided 75% of normal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73660</wp:posOffset>
            </wp:positionV>
            <wp:extent cx="5927725" cy="1016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55</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As the Company continued to respond to COVID-19, we were able to safely open our manufacturing facilities and return to full production using robust safety protocols. This positioned the Company to end the salary deferral earlier than anticipated and to repay all amounts drawn on our revolving credit facilities by the end of the year. As disclosed in the 2020 Form 10-K, the Company remains committed to the three objectives of our capital allocation program:</w:t>
      </w:r>
    </w:p>
    <w:p>
      <w:pPr>
        <w:sectPr>
          <w:pgSz w:w="11900" w:h="16838" w:orient="portrait"/>
          <w:cols w:equalWidth="0" w:num="1">
            <w:col w:w="11080"/>
          </w:cols>
          <w:pgMar w:left="320" w:top="456" w:right="499" w:bottom="1440" w:gutter="0" w:footer="0" w:header="0"/>
        </w:sectPr>
      </w:pPr>
    </w:p>
    <w:p>
      <w:pPr>
        <w:spacing w:after="0" w:line="391" w:lineRule="exact"/>
        <w:rPr>
          <w:sz w:val="20"/>
          <w:szCs w:val="20"/>
          <w:color w:val="auto"/>
        </w:rPr>
      </w:pPr>
    </w:p>
    <w:tbl>
      <w:tblPr>
        <w:tblLayout w:type="fixed"/>
        <w:tblInd w:w="440" w:type="dxa"/>
        <w:tblCellMar>
          <w:top w:w="0" w:type="dxa"/>
          <w:left w:w="0" w:type="dxa"/>
          <w:bottom w:w="0" w:type="dxa"/>
          <w:right w:w="0" w:type="dxa"/>
        </w:tblCellMar>
      </w:tblPr>
      <w:tr>
        <w:trPr>
          <w:trHeight w:val="260"/>
        </w:trPr>
        <w:tc>
          <w:tcPr>
            <w:tcW w:w="560" w:type="dxa"/>
            <w:vAlign w:val="bottom"/>
            <w:vMerge w:val="restart"/>
          </w:tcPr>
          <w:p>
            <w:pPr>
              <w:jc w:val="right"/>
              <w:spacing w:after="0"/>
              <w:rPr>
                <w:sz w:val="20"/>
                <w:szCs w:val="20"/>
                <w:color w:val="auto"/>
              </w:rPr>
            </w:pPr>
            <w:r>
              <w:rPr>
                <w:rFonts w:ascii="Arial" w:cs="Arial" w:eastAsia="Arial" w:hAnsi="Arial"/>
                <w:sz w:val="46"/>
                <w:szCs w:val="46"/>
                <w:b w:val="1"/>
                <w:bCs w:val="1"/>
                <w:color w:val="00C1DE"/>
                <w:w w:val="93"/>
              </w:rPr>
              <w:t>1.</w:t>
            </w:r>
          </w:p>
        </w:tc>
        <w:tc>
          <w:tcPr>
            <w:tcW w:w="2320" w:type="dxa"/>
            <w:vAlign w:val="bottom"/>
          </w:tcPr>
          <w:p>
            <w:pPr>
              <w:ind w:left="200"/>
              <w:spacing w:after="0"/>
              <w:rPr>
                <w:sz w:val="20"/>
                <w:szCs w:val="20"/>
                <w:color w:val="auto"/>
              </w:rPr>
            </w:pPr>
            <w:r>
              <w:rPr>
                <w:rFonts w:ascii="Arial" w:cs="Arial" w:eastAsia="Arial" w:hAnsi="Arial"/>
                <w:sz w:val="20"/>
                <w:szCs w:val="20"/>
                <w:color w:val="3E3935"/>
                <w:w w:val="97"/>
              </w:rPr>
              <w:t>Grow the business at an</w:t>
            </w:r>
          </w:p>
        </w:tc>
        <w:tc>
          <w:tcPr>
            <w:tcW w:w="0" w:type="dxa"/>
            <w:vAlign w:val="bottom"/>
          </w:tcPr>
          <w:p>
            <w:pPr>
              <w:spacing w:after="0"/>
              <w:rPr>
                <w:sz w:val="1"/>
                <w:szCs w:val="1"/>
                <w:color w:val="auto"/>
              </w:rPr>
            </w:pPr>
          </w:p>
        </w:tc>
      </w:tr>
      <w:tr>
        <w:trPr>
          <w:trHeight w:val="214"/>
        </w:trPr>
        <w:tc>
          <w:tcPr>
            <w:tcW w:w="560" w:type="dxa"/>
            <w:vAlign w:val="bottom"/>
            <w:vMerge w:val="continue"/>
          </w:tcPr>
          <w:p>
            <w:pPr>
              <w:spacing w:after="0"/>
              <w:rPr>
                <w:sz w:val="18"/>
                <w:szCs w:val="18"/>
                <w:color w:val="auto"/>
              </w:rPr>
            </w:pPr>
          </w:p>
        </w:tc>
        <w:tc>
          <w:tcPr>
            <w:tcW w:w="2320" w:type="dxa"/>
            <w:vAlign w:val="bottom"/>
          </w:tcPr>
          <w:p>
            <w:pPr>
              <w:ind w:left="200"/>
              <w:spacing w:after="0" w:line="214" w:lineRule="exact"/>
              <w:rPr>
                <w:sz w:val="20"/>
                <w:szCs w:val="20"/>
                <w:color w:val="auto"/>
              </w:rPr>
            </w:pPr>
            <w:r>
              <w:rPr>
                <w:rFonts w:ascii="Arial" w:cs="Arial" w:eastAsia="Arial" w:hAnsi="Arial"/>
                <w:sz w:val="20"/>
                <w:szCs w:val="20"/>
                <w:color w:val="3E3935"/>
                <w:w w:val="99"/>
              </w:rPr>
              <w:t>average ROIC-adjusted</w:t>
            </w:r>
          </w:p>
        </w:tc>
        <w:tc>
          <w:tcPr>
            <w:tcW w:w="0" w:type="dxa"/>
            <w:vAlign w:val="bottom"/>
          </w:tcPr>
          <w:p>
            <w:pPr>
              <w:spacing w:after="0"/>
              <w:rPr>
                <w:sz w:val="1"/>
                <w:szCs w:val="1"/>
                <w:color w:val="auto"/>
              </w:rPr>
            </w:pPr>
          </w:p>
        </w:tc>
      </w:tr>
      <w:tr>
        <w:trPr>
          <w:trHeight w:val="235"/>
        </w:trPr>
        <w:tc>
          <w:tcPr>
            <w:tcW w:w="560" w:type="dxa"/>
            <w:vAlign w:val="bottom"/>
            <w:vMerge w:val="continue"/>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20"/>
                <w:szCs w:val="20"/>
                <w:color w:val="3E3935"/>
              </w:rPr>
              <w:t>rate of 20% or greater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3E3935"/>
        </w:rPr>
        <w:t>Maintain a strong investment-</w:t>
      </w:r>
    </w:p>
    <w:p>
      <w:pPr>
        <w:ind w:right="200" w:hanging="779"/>
        <w:spacing w:after="0" w:line="181" w:lineRule="auto"/>
        <w:rPr>
          <w:sz w:val="20"/>
          <w:szCs w:val="20"/>
          <w:color w:val="auto"/>
        </w:rPr>
      </w:pPr>
      <w:r>
        <w:rPr>
          <w:rFonts w:ascii="Arial" w:cs="Arial" w:eastAsia="Arial" w:hAnsi="Arial"/>
          <w:sz w:val="44"/>
          <w:szCs w:val="44"/>
          <w:b w:val="1"/>
          <w:bCs w:val="1"/>
          <w:color w:val="00C1DE"/>
        </w:rPr>
        <w:t>2.</w:t>
      </w:r>
      <w:r>
        <w:rPr>
          <w:sz w:val="20"/>
          <w:szCs w:val="20"/>
          <w:color w:val="auto"/>
        </w:rPr>
        <w:t xml:space="preserve"> </w:t>
      </w:r>
      <w:r>
        <w:rPr>
          <w:rFonts w:ascii="Arial" w:cs="Arial" w:eastAsia="Arial" w:hAnsi="Arial"/>
          <w:sz w:val="19"/>
          <w:szCs w:val="19"/>
          <w:color w:val="3E3935"/>
        </w:rPr>
        <w:t>grade balance sheet, including a target average automotive cash balance of $18 billion</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580" w:type="dxa"/>
            <w:vAlign w:val="bottom"/>
            <w:vMerge w:val="restart"/>
          </w:tcPr>
          <w:p>
            <w:pPr>
              <w:jc w:val="right"/>
              <w:spacing w:after="0"/>
              <w:rPr>
                <w:sz w:val="20"/>
                <w:szCs w:val="20"/>
                <w:color w:val="auto"/>
              </w:rPr>
            </w:pPr>
            <w:r>
              <w:rPr>
                <w:rFonts w:ascii="Arial" w:cs="Arial" w:eastAsia="Arial" w:hAnsi="Arial"/>
                <w:sz w:val="46"/>
                <w:szCs w:val="46"/>
                <w:b w:val="1"/>
                <w:bCs w:val="1"/>
                <w:color w:val="00C1DE"/>
                <w:w w:val="93"/>
              </w:rPr>
              <w:t>3.</w:t>
            </w:r>
          </w:p>
        </w:tc>
        <w:tc>
          <w:tcPr>
            <w:tcW w:w="2600" w:type="dxa"/>
            <w:vAlign w:val="bottom"/>
          </w:tcPr>
          <w:p>
            <w:pPr>
              <w:ind w:left="200"/>
              <w:spacing w:after="0"/>
              <w:rPr>
                <w:sz w:val="20"/>
                <w:szCs w:val="20"/>
                <w:color w:val="auto"/>
              </w:rPr>
            </w:pPr>
            <w:r>
              <w:rPr>
                <w:rFonts w:ascii="Arial" w:cs="Arial" w:eastAsia="Arial" w:hAnsi="Arial"/>
                <w:sz w:val="20"/>
                <w:szCs w:val="20"/>
                <w:color w:val="3E3935"/>
                <w:w w:val="97"/>
              </w:rPr>
              <w:t>After the first two objectives</w:t>
            </w:r>
          </w:p>
        </w:tc>
        <w:tc>
          <w:tcPr>
            <w:tcW w:w="0" w:type="dxa"/>
            <w:vAlign w:val="bottom"/>
          </w:tcPr>
          <w:p>
            <w:pPr>
              <w:spacing w:after="0"/>
              <w:rPr>
                <w:sz w:val="1"/>
                <w:szCs w:val="1"/>
                <w:color w:val="auto"/>
              </w:rPr>
            </w:pPr>
          </w:p>
        </w:tc>
      </w:tr>
      <w:tr>
        <w:trPr>
          <w:trHeight w:val="214"/>
        </w:trPr>
        <w:tc>
          <w:tcPr>
            <w:tcW w:w="580" w:type="dxa"/>
            <w:vAlign w:val="bottom"/>
            <w:vMerge w:val="continue"/>
          </w:tcPr>
          <w:p>
            <w:pPr>
              <w:spacing w:after="0"/>
              <w:rPr>
                <w:sz w:val="18"/>
                <w:szCs w:val="18"/>
                <w:color w:val="auto"/>
              </w:rPr>
            </w:pPr>
          </w:p>
        </w:tc>
        <w:tc>
          <w:tcPr>
            <w:tcW w:w="2600" w:type="dxa"/>
            <w:vAlign w:val="bottom"/>
          </w:tcPr>
          <w:p>
            <w:pPr>
              <w:ind w:left="200"/>
              <w:spacing w:after="0" w:line="214" w:lineRule="exact"/>
              <w:rPr>
                <w:sz w:val="20"/>
                <w:szCs w:val="20"/>
                <w:color w:val="auto"/>
              </w:rPr>
            </w:pPr>
            <w:r>
              <w:rPr>
                <w:rFonts w:ascii="Arial" w:cs="Arial" w:eastAsia="Arial" w:hAnsi="Arial"/>
                <w:sz w:val="20"/>
                <w:szCs w:val="20"/>
                <w:color w:val="3E3935"/>
              </w:rPr>
              <w:t>are met, return available</w:t>
            </w:r>
          </w:p>
        </w:tc>
        <w:tc>
          <w:tcPr>
            <w:tcW w:w="0" w:type="dxa"/>
            <w:vAlign w:val="bottom"/>
          </w:tcPr>
          <w:p>
            <w:pPr>
              <w:spacing w:after="0"/>
              <w:rPr>
                <w:sz w:val="1"/>
                <w:szCs w:val="1"/>
                <w:color w:val="auto"/>
              </w:rPr>
            </w:pPr>
          </w:p>
        </w:tc>
      </w:tr>
      <w:tr>
        <w:trPr>
          <w:trHeight w:val="235"/>
        </w:trPr>
        <w:tc>
          <w:tcPr>
            <w:tcW w:w="580" w:type="dxa"/>
            <w:vAlign w:val="bottom"/>
            <w:vMerge w:val="continue"/>
          </w:tcPr>
          <w:p>
            <w:pPr>
              <w:spacing w:after="0"/>
              <w:rPr>
                <w:sz w:val="20"/>
                <w:szCs w:val="20"/>
                <w:color w:val="auto"/>
              </w:rPr>
            </w:pPr>
          </w:p>
        </w:tc>
        <w:tc>
          <w:tcPr>
            <w:tcW w:w="2600" w:type="dxa"/>
            <w:vAlign w:val="bottom"/>
          </w:tcPr>
          <w:p>
            <w:pPr>
              <w:ind w:left="200"/>
              <w:spacing w:after="0"/>
              <w:rPr>
                <w:sz w:val="20"/>
                <w:szCs w:val="20"/>
                <w:color w:val="auto"/>
              </w:rPr>
            </w:pPr>
            <w:r>
              <w:rPr>
                <w:rFonts w:ascii="Arial" w:cs="Arial" w:eastAsia="Arial" w:hAnsi="Arial"/>
                <w:sz w:val="20"/>
                <w:szCs w:val="20"/>
                <w:color w:val="3E3935"/>
              </w:rPr>
              <w:t>cash to shareholders</w:t>
            </w:r>
          </w:p>
        </w:tc>
        <w:tc>
          <w:tcPr>
            <w:tcW w:w="0" w:type="dxa"/>
            <w:vAlign w:val="bottom"/>
          </w:tcPr>
          <w:p>
            <w:pPr>
              <w:spacing w:after="0"/>
              <w:rPr>
                <w:sz w:val="1"/>
                <w:szCs w:val="1"/>
                <w:color w:val="auto"/>
              </w:rPr>
            </w:pPr>
          </w:p>
        </w:tc>
      </w:tr>
    </w:tbl>
    <w:p>
      <w:pPr>
        <w:spacing w:after="0" w:line="339" w:lineRule="exact"/>
        <w:rPr>
          <w:sz w:val="20"/>
          <w:szCs w:val="20"/>
          <w:color w:val="auto"/>
        </w:rPr>
      </w:pPr>
    </w:p>
    <w:p>
      <w:pPr>
        <w:sectPr>
          <w:pgSz w:w="11900" w:h="16838" w:orient="portrait"/>
          <w:cols w:equalWidth="0" w:num="3">
            <w:col w:w="4060" w:space="720"/>
            <w:col w:w="2580" w:space="440"/>
            <w:col w:w="3280"/>
          </w:cols>
          <w:pgMar w:left="320" w:top="456" w:right="499" w:bottom="1440" w:gutter="0" w:footer="0" w:header="0"/>
          <w:type w:val="continuous"/>
        </w:sectPr>
      </w:pPr>
    </w:p>
    <w:p>
      <w:pPr>
        <w:jc w:val="both"/>
        <w:ind w:left="160"/>
        <w:spacing w:after="0" w:line="230" w:lineRule="auto"/>
        <w:rPr>
          <w:sz w:val="20"/>
          <w:szCs w:val="20"/>
          <w:color w:val="auto"/>
        </w:rPr>
      </w:pPr>
      <w:r>
        <w:rPr>
          <w:rFonts w:ascii="Arial" w:cs="Arial" w:eastAsia="Arial" w:hAnsi="Arial"/>
          <w:sz w:val="20"/>
          <w:szCs w:val="20"/>
          <w:color w:val="3E3935"/>
        </w:rPr>
        <w:t>In making the decisions above, the Compensation Committee and Board of Directors carefully considered possible effects of unforeseen challenges and uncertainties posed by the COVID-19 pandemic and assessed these in consideration of our compensation principles and the need to retain and motivate talent.</w:t>
      </w:r>
    </w:p>
    <w:p>
      <w:pPr>
        <w:spacing w:after="0" w:line="320" w:lineRule="exact"/>
        <w:rPr>
          <w:sz w:val="20"/>
          <w:szCs w:val="20"/>
          <w:color w:val="auto"/>
        </w:rPr>
      </w:pPr>
    </w:p>
    <w:p>
      <w:pPr>
        <w:ind w:left="700" w:hanging="533"/>
        <w:spacing w:after="0"/>
        <w:tabs>
          <w:tab w:leader="none" w:pos="700" w:val="left"/>
        </w:tabs>
        <w:numPr>
          <w:ilvl w:val="0"/>
          <w:numId w:val="87"/>
        </w:numPr>
        <w:rPr>
          <w:rFonts w:ascii="Arial" w:cs="Arial" w:eastAsia="Arial" w:hAnsi="Arial"/>
          <w:sz w:val="21"/>
          <w:szCs w:val="21"/>
          <w:color w:val="0071CE"/>
        </w:rPr>
      </w:pPr>
      <w:r>
        <w:rPr>
          <w:rFonts w:ascii="Arial" w:cs="Arial" w:eastAsia="Arial" w:hAnsi="Arial"/>
          <w:sz w:val="25"/>
          <w:szCs w:val="25"/>
          <w:color w:val="3E3935"/>
        </w:rPr>
        <w:t>Other Actions Taken During 2020</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Company made the following equity grants during 2020 to support leadership changes as discussed on page 43 of this Proxy Statement while navigating challenges presented by COVID-19 and continuing to invest in future technologies to position GM as an industry leader.</w:t>
      </w:r>
    </w:p>
    <w:p>
      <w:pPr>
        <w:spacing w:after="0" w:line="90"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Paul A. Jacobson </w:t>
      </w:r>
      <w:r>
        <w:rPr>
          <w:rFonts w:ascii="Arial" w:cs="Arial" w:eastAsia="Arial" w:hAnsi="Arial"/>
          <w:sz w:val="20"/>
          <w:szCs w:val="20"/>
          <w:color w:val="3E3935"/>
        </w:rPr>
        <w:t>— Mr. Jacobson received a one-time RSU grant on December 1, 2020, worth $2.5 million to replace</w:t>
      </w:r>
      <w:r>
        <w:rPr>
          <w:rFonts w:ascii="Arial" w:cs="Arial" w:eastAsia="Arial" w:hAnsi="Arial"/>
          <w:sz w:val="20"/>
          <w:szCs w:val="20"/>
          <w:b w:val="1"/>
          <w:bCs w:val="1"/>
          <w:color w:val="0071CE"/>
        </w:rPr>
        <w:t xml:space="preserve"> </w:t>
      </w:r>
      <w:r>
        <w:rPr>
          <w:rFonts w:ascii="Arial" w:cs="Arial" w:eastAsia="Arial" w:hAnsi="Arial"/>
          <w:sz w:val="20"/>
          <w:szCs w:val="20"/>
          <w:color w:val="3E3935"/>
        </w:rPr>
        <w:t>certain awards forfeited at his previous employer. Fifty percent of his RSUs will vest on December 1, 2022, and the balance will vest on December 1, 2023, which aligns with the vesting schedule of awards forfeited at his previous employer.</w:t>
      </w:r>
    </w:p>
    <w:p>
      <w:pPr>
        <w:spacing w:after="0" w:line="102"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Douglas L. Parks </w:t>
      </w:r>
      <w:r>
        <w:rPr>
          <w:rFonts w:ascii="Arial" w:cs="Arial" w:eastAsia="Arial" w:hAnsi="Arial"/>
          <w:sz w:val="20"/>
          <w:szCs w:val="20"/>
          <w:color w:val="3E3935"/>
        </w:rPr>
        <w:t>— Mr. Parks received an additional LTIP grant of $1.33 million consisting of 75% PSUs and 25% Stock</w:t>
      </w:r>
      <w:r>
        <w:rPr>
          <w:rFonts w:ascii="Arial" w:cs="Arial" w:eastAsia="Arial" w:hAnsi="Arial"/>
          <w:sz w:val="20"/>
          <w:szCs w:val="20"/>
          <w:b w:val="1"/>
          <w:bCs w:val="1"/>
          <w:color w:val="0071CE"/>
        </w:rPr>
        <w:t xml:space="preserve"> </w:t>
      </w:r>
      <w:r>
        <w:rPr>
          <w:rFonts w:ascii="Arial" w:cs="Arial" w:eastAsia="Arial" w:hAnsi="Arial"/>
          <w:sz w:val="20"/>
          <w:szCs w:val="20"/>
          <w:color w:val="3E3935"/>
        </w:rPr>
        <w:t>Options on October 1, 2020, following a competitive market review of his position and the importance of his contributions to our zero emissions future. As head of global product development, Mr. Parks is key to supporting GM’s plans to offer 30 EVs globally by mid-decade. The PSU and Stock Option grants follow the terms and performance requirements of the 2020–2022 LTIP as described on page 52 of this Proxy Statement.</w:t>
      </w:r>
    </w:p>
    <w:p>
      <w:pPr>
        <w:spacing w:after="0" w:line="105"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Stephen K. Carlisle </w:t>
      </w:r>
      <w:r>
        <w:rPr>
          <w:rFonts w:ascii="Arial" w:cs="Arial" w:eastAsia="Arial" w:hAnsi="Arial"/>
          <w:sz w:val="20"/>
          <w:szCs w:val="20"/>
          <w:color w:val="3E3935"/>
        </w:rPr>
        <w:t>— Mr. Carlisle received an additional LTIP grant of $1.97 million consisting of 75% PSUs and 25% Stock</w:t>
      </w:r>
      <w:r>
        <w:rPr>
          <w:rFonts w:ascii="Arial" w:cs="Arial" w:eastAsia="Arial" w:hAnsi="Arial"/>
          <w:sz w:val="20"/>
          <w:szCs w:val="20"/>
          <w:b w:val="1"/>
          <w:bCs w:val="1"/>
          <w:color w:val="0071CE"/>
        </w:rPr>
        <w:t xml:space="preserve"> </w:t>
      </w:r>
      <w:r>
        <w:rPr>
          <w:rFonts w:ascii="Arial" w:cs="Arial" w:eastAsia="Arial" w:hAnsi="Arial"/>
          <w:sz w:val="20"/>
          <w:szCs w:val="20"/>
          <w:color w:val="3E3935"/>
        </w:rPr>
        <w:t>Options on October 1, 2020, and a PSU grant of $0.3 million on December 1, 2020, in connection with his promotion to Executive Vice President and President, North America, establishing one leader for GM’s sales, service, and marketing across our full portfolio of automotive and connected services brands in North America; including Chevrolet, Buick, GMC, Cadillac, OnStar, ACDelco, and GM Genuine Parts. The PSU and Stock Option grants follow the terms and performance requirements of the 2020–2022 LTIP as described on page 52 of this Proxy Statement.</w:t>
      </w:r>
    </w:p>
    <w:p>
      <w:pPr>
        <w:spacing w:after="0" w:line="90"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John P. Stapleton </w:t>
      </w:r>
      <w:r>
        <w:rPr>
          <w:rFonts w:ascii="Arial" w:cs="Arial" w:eastAsia="Arial" w:hAnsi="Arial"/>
          <w:sz w:val="20"/>
          <w:szCs w:val="20"/>
          <w:color w:val="3E3935"/>
        </w:rPr>
        <w:t>— Mr. Stapleton received a one-time PSU grant of $1.0 million on October 1, 2020, to lead the finance</w:t>
      </w:r>
      <w:r>
        <w:rPr>
          <w:rFonts w:ascii="Arial" w:cs="Arial" w:eastAsia="Arial" w:hAnsi="Arial"/>
          <w:sz w:val="20"/>
          <w:szCs w:val="20"/>
          <w:b w:val="1"/>
          <w:bCs w:val="1"/>
          <w:color w:val="0071CE"/>
        </w:rPr>
        <w:t xml:space="preserve"> </w:t>
      </w:r>
      <w:r>
        <w:rPr>
          <w:rFonts w:ascii="Arial" w:cs="Arial" w:eastAsia="Arial" w:hAnsi="Arial"/>
          <w:sz w:val="20"/>
          <w:szCs w:val="20"/>
          <w:color w:val="3E3935"/>
        </w:rPr>
        <w:t>organization as Acting Chief Financial Officer as the Company searched for a new Chief Financial Officer. The PSU grant follows the terms and performance requirements of the 2020–2022 LTIP as described on page 52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82550</wp:posOffset>
            </wp:positionV>
            <wp:extent cx="5927725" cy="1016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56</w:t>
      </w:r>
    </w:p>
    <w:p>
      <w:pPr>
        <w:sectPr>
          <w:pgSz w:w="11900" w:h="16838" w:orient="portrait"/>
          <w:cols w:equalWidth="0" w:num="1">
            <w:col w:w="11080"/>
          </w:cols>
          <w:pgMar w:left="320" w:top="456"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88"/>
        </w:numPr>
        <w:rPr>
          <w:rFonts w:ascii="Arial" w:cs="Arial" w:eastAsia="Arial" w:hAnsi="Arial"/>
          <w:sz w:val="21"/>
          <w:szCs w:val="21"/>
          <w:color w:val="0071CE"/>
        </w:rPr>
      </w:pPr>
      <w:r>
        <w:rPr>
          <w:rFonts w:ascii="Arial" w:cs="Arial" w:eastAsia="Arial" w:hAnsi="Arial"/>
          <w:sz w:val="25"/>
          <w:szCs w:val="25"/>
          <w:color w:val="3E3935"/>
        </w:rPr>
        <w:t>Compensation Decisions for Mary T. Barra</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3E3935"/>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00880" cy="49002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500880" cy="4900295"/>
                    </a:xfrm>
                    <a:prstGeom prst="rect">
                      <a:avLst/>
                    </a:prstGeom>
                    <a:noFill/>
                  </pic:spPr>
                </pic:pic>
              </a:graphicData>
            </a:graphic>
          </wp:anchor>
        </w:drawing>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4"/>
          <w:szCs w:val="14"/>
          <w:color w:val="3E3935"/>
        </w:rPr>
        <w:t>2020 performance highlights to strategic goals include the following:</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3E3935"/>
        </w:rPr>
        <w:t>Culture &amp; People</w:t>
      </w:r>
    </w:p>
    <w:p>
      <w:pPr>
        <w:spacing w:after="0" w:line="124" w:lineRule="exact"/>
        <w:rPr>
          <w:sz w:val="20"/>
          <w:szCs w:val="20"/>
          <w:color w:val="auto"/>
        </w:rPr>
      </w:pPr>
    </w:p>
    <w:p>
      <w:pPr>
        <w:ind w:left="600" w:right="240" w:hanging="216"/>
        <w:spacing w:after="0" w:line="186" w:lineRule="auto"/>
        <w:tabs>
          <w:tab w:leader="none" w:pos="617" w:val="left"/>
        </w:tabs>
        <w:numPr>
          <w:ilvl w:val="0"/>
          <w:numId w:val="89"/>
        </w:numPr>
        <w:rPr>
          <w:rFonts w:ascii="Arial" w:cs="Arial" w:eastAsia="Arial" w:hAnsi="Arial"/>
          <w:sz w:val="23"/>
          <w:szCs w:val="23"/>
          <w:color w:val="00C1DE"/>
        </w:rPr>
      </w:pPr>
      <w:r>
        <w:rPr>
          <w:rFonts w:ascii="Arial" w:cs="Arial" w:eastAsia="Arial" w:hAnsi="Arial"/>
          <w:sz w:val="14"/>
          <w:szCs w:val="14"/>
          <w:color w:val="3E3935"/>
        </w:rPr>
        <w:t xml:space="preserve">Exemplified a safety-first culture through our response to COVID-19 by mass producing ventilators, masks, and other personal protective equipment to support global relief efforts </w:t>
      </w:r>
      <w:r>
        <w:rPr>
          <w:rFonts w:ascii="Arial" w:cs="Arial" w:eastAsia="Arial" w:hAnsi="Arial"/>
          <w:sz w:val="1"/>
          <w:szCs w:val="1"/>
          <w:color w:val="00C1DE"/>
        </w:rPr>
        <w:drawing>
          <wp:inline distT="0" distB="0" distL="0" distR="0">
            <wp:extent cx="76200" cy="7620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11" w:lineRule="exact"/>
        <w:rPr>
          <w:rFonts w:ascii="Arial" w:cs="Arial" w:eastAsia="Arial" w:hAnsi="Arial"/>
          <w:sz w:val="23"/>
          <w:szCs w:val="23"/>
          <w:color w:val="00C1DE"/>
        </w:rPr>
      </w:pPr>
    </w:p>
    <w:p>
      <w:pPr>
        <w:ind w:left="600" w:right="240" w:hanging="216"/>
        <w:spacing w:after="0" w:line="186" w:lineRule="auto"/>
        <w:tabs>
          <w:tab w:leader="none" w:pos="617" w:val="left"/>
        </w:tabs>
        <w:numPr>
          <w:ilvl w:val="0"/>
          <w:numId w:val="89"/>
        </w:numPr>
        <w:rPr>
          <w:rFonts w:ascii="Arial" w:cs="Arial" w:eastAsia="Arial" w:hAnsi="Arial"/>
          <w:sz w:val="23"/>
          <w:szCs w:val="23"/>
          <w:color w:val="00C1DE"/>
        </w:rPr>
      </w:pPr>
      <w:r>
        <w:rPr>
          <w:rFonts w:ascii="Arial" w:cs="Arial" w:eastAsia="Arial" w:hAnsi="Arial"/>
          <w:sz w:val="14"/>
          <w:szCs w:val="14"/>
          <w:color w:val="3E3935"/>
        </w:rPr>
        <w:t xml:space="preserve">Formed the Inclusion Advisory Board to guide our work to improve diversity and inclusion by creating action plans and guiding principles of our words, our deeds, and our culture </w:t>
      </w:r>
      <w:r>
        <w:rPr>
          <w:rFonts w:ascii="Arial" w:cs="Arial" w:eastAsia="Arial" w:hAnsi="Arial"/>
          <w:sz w:val="1"/>
          <w:szCs w:val="1"/>
          <w:color w:val="00C1DE"/>
        </w:rPr>
        <w:drawing>
          <wp:inline distT="0" distB="0" distL="0" distR="0">
            <wp:extent cx="76200" cy="762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98" w:lineRule="exact"/>
        <w:rPr>
          <w:rFonts w:ascii="Arial" w:cs="Arial" w:eastAsia="Arial" w:hAnsi="Arial"/>
          <w:sz w:val="23"/>
          <w:szCs w:val="23"/>
          <w:color w:val="00C1DE"/>
        </w:rPr>
      </w:pPr>
    </w:p>
    <w:p>
      <w:pPr>
        <w:ind w:left="600" w:right="240" w:hanging="216"/>
        <w:spacing w:after="0" w:line="186" w:lineRule="auto"/>
        <w:tabs>
          <w:tab w:leader="none" w:pos="609" w:val="left"/>
        </w:tabs>
        <w:numPr>
          <w:ilvl w:val="0"/>
          <w:numId w:val="89"/>
        </w:numPr>
        <w:rPr>
          <w:rFonts w:ascii="Arial" w:cs="Arial" w:eastAsia="Arial" w:hAnsi="Arial"/>
          <w:sz w:val="23"/>
          <w:szCs w:val="23"/>
          <w:color w:val="00C1DE"/>
        </w:rPr>
      </w:pPr>
      <w:r>
        <w:rPr>
          <w:rFonts w:ascii="Arial" w:cs="Arial" w:eastAsia="Arial" w:hAnsi="Arial"/>
          <w:sz w:val="14"/>
          <w:szCs w:val="14"/>
          <w:color w:val="3E3935"/>
        </w:rPr>
        <w:t xml:space="preserve">Added “Be Inclusive” to our GM Behaviors to reflect a culture that values all backgrounds, opinions, and ideas </w:t>
      </w:r>
      <w:r>
        <w:rPr>
          <w:rFonts w:ascii="Arial" w:cs="Arial" w:eastAsia="Arial" w:hAnsi="Arial"/>
          <w:sz w:val="1"/>
          <w:szCs w:val="1"/>
          <w:color w:val="00C1DE"/>
        </w:rPr>
        <w:drawing>
          <wp:inline distT="0" distB="0" distL="0" distR="0">
            <wp:extent cx="76200" cy="7620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 w:lineRule="exact"/>
        <w:rPr>
          <w:rFonts w:ascii="Arial" w:cs="Arial" w:eastAsia="Arial" w:hAnsi="Arial"/>
          <w:sz w:val="23"/>
          <w:szCs w:val="23"/>
          <w:color w:val="00C1DE"/>
        </w:rPr>
      </w:pPr>
    </w:p>
    <w:p>
      <w:pPr>
        <w:ind w:left="620" w:hanging="236"/>
        <w:spacing w:after="0"/>
        <w:tabs>
          <w:tab w:leader="none" w:pos="620" w:val="left"/>
        </w:tabs>
        <w:numPr>
          <w:ilvl w:val="0"/>
          <w:numId w:val="89"/>
        </w:numPr>
        <w:rPr>
          <w:rFonts w:ascii="Arial" w:cs="Arial" w:eastAsia="Arial" w:hAnsi="Arial"/>
          <w:sz w:val="23"/>
          <w:szCs w:val="23"/>
          <w:color w:val="00C1DE"/>
        </w:rPr>
      </w:pPr>
      <w:r>
        <w:rPr>
          <w:rFonts w:ascii="Arial" w:cs="Arial" w:eastAsia="Arial" w:hAnsi="Arial"/>
          <w:sz w:val="14"/>
          <w:szCs w:val="14"/>
          <w:color w:val="3E3935"/>
        </w:rPr>
        <w:t>Named one of the 2021 World’s Most Ethical Companies by Ethisphere for the second year in a row</w:t>
      </w:r>
    </w:p>
    <w:p>
      <w:pPr>
        <w:spacing w:after="0" w:line="216" w:lineRule="exact"/>
        <w:rPr>
          <w:rFonts w:ascii="Arial" w:cs="Arial" w:eastAsia="Arial" w:hAnsi="Arial"/>
          <w:sz w:val="23"/>
          <w:szCs w:val="23"/>
          <w:color w:val="00C1DE"/>
        </w:rPr>
      </w:pPr>
    </w:p>
    <w:p>
      <w:pPr>
        <w:ind w:left="600" w:right="220" w:hanging="216"/>
        <w:spacing w:after="0" w:line="186" w:lineRule="auto"/>
        <w:tabs>
          <w:tab w:leader="none" w:pos="617" w:val="left"/>
        </w:tabs>
        <w:numPr>
          <w:ilvl w:val="0"/>
          <w:numId w:val="89"/>
        </w:numPr>
        <w:rPr>
          <w:rFonts w:ascii="Arial" w:cs="Arial" w:eastAsia="Arial" w:hAnsi="Arial"/>
          <w:sz w:val="23"/>
          <w:szCs w:val="23"/>
          <w:color w:val="00C1DE"/>
        </w:rPr>
      </w:pPr>
      <w:r>
        <w:rPr>
          <w:rFonts w:ascii="Arial" w:cs="Arial" w:eastAsia="Arial" w:hAnsi="Arial"/>
          <w:sz w:val="14"/>
          <w:szCs w:val="14"/>
          <w:color w:val="3E3935"/>
        </w:rPr>
        <w:t xml:space="preserve">Joined the Business Roundtable Multiple Pathways Initiative to hire employees based on the value of skills, rather than just degrees, to improve equity and diversity in the workplace </w:t>
      </w:r>
      <w:r>
        <w:rPr>
          <w:rFonts w:ascii="Arial" w:cs="Arial" w:eastAsia="Arial" w:hAnsi="Arial"/>
          <w:sz w:val="1"/>
          <w:szCs w:val="1"/>
          <w:color w:val="00C1DE"/>
        </w:rPr>
        <w:drawing>
          <wp:inline distT="0" distB="0" distL="0" distR="0">
            <wp:extent cx="76200" cy="7620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3E3935"/>
        </w:rPr>
        <w:t>Transformation</w:t>
      </w:r>
    </w:p>
    <w:p>
      <w:pPr>
        <w:spacing w:after="0" w:line="123" w:lineRule="exact"/>
        <w:rPr>
          <w:sz w:val="20"/>
          <w:szCs w:val="20"/>
          <w:color w:val="auto"/>
        </w:rPr>
      </w:pPr>
    </w:p>
    <w:p>
      <w:pPr>
        <w:ind w:left="600" w:right="240" w:hanging="216"/>
        <w:spacing w:after="0" w:line="186" w:lineRule="auto"/>
        <w:tabs>
          <w:tab w:leader="none" w:pos="609" w:val="left"/>
        </w:tabs>
        <w:numPr>
          <w:ilvl w:val="0"/>
          <w:numId w:val="90"/>
        </w:numPr>
        <w:rPr>
          <w:rFonts w:ascii="Arial" w:cs="Arial" w:eastAsia="Arial" w:hAnsi="Arial"/>
          <w:sz w:val="23"/>
          <w:szCs w:val="23"/>
          <w:color w:val="00C1DE"/>
        </w:rPr>
      </w:pPr>
      <w:r>
        <w:rPr>
          <w:rFonts w:ascii="Arial" w:cs="Arial" w:eastAsia="Arial" w:hAnsi="Arial"/>
          <w:sz w:val="14"/>
          <w:szCs w:val="14"/>
          <w:color w:val="3E3935"/>
        </w:rPr>
        <w:t xml:space="preserve">Accelerated EV and AV initiatives by increasing investment to more than $27 billion through 2025 and announcing plans to launch 30 EVs globally by 2025 </w:t>
      </w:r>
      <w:r>
        <w:rPr>
          <w:rFonts w:ascii="Arial" w:cs="Arial" w:eastAsia="Arial" w:hAnsi="Arial"/>
          <w:sz w:val="1"/>
          <w:szCs w:val="1"/>
          <w:color w:val="00C1DE"/>
        </w:rPr>
        <w:drawing>
          <wp:inline distT="0" distB="0" distL="0" distR="0">
            <wp:extent cx="76200" cy="762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98" w:lineRule="exact"/>
        <w:rPr>
          <w:rFonts w:ascii="Arial" w:cs="Arial" w:eastAsia="Arial" w:hAnsi="Arial"/>
          <w:sz w:val="23"/>
          <w:szCs w:val="23"/>
          <w:color w:val="00C1DE"/>
        </w:rPr>
      </w:pPr>
    </w:p>
    <w:p>
      <w:pPr>
        <w:ind w:left="600" w:right="240" w:hanging="216"/>
        <w:spacing w:after="0" w:line="186" w:lineRule="auto"/>
        <w:tabs>
          <w:tab w:leader="none" w:pos="617" w:val="left"/>
        </w:tabs>
        <w:numPr>
          <w:ilvl w:val="0"/>
          <w:numId w:val="90"/>
        </w:numPr>
        <w:rPr>
          <w:rFonts w:ascii="Arial" w:cs="Arial" w:eastAsia="Arial" w:hAnsi="Arial"/>
          <w:sz w:val="23"/>
          <w:szCs w:val="23"/>
          <w:color w:val="00C1DE"/>
        </w:rPr>
      </w:pPr>
      <w:r>
        <w:rPr>
          <w:rFonts w:ascii="Arial" w:cs="Arial" w:eastAsia="Arial" w:hAnsi="Arial"/>
          <w:sz w:val="14"/>
          <w:szCs w:val="14"/>
          <w:color w:val="3E3935"/>
        </w:rPr>
        <w:t xml:space="preserve">Launched new business, BrightDrop, which will offer an integrated ecosystem of first-to-last-mile electric products </w:t>
      </w:r>
      <w:r>
        <w:rPr>
          <w:rFonts w:ascii="Arial" w:cs="Arial" w:eastAsia="Arial" w:hAnsi="Arial"/>
          <w:sz w:val="1"/>
          <w:szCs w:val="1"/>
          <w:color w:val="00C1DE"/>
        </w:rPr>
        <w:drawing>
          <wp:inline distT="0" distB="0" distL="0" distR="0">
            <wp:extent cx="76200" cy="7620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98" w:lineRule="exact"/>
        <w:rPr>
          <w:rFonts w:ascii="Arial" w:cs="Arial" w:eastAsia="Arial" w:hAnsi="Arial"/>
          <w:sz w:val="23"/>
          <w:szCs w:val="23"/>
          <w:color w:val="00C1DE"/>
        </w:rPr>
      </w:pPr>
    </w:p>
    <w:p>
      <w:pPr>
        <w:ind w:left="600" w:right="240" w:hanging="216"/>
        <w:spacing w:after="0" w:line="186" w:lineRule="auto"/>
        <w:tabs>
          <w:tab w:leader="none" w:pos="617" w:val="left"/>
        </w:tabs>
        <w:numPr>
          <w:ilvl w:val="0"/>
          <w:numId w:val="90"/>
        </w:numPr>
        <w:rPr>
          <w:rFonts w:ascii="Arial" w:cs="Arial" w:eastAsia="Arial" w:hAnsi="Arial"/>
          <w:sz w:val="23"/>
          <w:szCs w:val="23"/>
          <w:color w:val="00C1DE"/>
        </w:rPr>
      </w:pPr>
      <w:r>
        <w:rPr>
          <w:rFonts w:ascii="Arial" w:cs="Arial" w:eastAsia="Arial" w:hAnsi="Arial"/>
          <w:sz w:val="14"/>
          <w:szCs w:val="14"/>
          <w:color w:val="3E3935"/>
        </w:rPr>
        <w:t xml:space="preserve">Committed to carbon neutrality in global products and operations by 2040, aspiring to eliminate tailpipe emissions from new light-duty vehicles by 2035 </w:t>
      </w:r>
      <w:r>
        <w:rPr>
          <w:rFonts w:ascii="Arial" w:cs="Arial" w:eastAsia="Arial" w:hAnsi="Arial"/>
          <w:sz w:val="1"/>
          <w:szCs w:val="1"/>
          <w:color w:val="00C1DE"/>
        </w:rPr>
        <w:drawing>
          <wp:inline distT="0" distB="0" distL="0" distR="0">
            <wp:extent cx="76200" cy="762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98" w:lineRule="exact"/>
        <w:rPr>
          <w:rFonts w:ascii="Arial" w:cs="Arial" w:eastAsia="Arial" w:hAnsi="Arial"/>
          <w:sz w:val="23"/>
          <w:szCs w:val="23"/>
          <w:color w:val="00C1DE"/>
        </w:rPr>
      </w:pPr>
    </w:p>
    <w:p>
      <w:pPr>
        <w:ind w:left="600" w:right="220" w:hanging="216"/>
        <w:spacing w:after="0" w:line="186" w:lineRule="auto"/>
        <w:tabs>
          <w:tab w:leader="none" w:pos="617" w:val="left"/>
        </w:tabs>
        <w:numPr>
          <w:ilvl w:val="0"/>
          <w:numId w:val="90"/>
        </w:numPr>
        <w:rPr>
          <w:rFonts w:ascii="Arial" w:cs="Arial" w:eastAsia="Arial" w:hAnsi="Arial"/>
          <w:sz w:val="23"/>
          <w:szCs w:val="23"/>
          <w:color w:val="00C1DE"/>
        </w:rPr>
      </w:pPr>
      <w:r>
        <w:rPr>
          <w:rFonts w:ascii="Arial" w:cs="Arial" w:eastAsia="Arial" w:hAnsi="Arial"/>
          <w:sz w:val="14"/>
          <w:szCs w:val="14"/>
          <w:color w:val="3E3935"/>
        </w:rPr>
        <w:t xml:space="preserve">Earned 2020 ENERGY STAR Partner of the Year Sustained Excellence Award for the ninth year for continued leadership and superior contributions to reducing energy intensity </w:t>
      </w:r>
      <w:r>
        <w:rPr>
          <w:rFonts w:ascii="Arial" w:cs="Arial" w:eastAsia="Arial" w:hAnsi="Arial"/>
          <w:sz w:val="1"/>
          <w:szCs w:val="1"/>
          <w:color w:val="00C1DE"/>
        </w:rPr>
        <w:drawing>
          <wp:inline distT="0" distB="0" distL="0" distR="0">
            <wp:extent cx="76200" cy="762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98" w:lineRule="exact"/>
        <w:rPr>
          <w:rFonts w:ascii="Arial" w:cs="Arial" w:eastAsia="Arial" w:hAnsi="Arial"/>
          <w:sz w:val="23"/>
          <w:szCs w:val="23"/>
          <w:color w:val="00C1DE"/>
        </w:rPr>
      </w:pPr>
    </w:p>
    <w:p>
      <w:pPr>
        <w:jc w:val="both"/>
        <w:ind w:left="600" w:right="240" w:hanging="216"/>
        <w:spacing w:after="0" w:line="201" w:lineRule="auto"/>
        <w:tabs>
          <w:tab w:leader="none" w:pos="617" w:val="left"/>
        </w:tabs>
        <w:numPr>
          <w:ilvl w:val="0"/>
          <w:numId w:val="90"/>
        </w:numPr>
        <w:rPr>
          <w:rFonts w:ascii="Arial" w:cs="Arial" w:eastAsia="Arial" w:hAnsi="Arial"/>
          <w:sz w:val="23"/>
          <w:szCs w:val="23"/>
          <w:color w:val="00C1DE"/>
        </w:rPr>
      </w:pPr>
      <w:r>
        <w:rPr>
          <w:rFonts w:ascii="Arial" w:cs="Arial" w:eastAsia="Arial" w:hAnsi="Arial"/>
          <w:sz w:val="14"/>
          <w:szCs w:val="14"/>
          <w:color w:val="3E3935"/>
        </w:rPr>
        <w:t xml:space="preserve">Received the Environmental Protection Agency’s 2020 Green Power Leadership Award in Excellence in Green Power Use for our commitment to procuring renewable energy, demonstrating progress towards our 100% renewable energy commitment </w:t>
      </w:r>
      <w:r>
        <w:rPr>
          <w:rFonts w:ascii="Arial" w:cs="Arial" w:eastAsia="Arial" w:hAnsi="Arial"/>
          <w:sz w:val="1"/>
          <w:szCs w:val="1"/>
          <w:color w:val="00C1DE"/>
        </w:rPr>
        <w:drawing>
          <wp:inline distT="0" distB="0" distL="0" distR="0">
            <wp:extent cx="76200" cy="7620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97" w:lineRule="exact"/>
        <w:rPr>
          <w:rFonts w:ascii="Arial" w:cs="Arial" w:eastAsia="Arial" w:hAnsi="Arial"/>
          <w:sz w:val="23"/>
          <w:szCs w:val="23"/>
          <w:color w:val="00C1DE"/>
        </w:rPr>
      </w:pPr>
    </w:p>
    <w:p>
      <w:pPr>
        <w:ind w:left="600" w:right="240" w:hanging="216"/>
        <w:spacing w:after="0" w:line="186" w:lineRule="auto"/>
        <w:tabs>
          <w:tab w:leader="none" w:pos="609" w:val="left"/>
        </w:tabs>
        <w:numPr>
          <w:ilvl w:val="0"/>
          <w:numId w:val="90"/>
        </w:numPr>
        <w:rPr>
          <w:rFonts w:ascii="Arial" w:cs="Arial" w:eastAsia="Arial" w:hAnsi="Arial"/>
          <w:sz w:val="23"/>
          <w:szCs w:val="23"/>
          <w:color w:val="00C1DE"/>
        </w:rPr>
      </w:pPr>
      <w:r>
        <w:rPr>
          <w:rFonts w:ascii="Arial" w:cs="Arial" w:eastAsia="Arial" w:hAnsi="Arial"/>
          <w:sz w:val="14"/>
          <w:szCs w:val="14"/>
          <w:color w:val="3E3935"/>
        </w:rPr>
        <w:t>Announced by 2023, 38 models will have the Vehicle Intelligence Platform allowing for over-the-air updates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3E3935"/>
        </w:rPr>
        <w:t>Core Operations</w:t>
      </w:r>
    </w:p>
    <w:p>
      <w:pPr>
        <w:spacing w:after="0" w:line="123" w:lineRule="exact"/>
        <w:rPr>
          <w:sz w:val="20"/>
          <w:szCs w:val="20"/>
          <w:color w:val="auto"/>
        </w:rPr>
      </w:pPr>
    </w:p>
    <w:p>
      <w:pPr>
        <w:ind w:left="600" w:right="240" w:hanging="216"/>
        <w:spacing w:after="0" w:line="186" w:lineRule="auto"/>
        <w:tabs>
          <w:tab w:leader="none" w:pos="617" w:val="left"/>
        </w:tabs>
        <w:numPr>
          <w:ilvl w:val="0"/>
          <w:numId w:val="91"/>
        </w:numPr>
        <w:rPr>
          <w:rFonts w:ascii="Arial" w:cs="Arial" w:eastAsia="Arial" w:hAnsi="Arial"/>
          <w:sz w:val="23"/>
          <w:szCs w:val="23"/>
          <w:color w:val="00C1DE"/>
        </w:rPr>
      </w:pPr>
      <w:r>
        <w:rPr>
          <w:rFonts w:ascii="Arial" w:cs="Arial" w:eastAsia="Arial" w:hAnsi="Arial"/>
          <w:sz w:val="14"/>
          <w:szCs w:val="14"/>
          <w:color w:val="3E3935"/>
        </w:rPr>
        <w:t>Posted our largest year-over-year market share gain since 1990, driven by full-size trucks and SUVs and new crossover entries</w:t>
      </w:r>
    </w:p>
    <w:p>
      <w:pPr>
        <w:spacing w:after="0" w:line="98" w:lineRule="exact"/>
        <w:rPr>
          <w:rFonts w:ascii="Arial" w:cs="Arial" w:eastAsia="Arial" w:hAnsi="Arial"/>
          <w:sz w:val="23"/>
          <w:szCs w:val="23"/>
          <w:color w:val="00C1DE"/>
        </w:rPr>
      </w:pPr>
    </w:p>
    <w:p>
      <w:pPr>
        <w:jc w:val="both"/>
        <w:ind w:left="600" w:right="220" w:hanging="216"/>
        <w:spacing w:after="0" w:line="201" w:lineRule="auto"/>
        <w:tabs>
          <w:tab w:leader="none" w:pos="617" w:val="left"/>
        </w:tabs>
        <w:numPr>
          <w:ilvl w:val="0"/>
          <w:numId w:val="91"/>
        </w:numPr>
        <w:rPr>
          <w:rFonts w:ascii="Arial" w:cs="Arial" w:eastAsia="Arial" w:hAnsi="Arial"/>
          <w:sz w:val="23"/>
          <w:szCs w:val="23"/>
          <w:color w:val="00C1DE"/>
        </w:rPr>
      </w:pPr>
      <w:r>
        <w:rPr>
          <w:rFonts w:ascii="Arial" w:cs="Arial" w:eastAsia="Arial" w:hAnsi="Arial"/>
          <w:sz w:val="14"/>
          <w:szCs w:val="14"/>
          <w:color w:val="3E3935"/>
        </w:rPr>
        <w:t>Generated $122.5 billion in revenue, $6.4 billion in net income, $9.7 billion in EBIT-adjusted, 14.9% return on equity, 15.0% ROIC-adjusted, EPS-diluted of $4.33, and EPS-diluted-adjusted of $4.90 in the challenging environment of a global pandemic</w:t>
      </w:r>
    </w:p>
    <w:p>
      <w:pPr>
        <w:spacing w:after="0" w:line="3" w:lineRule="exact"/>
        <w:rPr>
          <w:rFonts w:ascii="Arial" w:cs="Arial" w:eastAsia="Arial" w:hAnsi="Arial"/>
          <w:sz w:val="23"/>
          <w:szCs w:val="23"/>
          <w:color w:val="00C1DE"/>
        </w:rPr>
      </w:pPr>
    </w:p>
    <w:p>
      <w:pPr>
        <w:ind w:left="620" w:hanging="236"/>
        <w:spacing w:after="0"/>
        <w:tabs>
          <w:tab w:leader="none" w:pos="620" w:val="left"/>
        </w:tabs>
        <w:numPr>
          <w:ilvl w:val="0"/>
          <w:numId w:val="91"/>
        </w:numPr>
        <w:rPr>
          <w:rFonts w:ascii="Arial" w:cs="Arial" w:eastAsia="Arial" w:hAnsi="Arial"/>
          <w:sz w:val="23"/>
          <w:szCs w:val="23"/>
          <w:color w:val="00C1DE"/>
        </w:rPr>
      </w:pPr>
      <w:r>
        <w:rPr>
          <w:rFonts w:ascii="Arial" w:cs="Arial" w:eastAsia="Arial" w:hAnsi="Arial"/>
          <w:sz w:val="14"/>
          <w:szCs w:val="14"/>
          <w:color w:val="3E3935"/>
        </w:rPr>
        <w:t>GM Financial generated revenue of $13.8 billion and record EBT-adjusted of $2.7 billion</w:t>
      </w:r>
    </w:p>
    <w:p>
      <w:pPr>
        <w:spacing w:after="0" w:line="2" w:lineRule="exact"/>
        <w:rPr>
          <w:rFonts w:ascii="Arial" w:cs="Arial" w:eastAsia="Arial" w:hAnsi="Arial"/>
          <w:sz w:val="23"/>
          <w:szCs w:val="23"/>
          <w:color w:val="00C1DE"/>
        </w:rPr>
      </w:pPr>
    </w:p>
    <w:p>
      <w:pPr>
        <w:ind w:left="620" w:hanging="236"/>
        <w:spacing w:after="0"/>
        <w:tabs>
          <w:tab w:leader="none" w:pos="620" w:val="left"/>
        </w:tabs>
        <w:numPr>
          <w:ilvl w:val="0"/>
          <w:numId w:val="91"/>
        </w:numPr>
        <w:rPr>
          <w:rFonts w:ascii="Arial" w:cs="Arial" w:eastAsia="Arial" w:hAnsi="Arial"/>
          <w:sz w:val="23"/>
          <w:szCs w:val="23"/>
          <w:color w:val="00C1DE"/>
        </w:rPr>
      </w:pPr>
      <w:r>
        <w:rPr>
          <w:rFonts w:ascii="Arial" w:cs="Arial" w:eastAsia="Arial" w:hAnsi="Arial"/>
          <w:sz w:val="14"/>
          <w:szCs w:val="14"/>
          <w:color w:val="3E3935"/>
        </w:rPr>
        <w:t>Sold more than 1 million crossovers for the third year in a row in the U.S.</w:t>
      </w:r>
    </w:p>
    <w:p>
      <w:pPr>
        <w:spacing w:after="0" w:line="96" w:lineRule="exact"/>
        <w:rPr>
          <w:rFonts w:ascii="Arial" w:cs="Arial" w:eastAsia="Arial" w:hAnsi="Arial"/>
          <w:sz w:val="23"/>
          <w:szCs w:val="23"/>
          <w:color w:val="00C1DE"/>
        </w:rPr>
      </w:pPr>
    </w:p>
    <w:p>
      <w:pPr>
        <w:ind w:left="600" w:right="240" w:hanging="216"/>
        <w:spacing w:after="0" w:line="186" w:lineRule="auto"/>
        <w:tabs>
          <w:tab w:leader="none" w:pos="617" w:val="left"/>
        </w:tabs>
        <w:numPr>
          <w:ilvl w:val="0"/>
          <w:numId w:val="91"/>
        </w:numPr>
        <w:rPr>
          <w:rFonts w:ascii="Arial" w:cs="Arial" w:eastAsia="Arial" w:hAnsi="Arial"/>
          <w:sz w:val="23"/>
          <w:szCs w:val="23"/>
          <w:color w:val="00C1DE"/>
        </w:rPr>
      </w:pPr>
      <w:r>
        <w:rPr>
          <w:rFonts w:ascii="Arial" w:cs="Arial" w:eastAsia="Arial" w:hAnsi="Arial"/>
          <w:sz w:val="14"/>
          <w:szCs w:val="14"/>
          <w:color w:val="3E3935"/>
        </w:rPr>
        <w:t xml:space="preserve">Safely restarted vehicle production as a result of strong teamwork, comprehensive safety procedures, and support from our supplier partners </w:t>
      </w:r>
      <w:r>
        <w:rPr>
          <w:rFonts w:ascii="Arial" w:cs="Arial" w:eastAsia="Arial" w:hAnsi="Arial"/>
          <w:sz w:val="1"/>
          <w:szCs w:val="1"/>
          <w:color w:val="00C1DE"/>
        </w:rPr>
        <w:drawing>
          <wp:inline distT="0" distB="0" distL="0" distR="0">
            <wp:extent cx="76200" cy="7620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29"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Held base salary at $2,100,000.</w:t>
      </w:r>
    </w:p>
    <w:p>
      <w:pPr>
        <w:spacing w:after="0" w:line="110"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Awarded 30 points based on results to strategic goals, highlighted above,</w:t>
      </w:r>
      <w:r>
        <w:rPr>
          <w:rFonts w:ascii="Arial" w:cs="Arial" w:eastAsia="Arial" w:hAnsi="Arial"/>
          <w:sz w:val="16"/>
          <w:szCs w:val="16"/>
          <w:b w:val="1"/>
          <w:bCs w:val="1"/>
          <w:color w:val="0071CE"/>
        </w:rPr>
        <w:t xml:space="preserve"> </w:t>
      </w:r>
      <w:r>
        <w:rPr>
          <w:rFonts w:ascii="Arial" w:cs="Arial" w:eastAsia="Arial" w:hAnsi="Arial"/>
          <w:sz w:val="16"/>
          <w:szCs w:val="16"/>
          <w:color w:val="3E3935"/>
        </w:rPr>
        <w:t>for the 2020 STIP performance year.</w:t>
      </w:r>
    </w:p>
    <w:p>
      <w:pPr>
        <w:spacing w:after="0" w:line="49"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2020, awarded an annual LTIP grant of $15.0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PSUs and 25% Stock Options.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71CE"/>
        </w:rPr>
        <w:t xml:space="preserve">Salary Reduction RSUs </w:t>
      </w:r>
      <w:r>
        <w:rPr>
          <w:rFonts w:ascii="Arial" w:cs="Arial" w:eastAsia="Arial" w:hAnsi="Arial"/>
          <w:sz w:val="16"/>
          <w:szCs w:val="16"/>
          <w:color w:val="3E3935"/>
        </w:rPr>
        <w:t>– Received $105,020 of RSUs.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3E3935"/>
        </w:rPr>
        <w:t>Total awarded compensation for 2020, including salary, STIP, and LTIP, is displayed below.</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480" w:type="dxa"/>
            <w:vAlign w:val="bottom"/>
            <w:tcBorders>
              <w:top w:val="single" w:sz="8" w:color="00C1DE"/>
            </w:tcBorders>
          </w:tcPr>
          <w:p>
            <w:pPr>
              <w:ind w:left="2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top w:val="single" w:sz="8" w:color="00C1DE"/>
            </w:tcBorders>
          </w:tcPr>
          <w:p>
            <w:pPr>
              <w:ind w:left="380"/>
              <w:spacing w:after="0"/>
              <w:rPr>
                <w:sz w:val="20"/>
                <w:szCs w:val="20"/>
                <w:color w:val="auto"/>
              </w:rPr>
            </w:pPr>
            <w:r>
              <w:rPr>
                <w:rFonts w:ascii="Arial" w:cs="Arial" w:eastAsia="Arial" w:hAnsi="Arial"/>
                <w:sz w:val="16"/>
                <w:szCs w:val="16"/>
                <w:b w:val="1"/>
                <w:bCs w:val="1"/>
                <w:color w:val="00C1DE"/>
              </w:rPr>
              <w:t>Majority of Pay Is At-Risk</w:t>
            </w:r>
          </w:p>
        </w:tc>
        <w:tc>
          <w:tcPr>
            <w:tcW w:w="180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68"/>
        </w:trPr>
        <w:tc>
          <w:tcPr>
            <w:tcW w:w="1480" w:type="dxa"/>
            <w:vAlign w:val="bottom"/>
            <w:tcBorders>
              <w:bottom w:val="single" w:sz="8" w:color="00C1DE"/>
            </w:tcBorders>
          </w:tcPr>
          <w:p>
            <w:pPr>
              <w:spacing w:after="0"/>
              <w:rPr>
                <w:sz w:val="5"/>
                <w:szCs w:val="5"/>
                <w:color w:val="auto"/>
              </w:rPr>
            </w:pPr>
          </w:p>
        </w:tc>
        <w:tc>
          <w:tcPr>
            <w:tcW w:w="3820" w:type="dxa"/>
            <w:vAlign w:val="bottom"/>
            <w:tcBorders>
              <w:bottom w:val="single" w:sz="8" w:color="00C1DE"/>
            </w:tcBorders>
          </w:tcPr>
          <w:p>
            <w:pPr>
              <w:spacing w:after="0"/>
              <w:rPr>
                <w:sz w:val="5"/>
                <w:szCs w:val="5"/>
                <w:color w:val="auto"/>
              </w:rPr>
            </w:pPr>
          </w:p>
        </w:tc>
        <w:tc>
          <w:tcPr>
            <w:tcW w:w="1800" w:type="dxa"/>
            <w:vAlign w:val="bottom"/>
            <w:tcBorders>
              <w:bottom w:val="single" w:sz="8" w:color="00C1DE"/>
            </w:tcBorders>
          </w:tcPr>
          <w:p>
            <w:pPr>
              <w:spacing w:after="0"/>
              <w:rPr>
                <w:sz w:val="5"/>
                <w:szCs w:val="5"/>
                <w:color w:val="auto"/>
              </w:rPr>
            </w:pPr>
          </w:p>
        </w:tc>
      </w:tr>
      <w:tr>
        <w:trPr>
          <w:trHeight w:val="255"/>
        </w:trPr>
        <w:tc>
          <w:tcPr>
            <w:tcW w:w="148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380"/>
              <w:spacing w:after="0"/>
              <w:rPr>
                <w:sz w:val="20"/>
                <w:szCs w:val="20"/>
                <w:color w:val="auto"/>
              </w:rPr>
            </w:pPr>
            <w:r>
              <w:rPr>
                <w:rFonts w:ascii="Arial" w:cs="Arial" w:eastAsia="Arial" w:hAnsi="Arial"/>
                <w:sz w:val="16"/>
                <w:szCs w:val="16"/>
                <w:color w:val="3E3935"/>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3E3935"/>
              </w:rPr>
              <w:t>$1,995,000</w:t>
            </w:r>
          </w:p>
        </w:tc>
      </w:tr>
      <w:tr>
        <w:trPr>
          <w:trHeight w:val="72"/>
        </w:trPr>
        <w:tc>
          <w:tcPr>
            <w:tcW w:w="148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800" w:type="dxa"/>
            <w:vAlign w:val="bottom"/>
            <w:tcBorders>
              <w:bottom w:val="single" w:sz="8" w:color="3E3935"/>
            </w:tcBorders>
          </w:tcPr>
          <w:p>
            <w:pPr>
              <w:spacing w:after="0"/>
              <w:rPr>
                <w:sz w:val="6"/>
                <w:szCs w:val="6"/>
                <w:color w:val="auto"/>
              </w:rPr>
            </w:pPr>
          </w:p>
        </w:tc>
      </w:tr>
      <w:tr>
        <w:trPr>
          <w:trHeight w:val="255"/>
        </w:trPr>
        <w:tc>
          <w:tcPr>
            <w:tcW w:w="148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380"/>
              <w:spacing w:after="0"/>
              <w:rPr>
                <w:sz w:val="20"/>
                <w:szCs w:val="20"/>
                <w:color w:val="auto"/>
              </w:rPr>
            </w:pPr>
            <w:r>
              <w:rPr>
                <w:rFonts w:ascii="Arial" w:cs="Arial" w:eastAsia="Arial" w:hAnsi="Arial"/>
                <w:sz w:val="16"/>
                <w:szCs w:val="16"/>
                <w:color w:val="3E3935"/>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3E3935"/>
              </w:rPr>
              <w:t>$3,780,000</w:t>
            </w:r>
          </w:p>
        </w:tc>
      </w:tr>
      <w:tr>
        <w:trPr>
          <w:trHeight w:val="72"/>
        </w:trPr>
        <w:tc>
          <w:tcPr>
            <w:tcW w:w="148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800" w:type="dxa"/>
            <w:vAlign w:val="bottom"/>
            <w:tcBorders>
              <w:bottom w:val="single" w:sz="8" w:color="3E3935"/>
            </w:tcBorders>
          </w:tcPr>
          <w:p>
            <w:pPr>
              <w:spacing w:after="0"/>
              <w:rPr>
                <w:sz w:val="6"/>
                <w:szCs w:val="6"/>
                <w:color w:val="auto"/>
              </w:rPr>
            </w:pPr>
          </w:p>
        </w:tc>
      </w:tr>
      <w:tr>
        <w:trPr>
          <w:trHeight w:val="328"/>
        </w:trPr>
        <w:tc>
          <w:tcPr>
            <w:tcW w:w="148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380"/>
              <w:spacing w:after="0"/>
              <w:rPr>
                <w:sz w:val="20"/>
                <w:szCs w:val="20"/>
                <w:color w:val="auto"/>
              </w:rPr>
            </w:pPr>
            <w:r>
              <w:rPr>
                <w:rFonts w:ascii="Arial" w:cs="Arial" w:eastAsia="Arial" w:hAnsi="Arial"/>
                <w:sz w:val="16"/>
                <w:szCs w:val="16"/>
                <w:color w:val="3E3935"/>
              </w:rPr>
              <w:t>Performance to Metrics and Stock Price</w:t>
            </w:r>
          </w:p>
        </w:tc>
        <w:tc>
          <w:tcPr>
            <w:tcW w:w="18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$12,988,702</w:t>
            </w:r>
          </w:p>
        </w:tc>
      </w:tr>
      <w:tr>
        <w:trPr>
          <w:trHeight w:val="255"/>
        </w:trPr>
        <w:tc>
          <w:tcPr>
            <w:tcW w:w="148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380"/>
              <w:spacing w:after="0"/>
              <w:rPr>
                <w:sz w:val="20"/>
                <w:szCs w:val="20"/>
                <w:color w:val="auto"/>
              </w:rPr>
            </w:pPr>
            <w:r>
              <w:rPr>
                <w:rFonts w:ascii="Arial" w:cs="Arial" w:eastAsia="Arial" w:hAnsi="Arial"/>
                <w:sz w:val="16"/>
                <w:szCs w:val="16"/>
                <w:color w:val="3E3935"/>
              </w:rPr>
              <w:t>Performance to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$3,750,002</w:t>
            </w:r>
          </w:p>
        </w:tc>
      </w:tr>
      <w:tr>
        <w:trPr>
          <w:trHeight w:val="72"/>
        </w:trPr>
        <w:tc>
          <w:tcPr>
            <w:tcW w:w="148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800" w:type="dxa"/>
            <w:vAlign w:val="bottom"/>
            <w:tcBorders>
              <w:bottom w:val="single" w:sz="8" w:color="3E3935"/>
            </w:tcBorders>
          </w:tcPr>
          <w:p>
            <w:pPr>
              <w:spacing w:after="0"/>
              <w:rPr>
                <w:sz w:val="6"/>
                <w:szCs w:val="6"/>
                <w:color w:val="auto"/>
              </w:rPr>
            </w:pPr>
          </w:p>
        </w:tc>
      </w:tr>
      <w:tr>
        <w:trPr>
          <w:trHeight w:val="255"/>
        </w:trPr>
        <w:tc>
          <w:tcPr>
            <w:tcW w:w="1480" w:type="dxa"/>
            <w:vAlign w:val="bottom"/>
          </w:tcPr>
          <w:p>
            <w:pPr>
              <w:ind w:left="100"/>
              <w:spacing w:after="0"/>
              <w:rPr>
                <w:sz w:val="20"/>
                <w:szCs w:val="20"/>
                <w:color w:val="auto"/>
              </w:rPr>
            </w:pPr>
            <w:r>
              <w:rPr>
                <w:rFonts w:ascii="Arial" w:cs="Arial" w:eastAsia="Arial" w:hAnsi="Arial"/>
                <w:sz w:val="16"/>
                <w:szCs w:val="16"/>
                <w:color w:val="3E3935"/>
              </w:rPr>
              <w:t>RSUs</w:t>
            </w:r>
          </w:p>
        </w:tc>
        <w:tc>
          <w:tcPr>
            <w:tcW w:w="3820" w:type="dxa"/>
            <w:vAlign w:val="bottom"/>
          </w:tcPr>
          <w:p>
            <w:pPr>
              <w:ind w:left="380"/>
              <w:spacing w:after="0"/>
              <w:rPr>
                <w:sz w:val="20"/>
                <w:szCs w:val="20"/>
                <w:color w:val="auto"/>
              </w:rPr>
            </w:pPr>
            <w:r>
              <w:rPr>
                <w:rFonts w:ascii="Arial" w:cs="Arial" w:eastAsia="Arial" w:hAnsi="Arial"/>
                <w:sz w:val="16"/>
                <w:szCs w:val="16"/>
                <w:color w:val="3E3935"/>
              </w:rPr>
              <w:t>Performance to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$105,020</w:t>
            </w:r>
          </w:p>
        </w:tc>
      </w:tr>
      <w:tr>
        <w:trPr>
          <w:trHeight w:val="72"/>
        </w:trPr>
        <w:tc>
          <w:tcPr>
            <w:tcW w:w="148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800" w:type="dxa"/>
            <w:vAlign w:val="bottom"/>
            <w:tcBorders>
              <w:bottom w:val="single" w:sz="8" w:color="3E3935"/>
            </w:tcBorders>
          </w:tcPr>
          <w:p>
            <w:pPr>
              <w:spacing w:after="0"/>
              <w:rPr>
                <w:sz w:val="6"/>
                <w:szCs w:val="6"/>
                <w:color w:val="auto"/>
              </w:rPr>
            </w:pPr>
          </w:p>
        </w:tc>
      </w:tr>
      <w:tr>
        <w:trPr>
          <w:trHeight w:val="255"/>
        </w:trPr>
        <w:tc>
          <w:tcPr>
            <w:tcW w:w="148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71CE"/>
              </w:rPr>
              <w:t>$22,618,724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008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37" w:lineRule="exact"/>
        <w:rPr>
          <w:sz w:val="20"/>
          <w:szCs w:val="20"/>
          <w:color w:val="auto"/>
        </w:rPr>
      </w:pPr>
    </w:p>
    <w:p>
      <w:pPr>
        <w:ind w:left="440" w:hanging="273"/>
        <w:spacing w:after="0" w:line="275" w:lineRule="auto"/>
        <w:tabs>
          <w:tab w:leader="none" w:pos="440" w:val="left"/>
        </w:tabs>
        <w:numPr>
          <w:ilvl w:val="0"/>
          <w:numId w:val="92"/>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153670</wp:posOffset>
            </wp:positionV>
            <wp:extent cx="5927725" cy="1016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0"/>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-5145405</wp:posOffset>
            </wp:positionV>
            <wp:extent cx="1673225" cy="47555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673225" cy="475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20"/>
        <w:spacing w:after="0"/>
        <w:rPr>
          <w:sz w:val="20"/>
          <w:szCs w:val="20"/>
          <w:color w:val="auto"/>
        </w:rPr>
      </w:pPr>
      <w:r>
        <w:rPr>
          <w:rFonts w:ascii="Arial" w:cs="Arial" w:eastAsia="Arial" w:hAnsi="Arial"/>
          <w:sz w:val="14"/>
          <w:szCs w:val="14"/>
          <w:color w:val="0071CE"/>
        </w:rPr>
        <w:t>57</w:t>
      </w:r>
    </w:p>
    <w:p>
      <w:pPr>
        <w:sectPr>
          <w:pgSz w:w="11900" w:h="16838" w:orient="portrait"/>
          <w:cols w:equalWidth="0" w:num="2">
            <w:col w:w="7260" w:space="320"/>
            <w:col w:w="3500"/>
          </w:cols>
          <w:pgMar w:left="320" w:top="456" w:right="499" w:bottom="936"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93"/>
        </w:numPr>
        <w:rPr>
          <w:rFonts w:ascii="Arial" w:cs="Arial" w:eastAsia="Arial" w:hAnsi="Arial"/>
          <w:sz w:val="21"/>
          <w:szCs w:val="21"/>
          <w:color w:val="0071CE"/>
        </w:rPr>
      </w:pPr>
      <w:r>
        <w:rPr>
          <w:rFonts w:ascii="Arial" w:cs="Arial" w:eastAsia="Arial" w:hAnsi="Arial"/>
          <w:sz w:val="25"/>
          <w:szCs w:val="25"/>
          <w:color w:val="3E3935"/>
        </w:rPr>
        <w:t>Compensation Decisions for Paul A. Jacobson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3E3935"/>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00880" cy="1562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00880" cy="1562735"/>
                    </a:xfrm>
                    <a:prstGeom prst="rect">
                      <a:avLst/>
                    </a:prstGeom>
                    <a:noFill/>
                  </pic:spPr>
                </pic:pic>
              </a:graphicData>
            </a:graphic>
          </wp:anchor>
        </w:drawing>
      </w:r>
    </w:p>
    <w:p>
      <w:pPr>
        <w:spacing w:after="0" w:line="114" w:lineRule="exact"/>
        <w:rPr>
          <w:sz w:val="20"/>
          <w:szCs w:val="20"/>
          <w:color w:val="auto"/>
        </w:rPr>
      </w:pPr>
    </w:p>
    <w:p>
      <w:pPr>
        <w:jc w:val="both"/>
        <w:ind w:left="400" w:right="240"/>
        <w:spacing w:after="0" w:line="246" w:lineRule="auto"/>
        <w:rPr>
          <w:sz w:val="20"/>
          <w:szCs w:val="20"/>
          <w:color w:val="auto"/>
        </w:rPr>
      </w:pPr>
      <w:r>
        <w:rPr>
          <w:rFonts w:ascii="Arial" w:cs="Arial" w:eastAsia="Arial" w:hAnsi="Arial"/>
          <w:sz w:val="16"/>
          <w:szCs w:val="16"/>
          <w:color w:val="3E3935"/>
        </w:rPr>
        <w:t>Mr. Jacobson was named Executive Vice President and Chief Financial Officer effective December 1, 2020. He is helping the Company accelerate mission-critical growth initiatives, like EV and AV investments, and leading the strategy that invests in new and existing businesses to drive strong, profitable growth with solid return on investment. By leveraging the strength of our core business, Mr. Jacobson is helping fund a new chapter at GM that is electric, connected, sustainable, inclusive, and focused on growth.</w:t>
      </w:r>
    </w:p>
    <w:p>
      <w:pPr>
        <w:spacing w:after="0" w:line="72" w:lineRule="exact"/>
        <w:rPr>
          <w:sz w:val="20"/>
          <w:szCs w:val="20"/>
          <w:color w:val="auto"/>
        </w:rPr>
      </w:pPr>
    </w:p>
    <w:p>
      <w:pPr>
        <w:jc w:val="both"/>
        <w:ind w:left="400" w:right="240"/>
        <w:spacing w:after="0" w:line="246" w:lineRule="auto"/>
        <w:rPr>
          <w:sz w:val="20"/>
          <w:szCs w:val="20"/>
          <w:color w:val="auto"/>
        </w:rPr>
      </w:pPr>
      <w:r>
        <w:rPr>
          <w:rFonts w:ascii="Arial" w:cs="Arial" w:eastAsia="Arial" w:hAnsi="Arial"/>
          <w:sz w:val="16"/>
          <w:szCs w:val="16"/>
          <w:color w:val="3E3935"/>
        </w:rPr>
        <w:t>By the end of 2020, the Company had repaid the remaining balance on our corporate revolving credit draw and fulfilled the strategic decisions made in 2018 to accelerate the business transformation by strengthening the core business, capitalizing on the future of mobility, and driving cost efficiencies, realizing $4.5 billion in cost savings, inclusive of $200 million of savings related to the wind-down of Holden and sale of our Thailand business.</w:t>
      </w:r>
    </w:p>
    <w:p>
      <w:pPr>
        <w:spacing w:after="0" w:line="200" w:lineRule="exact"/>
        <w:rPr>
          <w:sz w:val="20"/>
          <w:szCs w:val="20"/>
          <w:color w:val="auto"/>
        </w:rPr>
      </w:pPr>
    </w:p>
    <w:p>
      <w:pPr>
        <w:spacing w:after="0" w:line="216"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10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December 1, 2020, upon Mr. Jacobson’s hiring, set base</w:t>
      </w:r>
      <w:r>
        <w:rPr>
          <w:rFonts w:ascii="Arial" w:cs="Arial" w:eastAsia="Arial" w:hAnsi="Arial"/>
          <w:sz w:val="20"/>
          <w:szCs w:val="20"/>
          <w:b w:val="1"/>
          <w:bCs w:val="1"/>
          <w:color w:val="0071CE"/>
        </w:rPr>
        <w:t xml:space="preserve"> </w:t>
      </w:r>
      <w:r>
        <w:rPr>
          <w:rFonts w:ascii="Arial" w:cs="Arial" w:eastAsia="Arial" w:hAnsi="Arial"/>
          <w:sz w:val="20"/>
          <w:szCs w:val="20"/>
          <w:color w:val="3E3935"/>
        </w:rPr>
        <w:t>salary at $1,000,000.</w:t>
      </w:r>
    </w:p>
    <w:p>
      <w:pPr>
        <w:spacing w:after="0" w:line="75"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Awarded 25 points. Final 2020 STIP award reflects a</w:t>
      </w:r>
      <w:r>
        <w:rPr>
          <w:rFonts w:ascii="Arial" w:cs="Arial" w:eastAsia="Arial" w:hAnsi="Arial"/>
          <w:sz w:val="20"/>
          <w:szCs w:val="20"/>
          <w:b w:val="1"/>
          <w:bCs w:val="1"/>
          <w:color w:val="0071CE"/>
        </w:rPr>
        <w:t xml:space="preserve"> </w:t>
      </w:r>
      <w:r>
        <w:rPr>
          <w:rFonts w:ascii="Arial" w:cs="Arial" w:eastAsia="Arial" w:hAnsi="Arial"/>
          <w:sz w:val="20"/>
          <w:szCs w:val="20"/>
          <w:color w:val="3E3935"/>
        </w:rPr>
        <w:t>prorated amount based on the number of months Mr. Jacobson was with the Company during 2020.</w:t>
      </w:r>
    </w:p>
    <w:p>
      <w:pPr>
        <w:spacing w:after="0" w:line="102"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December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$2.1 million, consisting of 75% PSUs and 25% Stock Options. And, in December 2020, awarded a one-time RSU grant of $2.5 million to replace shares forfeited at his previous employer.</w:t>
      </w:r>
    </w:p>
    <w:p>
      <w:pPr>
        <w:spacing w:after="0" w:line="126"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520" w:type="dxa"/>
            <w:vAlign w:val="bottom"/>
            <w:tcBorders>
              <w:top w:val="single" w:sz="8" w:color="00C1DE"/>
              <w:bottom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00" w:type="dxa"/>
            <w:vAlign w:val="bottom"/>
            <w:tcBorders>
              <w:top w:val="single" w:sz="8" w:color="00C1DE"/>
              <w:bottom w:val="single" w:sz="8" w:color="00C1DE"/>
            </w:tcBorders>
          </w:tcPr>
          <w:p>
            <w:pPr>
              <w:ind w:left="400"/>
              <w:spacing w:after="0"/>
              <w:rPr>
                <w:sz w:val="20"/>
                <w:szCs w:val="20"/>
                <w:color w:val="auto"/>
              </w:rPr>
            </w:pPr>
            <w:r>
              <w:rPr>
                <w:rFonts w:ascii="Arial" w:cs="Arial" w:eastAsia="Arial" w:hAnsi="Arial"/>
                <w:sz w:val="16"/>
                <w:szCs w:val="16"/>
                <w:b w:val="1"/>
                <w:bCs w:val="1"/>
                <w:color w:val="00C1DE"/>
              </w:rPr>
              <w:t>Majority of Pay Is At-Risk</w:t>
            </w:r>
          </w:p>
        </w:tc>
        <w:tc>
          <w:tcPr>
            <w:tcW w:w="1780" w:type="dxa"/>
            <w:vAlign w:val="bottom"/>
            <w:tcBorders>
              <w:top w:val="single" w:sz="8" w:color="00C1DE"/>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95"/>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00" w:type="dxa"/>
            <w:vAlign w:val="bottom"/>
          </w:tcPr>
          <w:p>
            <w:pPr>
              <w:ind w:left="400"/>
              <w:spacing w:after="0"/>
              <w:rPr>
                <w:sz w:val="20"/>
                <w:szCs w:val="20"/>
                <w:color w:val="auto"/>
              </w:rPr>
            </w:pPr>
            <w:r>
              <w:rPr>
                <w:rFonts w:ascii="Arial" w:cs="Arial" w:eastAsia="Arial" w:hAnsi="Arial"/>
                <w:sz w:val="16"/>
                <w:szCs w:val="16"/>
                <w:color w:val="3E3935"/>
              </w:rPr>
              <w:t>Only Fixed Pay Element</w:t>
            </w:r>
          </w:p>
        </w:tc>
        <w:tc>
          <w:tcPr>
            <w:tcW w:w="1780" w:type="dxa"/>
            <w:vAlign w:val="bottom"/>
          </w:tcPr>
          <w:p>
            <w:pPr>
              <w:jc w:val="right"/>
              <w:spacing w:after="0"/>
              <w:rPr>
                <w:sz w:val="20"/>
                <w:szCs w:val="20"/>
                <w:color w:val="auto"/>
              </w:rPr>
            </w:pPr>
            <w:r>
              <w:rPr>
                <w:rFonts w:ascii="Arial" w:cs="Arial" w:eastAsia="Arial" w:hAnsi="Arial"/>
                <w:sz w:val="16"/>
                <w:szCs w:val="16"/>
                <w:color w:val="3E3935"/>
              </w:rPr>
              <w:t>$83,333</w:t>
            </w:r>
          </w:p>
        </w:tc>
      </w:tr>
      <w:tr>
        <w:trPr>
          <w:trHeight w:val="126"/>
        </w:trPr>
        <w:tc>
          <w:tcPr>
            <w:tcW w:w="152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80" w:type="dxa"/>
            <w:vAlign w:val="bottom"/>
            <w:tcBorders>
              <w:bottom w:val="single" w:sz="8" w:color="3E3935"/>
            </w:tcBorders>
          </w:tcPr>
          <w:p>
            <w:pPr>
              <w:spacing w:after="0"/>
              <w:rPr>
                <w:sz w:val="10"/>
                <w:szCs w:val="10"/>
                <w:color w:val="auto"/>
              </w:rPr>
            </w:pPr>
          </w:p>
        </w:tc>
      </w:tr>
      <w:tr>
        <w:trPr>
          <w:trHeight w:val="295"/>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00" w:type="dxa"/>
            <w:vAlign w:val="bottom"/>
          </w:tcPr>
          <w:p>
            <w:pPr>
              <w:ind w:left="400"/>
              <w:spacing w:after="0"/>
              <w:rPr>
                <w:sz w:val="20"/>
                <w:szCs w:val="20"/>
                <w:color w:val="auto"/>
              </w:rPr>
            </w:pPr>
            <w:r>
              <w:rPr>
                <w:rFonts w:ascii="Arial" w:cs="Arial" w:eastAsia="Arial" w:hAnsi="Arial"/>
                <w:sz w:val="16"/>
                <w:szCs w:val="16"/>
                <w:color w:val="3E3935"/>
              </w:rPr>
              <w:t>Performance to Metrics</w:t>
            </w:r>
          </w:p>
        </w:tc>
        <w:tc>
          <w:tcPr>
            <w:tcW w:w="1780" w:type="dxa"/>
            <w:vAlign w:val="bottom"/>
          </w:tcPr>
          <w:p>
            <w:pPr>
              <w:jc w:val="right"/>
              <w:spacing w:after="0"/>
              <w:rPr>
                <w:sz w:val="20"/>
                <w:szCs w:val="20"/>
                <w:color w:val="auto"/>
              </w:rPr>
            </w:pPr>
            <w:r>
              <w:rPr>
                <w:rFonts w:ascii="Arial" w:cs="Arial" w:eastAsia="Arial" w:hAnsi="Arial"/>
                <w:sz w:val="16"/>
                <w:szCs w:val="16"/>
                <w:color w:val="3E3935"/>
              </w:rPr>
              <w:t>$88,600</w:t>
            </w:r>
          </w:p>
        </w:tc>
      </w:tr>
      <w:tr>
        <w:trPr>
          <w:trHeight w:val="126"/>
        </w:trPr>
        <w:tc>
          <w:tcPr>
            <w:tcW w:w="152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80" w:type="dxa"/>
            <w:vAlign w:val="bottom"/>
            <w:tcBorders>
              <w:bottom w:val="single" w:sz="8" w:color="3E3935"/>
            </w:tcBorders>
          </w:tcPr>
          <w:p>
            <w:pPr>
              <w:spacing w:after="0"/>
              <w:rPr>
                <w:sz w:val="10"/>
                <w:szCs w:val="10"/>
                <w:color w:val="auto"/>
              </w:rPr>
            </w:pPr>
          </w:p>
        </w:tc>
      </w:tr>
      <w:tr>
        <w:trPr>
          <w:trHeight w:val="421"/>
        </w:trPr>
        <w:tc>
          <w:tcPr>
            <w:tcW w:w="152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00" w:type="dxa"/>
            <w:vAlign w:val="bottom"/>
            <w:tcBorders>
              <w:bottom w:val="single" w:sz="8" w:color="3E3935"/>
            </w:tcBorders>
          </w:tcPr>
          <w:p>
            <w:pPr>
              <w:ind w:left="400"/>
              <w:spacing w:after="0"/>
              <w:rPr>
                <w:sz w:val="20"/>
                <w:szCs w:val="20"/>
                <w:color w:val="auto"/>
              </w:rPr>
            </w:pPr>
            <w:r>
              <w:rPr>
                <w:rFonts w:ascii="Arial" w:cs="Arial" w:eastAsia="Arial" w:hAnsi="Arial"/>
                <w:sz w:val="16"/>
                <w:szCs w:val="16"/>
                <w:color w:val="3E3935"/>
              </w:rPr>
              <w:t>Performance to Metrics and Stock Price</w:t>
            </w:r>
          </w:p>
        </w:tc>
        <w:tc>
          <w:tcPr>
            <w:tcW w:w="17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$1,975,103</w:t>
            </w:r>
          </w:p>
        </w:tc>
      </w:tr>
      <w:tr>
        <w:trPr>
          <w:trHeight w:val="295"/>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00" w:type="dxa"/>
            <w:vAlign w:val="bottom"/>
          </w:tcPr>
          <w:p>
            <w:pPr>
              <w:ind w:left="400"/>
              <w:spacing w:after="0"/>
              <w:rPr>
                <w:sz w:val="20"/>
                <w:szCs w:val="20"/>
                <w:color w:val="auto"/>
              </w:rPr>
            </w:pPr>
            <w:r>
              <w:rPr>
                <w:rFonts w:ascii="Arial" w:cs="Arial" w:eastAsia="Arial" w:hAnsi="Arial"/>
                <w:sz w:val="16"/>
                <w:szCs w:val="16"/>
                <w:color w:val="3E3935"/>
              </w:rPr>
              <w:t>Performance to Stock Price</w:t>
            </w:r>
          </w:p>
        </w:tc>
        <w:tc>
          <w:tcPr>
            <w:tcW w:w="1780" w:type="dxa"/>
            <w:vAlign w:val="bottom"/>
          </w:tcPr>
          <w:p>
            <w:pPr>
              <w:jc w:val="right"/>
              <w:spacing w:after="0"/>
              <w:rPr>
                <w:sz w:val="20"/>
                <w:szCs w:val="20"/>
                <w:color w:val="auto"/>
              </w:rPr>
            </w:pPr>
            <w:r>
              <w:rPr>
                <w:rFonts w:ascii="Arial" w:cs="Arial" w:eastAsia="Arial" w:hAnsi="Arial"/>
                <w:sz w:val="16"/>
                <w:szCs w:val="16"/>
                <w:color w:val="3E3935"/>
              </w:rPr>
              <w:t>$525,001</w:t>
            </w:r>
          </w:p>
        </w:tc>
      </w:tr>
      <w:tr>
        <w:trPr>
          <w:trHeight w:val="126"/>
        </w:trPr>
        <w:tc>
          <w:tcPr>
            <w:tcW w:w="152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80" w:type="dxa"/>
            <w:vAlign w:val="bottom"/>
            <w:tcBorders>
              <w:bottom w:val="single" w:sz="8" w:color="3E3935"/>
            </w:tcBorders>
          </w:tcPr>
          <w:p>
            <w:pPr>
              <w:spacing w:after="0"/>
              <w:rPr>
                <w:sz w:val="10"/>
                <w:szCs w:val="10"/>
                <w:color w:val="auto"/>
              </w:rPr>
            </w:pPr>
          </w:p>
        </w:tc>
      </w:tr>
      <w:tr>
        <w:trPr>
          <w:trHeight w:val="295"/>
        </w:trPr>
        <w:tc>
          <w:tcPr>
            <w:tcW w:w="1520" w:type="dxa"/>
            <w:vAlign w:val="bottom"/>
          </w:tcPr>
          <w:p>
            <w:pPr>
              <w:ind w:left="100"/>
              <w:spacing w:after="0"/>
              <w:rPr>
                <w:sz w:val="20"/>
                <w:szCs w:val="20"/>
                <w:color w:val="auto"/>
              </w:rPr>
            </w:pPr>
            <w:r>
              <w:rPr>
                <w:rFonts w:ascii="Arial" w:cs="Arial" w:eastAsia="Arial" w:hAnsi="Arial"/>
                <w:sz w:val="16"/>
                <w:szCs w:val="16"/>
                <w:color w:val="3E3935"/>
              </w:rPr>
              <w:t>RSUs</w:t>
            </w:r>
          </w:p>
        </w:tc>
        <w:tc>
          <w:tcPr>
            <w:tcW w:w="3800" w:type="dxa"/>
            <w:vAlign w:val="bottom"/>
          </w:tcPr>
          <w:p>
            <w:pPr>
              <w:ind w:left="400"/>
              <w:spacing w:after="0"/>
              <w:rPr>
                <w:sz w:val="20"/>
                <w:szCs w:val="20"/>
                <w:color w:val="auto"/>
              </w:rPr>
            </w:pPr>
            <w:r>
              <w:rPr>
                <w:rFonts w:ascii="Arial" w:cs="Arial" w:eastAsia="Arial" w:hAnsi="Arial"/>
                <w:sz w:val="16"/>
                <w:szCs w:val="16"/>
                <w:color w:val="3E3935"/>
              </w:rPr>
              <w:t>Performance to Stock Price</w:t>
            </w:r>
          </w:p>
        </w:tc>
        <w:tc>
          <w:tcPr>
            <w:tcW w:w="1780" w:type="dxa"/>
            <w:vAlign w:val="bottom"/>
          </w:tcPr>
          <w:p>
            <w:pPr>
              <w:jc w:val="right"/>
              <w:spacing w:after="0"/>
              <w:rPr>
                <w:sz w:val="20"/>
                <w:szCs w:val="20"/>
                <w:color w:val="auto"/>
              </w:rPr>
            </w:pPr>
            <w:r>
              <w:rPr>
                <w:rFonts w:ascii="Arial" w:cs="Arial" w:eastAsia="Arial" w:hAnsi="Arial"/>
                <w:sz w:val="16"/>
                <w:szCs w:val="16"/>
                <w:color w:val="3E3935"/>
              </w:rPr>
              <w:t>$2,500,025</w:t>
            </w:r>
          </w:p>
        </w:tc>
      </w:tr>
      <w:tr>
        <w:trPr>
          <w:trHeight w:val="126"/>
        </w:trPr>
        <w:tc>
          <w:tcPr>
            <w:tcW w:w="152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80" w:type="dxa"/>
            <w:vAlign w:val="bottom"/>
            <w:tcBorders>
              <w:bottom w:val="single" w:sz="8" w:color="3E3935"/>
            </w:tcBorders>
          </w:tcPr>
          <w:p>
            <w:pPr>
              <w:spacing w:after="0"/>
              <w:rPr>
                <w:sz w:val="10"/>
                <w:szCs w:val="10"/>
                <w:color w:val="auto"/>
              </w:rPr>
            </w:pPr>
          </w:p>
        </w:tc>
      </w:tr>
      <w:tr>
        <w:trPr>
          <w:trHeight w:val="295"/>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71CE"/>
              </w:rPr>
              <w:t>$5,172,062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45008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90" w:lineRule="exact"/>
        <w:rPr>
          <w:sz w:val="20"/>
          <w:szCs w:val="20"/>
          <w:color w:val="auto"/>
        </w:rPr>
      </w:pPr>
    </w:p>
    <w:p>
      <w:pPr>
        <w:ind w:left="440" w:hanging="273"/>
        <w:spacing w:after="0" w:line="275" w:lineRule="auto"/>
        <w:tabs>
          <w:tab w:leader="none" w:pos="440" w:val="left"/>
        </w:tabs>
        <w:numPr>
          <w:ilvl w:val="0"/>
          <w:numId w:val="94"/>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153670</wp:posOffset>
            </wp:positionV>
            <wp:extent cx="5927725" cy="1016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27"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0071CE"/>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-5145405</wp:posOffset>
            </wp:positionV>
            <wp:extent cx="1638935" cy="47555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638935" cy="4755515"/>
                    </a:xfrm>
                    <a:prstGeom prst="rect">
                      <a:avLst/>
                    </a:prstGeom>
                    <a:noFill/>
                  </pic:spPr>
                </pic:pic>
              </a:graphicData>
            </a:graphic>
          </wp:anchor>
        </w:drawing>
      </w:r>
    </w:p>
    <w:p>
      <w:pPr>
        <w:sectPr>
          <w:pgSz w:w="11900" w:h="16838" w:orient="portrait"/>
          <w:cols w:equalWidth="0" w:num="2">
            <w:col w:w="7260" w:space="340"/>
            <w:col w:w="34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95"/>
        </w:numPr>
        <w:rPr>
          <w:rFonts w:ascii="Arial" w:cs="Arial" w:eastAsia="Arial" w:hAnsi="Arial"/>
          <w:sz w:val="21"/>
          <w:szCs w:val="21"/>
          <w:color w:val="0071CE"/>
        </w:rPr>
      </w:pPr>
      <w:r>
        <w:rPr>
          <w:rFonts w:ascii="Arial" w:cs="Arial" w:eastAsia="Arial" w:hAnsi="Arial"/>
          <w:sz w:val="25"/>
          <w:szCs w:val="25"/>
          <w:color w:val="3E3935"/>
        </w:rPr>
        <w:t>Compensation Decisions for Mark L. Reuss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3E3935"/>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00880" cy="4220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00880" cy="422084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3E3935"/>
        </w:rPr>
        <w:t>2020 performance highlights to strategic goals include the following:</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E3935"/>
        </w:rPr>
        <w:t>Culture &amp; People</w:t>
      </w:r>
    </w:p>
    <w:p>
      <w:pPr>
        <w:spacing w:after="0" w:line="130" w:lineRule="exact"/>
        <w:rPr>
          <w:sz w:val="20"/>
          <w:szCs w:val="20"/>
          <w:color w:val="auto"/>
        </w:rPr>
      </w:pPr>
    </w:p>
    <w:p>
      <w:pPr>
        <w:jc w:val="both"/>
        <w:ind w:left="600" w:right="220" w:hanging="216"/>
        <w:spacing w:after="0" w:line="203" w:lineRule="auto"/>
        <w:tabs>
          <w:tab w:leader="none" w:pos="610" w:val="left"/>
        </w:tabs>
        <w:numPr>
          <w:ilvl w:val="0"/>
          <w:numId w:val="96"/>
        </w:numPr>
        <w:rPr>
          <w:rFonts w:ascii="Arial" w:cs="Arial" w:eastAsia="Arial" w:hAnsi="Arial"/>
          <w:sz w:val="23"/>
          <w:szCs w:val="23"/>
          <w:color w:val="00C1DE"/>
        </w:rPr>
      </w:pPr>
      <w:r>
        <w:rPr>
          <w:rFonts w:ascii="Arial" w:cs="Arial" w:eastAsia="Arial" w:hAnsi="Arial"/>
          <w:sz w:val="16"/>
          <w:szCs w:val="16"/>
          <w:color w:val="3E3935"/>
        </w:rPr>
        <w:t>Exemplified a safety-first culture through our response to COVID-19 by mass producing ventilators, masks, and other personal protective equipment to support global relief efforts</w:t>
      </w:r>
    </w:p>
    <w:p>
      <w:pPr>
        <w:spacing w:after="0" w:line="195" w:lineRule="exact"/>
        <w:rPr>
          <w:rFonts w:ascii="Arial" w:cs="Arial" w:eastAsia="Arial" w:hAnsi="Arial"/>
          <w:sz w:val="23"/>
          <w:szCs w:val="23"/>
          <w:color w:val="00C1DE"/>
        </w:rPr>
      </w:pPr>
    </w:p>
    <w:p>
      <w:pPr>
        <w:jc w:val="both"/>
        <w:ind w:left="600" w:right="220" w:hanging="216"/>
        <w:spacing w:after="0" w:line="215" w:lineRule="auto"/>
        <w:tabs>
          <w:tab w:leader="none" w:pos="610" w:val="left"/>
        </w:tabs>
        <w:numPr>
          <w:ilvl w:val="0"/>
          <w:numId w:val="96"/>
        </w:numPr>
        <w:rPr>
          <w:rFonts w:ascii="Arial" w:cs="Arial" w:eastAsia="Arial" w:hAnsi="Arial"/>
          <w:sz w:val="23"/>
          <w:szCs w:val="23"/>
          <w:color w:val="00C1DE"/>
        </w:rPr>
      </w:pPr>
      <w:r>
        <w:rPr>
          <w:rFonts w:ascii="Arial" w:cs="Arial" w:eastAsia="Arial" w:hAnsi="Arial"/>
          <w:sz w:val="16"/>
          <w:szCs w:val="16"/>
          <w:color w:val="3E3935"/>
        </w:rPr>
        <w:t xml:space="preserve">Joined as one of 37 founding members of OneTen with the goal of upskilling, hiring, and advancing 1 million Black Americans over the next 10 years into family-sustaining jobs with opportunities for advancement </w:t>
      </w:r>
      <w:r>
        <w:rPr>
          <w:rFonts w:ascii="Arial" w:cs="Arial" w:eastAsia="Arial" w:hAnsi="Arial"/>
          <w:sz w:val="1"/>
          <w:szCs w:val="1"/>
          <w:color w:val="00C1DE"/>
        </w:rPr>
        <w:drawing>
          <wp:inline distT="0" distB="0" distL="0" distR="0">
            <wp:extent cx="76200" cy="762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00" w:right="220" w:hanging="216"/>
        <w:spacing w:after="0" w:line="203" w:lineRule="auto"/>
        <w:tabs>
          <w:tab w:leader="none" w:pos="610" w:val="left"/>
        </w:tabs>
        <w:numPr>
          <w:ilvl w:val="0"/>
          <w:numId w:val="96"/>
        </w:numPr>
        <w:rPr>
          <w:rFonts w:ascii="Arial" w:cs="Arial" w:eastAsia="Arial" w:hAnsi="Arial"/>
          <w:sz w:val="23"/>
          <w:szCs w:val="23"/>
          <w:color w:val="00C1DE"/>
        </w:rPr>
      </w:pPr>
      <w:r>
        <w:rPr>
          <w:rFonts w:ascii="Arial" w:cs="Arial" w:eastAsia="Arial" w:hAnsi="Arial"/>
          <w:sz w:val="16"/>
          <w:szCs w:val="16"/>
          <w:color w:val="3E3935"/>
        </w:rPr>
        <w:t xml:space="preserve">Designated $10 million to support organizations that promote inclusion and racial justice to help root out racism, bigotry, and discrimination </w:t>
      </w:r>
      <w:r>
        <w:rPr>
          <w:rFonts w:ascii="Arial" w:cs="Arial" w:eastAsia="Arial" w:hAnsi="Arial"/>
          <w:sz w:val="1"/>
          <w:szCs w:val="1"/>
          <w:color w:val="00C1DE"/>
        </w:rPr>
        <w:drawing>
          <wp:inline distT="0" distB="0" distL="0" distR="0">
            <wp:extent cx="76200" cy="7620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E3935"/>
        </w:rPr>
        <w:t>Transformation</w:t>
      </w:r>
    </w:p>
    <w:p>
      <w:pPr>
        <w:spacing w:after="0" w:line="103" w:lineRule="exact"/>
        <w:rPr>
          <w:sz w:val="20"/>
          <w:szCs w:val="20"/>
          <w:color w:val="auto"/>
        </w:rPr>
      </w:pPr>
    </w:p>
    <w:p>
      <w:pPr>
        <w:ind w:left="600" w:right="220" w:hanging="216"/>
        <w:spacing w:after="0" w:line="203" w:lineRule="auto"/>
        <w:tabs>
          <w:tab w:leader="none" w:pos="610" w:val="left"/>
        </w:tabs>
        <w:numPr>
          <w:ilvl w:val="0"/>
          <w:numId w:val="97"/>
        </w:numPr>
        <w:rPr>
          <w:rFonts w:ascii="Arial" w:cs="Arial" w:eastAsia="Arial" w:hAnsi="Arial"/>
          <w:sz w:val="23"/>
          <w:szCs w:val="23"/>
          <w:color w:val="00C1DE"/>
        </w:rPr>
      </w:pPr>
      <w:r>
        <w:rPr>
          <w:rFonts w:ascii="Arial" w:cs="Arial" w:eastAsia="Arial" w:hAnsi="Arial"/>
          <w:sz w:val="16"/>
          <w:szCs w:val="16"/>
          <w:color w:val="3E3935"/>
        </w:rPr>
        <w:t xml:space="preserve">Kept GM’s progress towards an all-electric future on track and accelerated EV programs, including the GMC HUMMER EV and Cadillac LYRIQ </w:t>
      </w:r>
      <w:r>
        <w:rPr>
          <w:rFonts w:ascii="Arial" w:cs="Arial" w:eastAsia="Arial" w:hAnsi="Arial"/>
          <w:sz w:val="1"/>
          <w:szCs w:val="1"/>
          <w:color w:val="00C1DE"/>
        </w:rPr>
        <w:drawing>
          <wp:inline distT="0" distB="0" distL="0" distR="0">
            <wp:extent cx="76200" cy="7620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00" w:right="220" w:hanging="216"/>
        <w:spacing w:after="0" w:line="203" w:lineRule="auto"/>
        <w:tabs>
          <w:tab w:leader="none" w:pos="602" w:val="left"/>
        </w:tabs>
        <w:numPr>
          <w:ilvl w:val="0"/>
          <w:numId w:val="97"/>
        </w:numPr>
        <w:rPr>
          <w:rFonts w:ascii="Arial" w:cs="Arial" w:eastAsia="Arial" w:hAnsi="Arial"/>
          <w:sz w:val="23"/>
          <w:szCs w:val="23"/>
          <w:color w:val="00C1DE"/>
        </w:rPr>
      </w:pPr>
      <w:r>
        <w:rPr>
          <w:rFonts w:ascii="Arial" w:cs="Arial" w:eastAsia="Arial" w:hAnsi="Arial"/>
          <w:sz w:val="16"/>
          <w:szCs w:val="16"/>
          <w:color w:val="3E3935"/>
        </w:rPr>
        <w:t xml:space="preserve">Announced $2.2 billion investment at Detroit-Hamtramck Assembly, now known as Factory ZERO, to become GM’s first manufacturing facility to be fully dedicated to building EVs </w:t>
      </w:r>
      <w:r>
        <w:rPr>
          <w:rFonts w:ascii="Arial" w:cs="Arial" w:eastAsia="Arial" w:hAnsi="Arial"/>
          <w:sz w:val="1"/>
          <w:szCs w:val="1"/>
          <w:color w:val="00C1DE"/>
        </w:rPr>
        <w:drawing>
          <wp:inline distT="0" distB="0" distL="0" distR="0">
            <wp:extent cx="76200" cy="762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00" w:right="220" w:hanging="216"/>
        <w:spacing w:after="0" w:line="203" w:lineRule="auto"/>
        <w:tabs>
          <w:tab w:leader="none" w:pos="602" w:val="left"/>
        </w:tabs>
        <w:numPr>
          <w:ilvl w:val="0"/>
          <w:numId w:val="97"/>
        </w:numPr>
        <w:rPr>
          <w:rFonts w:ascii="Arial" w:cs="Arial" w:eastAsia="Arial" w:hAnsi="Arial"/>
          <w:sz w:val="23"/>
          <w:szCs w:val="23"/>
          <w:color w:val="00C1DE"/>
        </w:rPr>
      </w:pPr>
      <w:r>
        <w:rPr>
          <w:rFonts w:ascii="Arial" w:cs="Arial" w:eastAsia="Arial" w:hAnsi="Arial"/>
          <w:sz w:val="16"/>
          <w:szCs w:val="16"/>
          <w:color w:val="3E3935"/>
        </w:rPr>
        <w:t xml:space="preserve">Announced $2 billion investment at Spring Hill Assembly to transition the facility to become GM’s third vehicle manufacturing site to produce EVs </w:t>
      </w:r>
      <w:r>
        <w:rPr>
          <w:rFonts w:ascii="Arial" w:cs="Arial" w:eastAsia="Arial" w:hAnsi="Arial"/>
          <w:sz w:val="1"/>
          <w:szCs w:val="1"/>
          <w:color w:val="00C1DE"/>
        </w:rPr>
        <w:drawing>
          <wp:inline distT="0" distB="0" distL="0" distR="0">
            <wp:extent cx="76200" cy="7620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jc w:val="both"/>
        <w:ind w:left="600" w:right="220" w:hanging="216"/>
        <w:spacing w:after="0" w:line="215" w:lineRule="auto"/>
        <w:tabs>
          <w:tab w:leader="none" w:pos="602" w:val="left"/>
        </w:tabs>
        <w:numPr>
          <w:ilvl w:val="0"/>
          <w:numId w:val="97"/>
        </w:numPr>
        <w:rPr>
          <w:rFonts w:ascii="Arial" w:cs="Arial" w:eastAsia="Arial" w:hAnsi="Arial"/>
          <w:sz w:val="23"/>
          <w:szCs w:val="23"/>
          <w:color w:val="00C1DE"/>
        </w:rPr>
      </w:pPr>
      <w:r>
        <w:rPr>
          <w:rFonts w:ascii="Arial" w:cs="Arial" w:eastAsia="Arial" w:hAnsi="Arial"/>
          <w:sz w:val="16"/>
          <w:szCs w:val="16"/>
          <w:color w:val="3E3935"/>
        </w:rPr>
        <w:t xml:space="preserve">Announced Ultifi, a reimagined, personalized EV customer experience with a single platform that simplifies discovery, education, and management of GM products and services </w:t>
      </w:r>
      <w:r>
        <w:rPr>
          <w:rFonts w:ascii="Arial" w:cs="Arial" w:eastAsia="Arial" w:hAnsi="Arial"/>
          <w:sz w:val="1"/>
          <w:szCs w:val="1"/>
          <w:color w:val="00C1DE"/>
        </w:rPr>
        <w:drawing>
          <wp:inline distT="0" distB="0" distL="0" distR="0">
            <wp:extent cx="76200" cy="7620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E3935"/>
        </w:rPr>
        <w:t>Core Operations</w:t>
      </w:r>
    </w:p>
    <w:p>
      <w:pPr>
        <w:spacing w:after="0" w:line="59" w:lineRule="exact"/>
        <w:rPr>
          <w:sz w:val="20"/>
          <w:szCs w:val="20"/>
          <w:color w:val="auto"/>
        </w:rPr>
      </w:pPr>
    </w:p>
    <w:p>
      <w:pPr>
        <w:ind w:left="600" w:hanging="216"/>
        <w:spacing w:after="0"/>
        <w:tabs>
          <w:tab w:leader="none" w:pos="600" w:val="left"/>
        </w:tabs>
        <w:numPr>
          <w:ilvl w:val="0"/>
          <w:numId w:val="98"/>
        </w:numPr>
        <w:rPr>
          <w:rFonts w:ascii="Arial" w:cs="Arial" w:eastAsia="Arial" w:hAnsi="Arial"/>
          <w:sz w:val="23"/>
          <w:szCs w:val="23"/>
          <w:color w:val="00C1DE"/>
        </w:rPr>
      </w:pPr>
      <w:r>
        <w:rPr>
          <w:rFonts w:ascii="Arial" w:cs="Arial" w:eastAsia="Arial" w:hAnsi="Arial"/>
          <w:sz w:val="16"/>
          <w:szCs w:val="16"/>
          <w:color w:val="3E3935"/>
        </w:rPr>
        <w:t>Launched all-new lineup of highly profitable full-size SUVs</w:t>
      </w:r>
    </w:p>
    <w:p>
      <w:pPr>
        <w:spacing w:after="0" w:line="2" w:lineRule="exact"/>
        <w:rPr>
          <w:rFonts w:ascii="Arial" w:cs="Arial" w:eastAsia="Arial" w:hAnsi="Arial"/>
          <w:sz w:val="23"/>
          <w:szCs w:val="23"/>
          <w:color w:val="00C1DE"/>
        </w:rPr>
      </w:pPr>
    </w:p>
    <w:p>
      <w:pPr>
        <w:ind w:left="600" w:hanging="216"/>
        <w:spacing w:after="0"/>
        <w:tabs>
          <w:tab w:leader="none" w:pos="600" w:val="left"/>
        </w:tabs>
        <w:numPr>
          <w:ilvl w:val="0"/>
          <w:numId w:val="98"/>
        </w:numPr>
        <w:rPr>
          <w:rFonts w:ascii="Arial" w:cs="Arial" w:eastAsia="Arial" w:hAnsi="Arial"/>
          <w:sz w:val="23"/>
          <w:szCs w:val="23"/>
          <w:color w:val="00C1DE"/>
        </w:rPr>
      </w:pPr>
      <w:r>
        <w:rPr>
          <w:rFonts w:ascii="Arial" w:cs="Arial" w:eastAsia="Arial" w:hAnsi="Arial"/>
          <w:sz w:val="16"/>
          <w:szCs w:val="16"/>
          <w:color w:val="3E3935"/>
        </w:rPr>
        <w:t>Introduced new brand campaign, Everybody In, our call to action to get everyone in an EV</w:t>
      </w:r>
    </w:p>
    <w:p>
      <w:pPr>
        <w:spacing w:after="0" w:line="123" w:lineRule="exact"/>
        <w:rPr>
          <w:rFonts w:ascii="Arial" w:cs="Arial" w:eastAsia="Arial" w:hAnsi="Arial"/>
          <w:sz w:val="23"/>
          <w:szCs w:val="23"/>
          <w:color w:val="00C1DE"/>
        </w:rPr>
      </w:pPr>
    </w:p>
    <w:p>
      <w:pPr>
        <w:ind w:left="600" w:hanging="216"/>
        <w:spacing w:after="0"/>
        <w:tabs>
          <w:tab w:leader="none" w:pos="600" w:val="left"/>
        </w:tabs>
        <w:numPr>
          <w:ilvl w:val="0"/>
          <w:numId w:val="98"/>
        </w:numPr>
        <w:rPr>
          <w:rFonts w:ascii="Arial" w:cs="Arial" w:eastAsia="Arial" w:hAnsi="Arial"/>
          <w:sz w:val="23"/>
          <w:szCs w:val="23"/>
          <w:color w:val="00C1DE"/>
        </w:rPr>
      </w:pPr>
      <w:r>
        <w:rPr>
          <w:rFonts w:ascii="Arial" w:cs="Arial" w:eastAsia="Arial" w:hAnsi="Arial"/>
          <w:sz w:val="16"/>
          <w:szCs w:val="16"/>
          <w:color w:val="3E3935"/>
        </w:rPr>
        <w:t>Achieved 42% of GMC’s retail sales in the highly profitable Denali and AT4 trims</w:t>
      </w:r>
    </w:p>
    <w:p>
      <w:pPr>
        <w:spacing w:after="0" w:line="2" w:lineRule="exact"/>
        <w:rPr>
          <w:rFonts w:ascii="Arial" w:cs="Arial" w:eastAsia="Arial" w:hAnsi="Arial"/>
          <w:sz w:val="23"/>
          <w:szCs w:val="23"/>
          <w:color w:val="00C1DE"/>
        </w:rPr>
      </w:pPr>
    </w:p>
    <w:p>
      <w:pPr>
        <w:ind w:left="600" w:hanging="216"/>
        <w:spacing w:after="0"/>
        <w:tabs>
          <w:tab w:leader="none" w:pos="600" w:val="left"/>
        </w:tabs>
        <w:numPr>
          <w:ilvl w:val="0"/>
          <w:numId w:val="98"/>
        </w:numPr>
        <w:rPr>
          <w:rFonts w:ascii="Arial" w:cs="Arial" w:eastAsia="Arial" w:hAnsi="Arial"/>
          <w:sz w:val="23"/>
          <w:szCs w:val="23"/>
          <w:color w:val="00C1DE"/>
        </w:rPr>
      </w:pPr>
      <w:r>
        <w:rPr>
          <w:rFonts w:ascii="Arial" w:cs="Arial" w:eastAsia="Arial" w:hAnsi="Arial"/>
          <w:sz w:val="16"/>
          <w:szCs w:val="16"/>
          <w:color w:val="3E3935"/>
        </w:rPr>
        <w:t>Established Chevrolet as the fastest-growing full-line brand in the industry</w:t>
      </w:r>
    </w:p>
    <w:p>
      <w:pPr>
        <w:jc w:val="both"/>
        <w:ind w:left="600" w:right="220" w:hanging="216"/>
        <w:spacing w:after="0" w:line="227" w:lineRule="auto"/>
        <w:tabs>
          <w:tab w:leader="none" w:pos="610" w:val="left"/>
        </w:tabs>
        <w:numPr>
          <w:ilvl w:val="0"/>
          <w:numId w:val="98"/>
        </w:numPr>
        <w:rPr>
          <w:rFonts w:ascii="Arial" w:cs="Arial" w:eastAsia="Arial" w:hAnsi="Arial"/>
          <w:sz w:val="23"/>
          <w:szCs w:val="23"/>
          <w:color w:val="00C1DE"/>
        </w:rPr>
      </w:pPr>
      <w:r>
        <w:rPr>
          <w:rFonts w:ascii="Arial" w:cs="Arial" w:eastAsia="Arial" w:hAnsi="Arial"/>
          <w:sz w:val="16"/>
          <w:szCs w:val="16"/>
          <w:color w:val="3E3935"/>
        </w:rPr>
        <w:t>Earned Chevrolet’s 32</w:t>
      </w:r>
      <w:r>
        <w:rPr>
          <w:rFonts w:ascii="Arial" w:cs="Arial" w:eastAsia="Arial" w:hAnsi="Arial"/>
          <w:sz w:val="27"/>
          <w:szCs w:val="27"/>
          <w:color w:val="3E3935"/>
          <w:vertAlign w:val="superscript"/>
        </w:rPr>
        <w:t>nd</w:t>
      </w:r>
      <w:r>
        <w:rPr>
          <w:rFonts w:ascii="Arial" w:cs="Arial" w:eastAsia="Arial" w:hAnsi="Arial"/>
          <w:sz w:val="16"/>
          <w:szCs w:val="16"/>
          <w:color w:val="3E3935"/>
        </w:rPr>
        <w:t xml:space="preserve"> NASCAR Cup Series Drivers Championship, more than any other manufacturer, with the 2020 NASCAR Cup Series championship win by Chevrolet driver, Chase Elliott</w:t>
      </w:r>
    </w:p>
    <w:p>
      <w:pPr>
        <w:spacing w:after="0" w:line="23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6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January 1, 2020, increased base salary from $1,200,000</w:t>
      </w:r>
      <w:r>
        <w:rPr>
          <w:rFonts w:ascii="Arial" w:cs="Arial" w:eastAsia="Arial" w:hAnsi="Arial"/>
          <w:sz w:val="20"/>
          <w:szCs w:val="20"/>
          <w:b w:val="1"/>
          <w:bCs w:val="1"/>
          <w:color w:val="0071CE"/>
        </w:rPr>
        <w:t xml:space="preserve"> </w:t>
      </w:r>
      <w:r>
        <w:rPr>
          <w:rFonts w:ascii="Arial" w:cs="Arial" w:eastAsia="Arial" w:hAnsi="Arial"/>
          <w:sz w:val="20"/>
          <w:szCs w:val="20"/>
          <w:color w:val="3E3935"/>
        </w:rPr>
        <w:t>to $1,300,000.</w:t>
      </w:r>
    </w:p>
    <w:p>
      <w:pPr>
        <w:spacing w:after="0" w:line="48"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Awarded 30 points based on results to strategic goals,</w:t>
      </w:r>
      <w:r>
        <w:rPr>
          <w:rFonts w:ascii="Arial" w:cs="Arial" w:eastAsia="Arial" w:hAnsi="Arial"/>
          <w:sz w:val="20"/>
          <w:szCs w:val="20"/>
          <w:b w:val="1"/>
          <w:bCs w:val="1"/>
          <w:color w:val="0071CE"/>
        </w:rPr>
        <w:t xml:space="preserve"> </w:t>
      </w:r>
      <w:r>
        <w:rPr>
          <w:rFonts w:ascii="Arial" w:cs="Arial" w:eastAsia="Arial" w:hAnsi="Arial"/>
          <w:sz w:val="20"/>
          <w:szCs w:val="20"/>
          <w:color w:val="3E3935"/>
        </w:rPr>
        <w:t>highlighted above, for the 2020 STIP performance year.</w:t>
      </w:r>
    </w:p>
    <w:p>
      <w:pPr>
        <w:spacing w:after="0" w:line="48"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February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$5.95 million, consisting of 75% PSUs and 25% Stock Options. The LTIP award includes an additional $0.25 million above target in recognition of 2019 performance.</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Salary Reduction RSUs </w:t>
      </w:r>
      <w:r>
        <w:rPr>
          <w:rFonts w:ascii="Arial" w:cs="Arial" w:eastAsia="Arial" w:hAnsi="Arial"/>
          <w:sz w:val="20"/>
          <w:szCs w:val="20"/>
          <w:color w:val="3E3935"/>
        </w:rPr>
        <w:t>– Received $65,009 of RSUs.</w:t>
      </w:r>
    </w:p>
    <w:p>
      <w:pPr>
        <w:spacing w:after="0" w:line="11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45008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560" w:type="dxa"/>
            <w:vAlign w:val="bottom"/>
          </w:tcPr>
          <w:p>
            <w:pPr>
              <w:ind w:left="100"/>
              <w:spacing w:after="0"/>
              <w:rPr>
                <w:sz w:val="20"/>
                <w:szCs w:val="20"/>
                <w:color w:val="auto"/>
              </w:rPr>
            </w:pPr>
            <w:r>
              <w:rPr>
                <w:rFonts w:ascii="Arial" w:cs="Arial" w:eastAsia="Arial" w:hAnsi="Arial"/>
                <w:sz w:val="16"/>
                <w:szCs w:val="16"/>
                <w:b w:val="1"/>
                <w:bCs w:val="1"/>
                <w:color w:val="00C1DE"/>
              </w:rPr>
              <w:t>Pay Element</w:t>
            </w:r>
          </w:p>
        </w:tc>
        <w:tc>
          <w:tcPr>
            <w:tcW w:w="3800" w:type="dxa"/>
            <w:vAlign w:val="bottom"/>
          </w:tcPr>
          <w:p>
            <w:pPr>
              <w:ind w:left="440"/>
              <w:spacing w:after="0"/>
              <w:rPr>
                <w:sz w:val="20"/>
                <w:szCs w:val="20"/>
                <w:color w:val="auto"/>
              </w:rPr>
            </w:pPr>
            <w:r>
              <w:rPr>
                <w:rFonts w:ascii="Arial" w:cs="Arial" w:eastAsia="Arial" w:hAnsi="Arial"/>
                <w:sz w:val="16"/>
                <w:szCs w:val="16"/>
                <w:b w:val="1"/>
                <w:bCs w:val="1"/>
                <w:color w:val="00C1DE"/>
              </w:rPr>
              <w:t>Majority of Pay Is At-Risk</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32"/>
        </w:trPr>
        <w:tc>
          <w:tcPr>
            <w:tcW w:w="1560" w:type="dxa"/>
            <w:vAlign w:val="bottom"/>
            <w:tcBorders>
              <w:bottom w:val="single" w:sz="8" w:color="00C1DE"/>
            </w:tcBorders>
          </w:tcPr>
          <w:p>
            <w:pPr>
              <w:spacing w:after="0"/>
              <w:rPr>
                <w:sz w:val="2"/>
                <w:szCs w:val="2"/>
                <w:color w:val="auto"/>
              </w:rPr>
            </w:pPr>
          </w:p>
        </w:tc>
        <w:tc>
          <w:tcPr>
            <w:tcW w:w="3800" w:type="dxa"/>
            <w:vAlign w:val="bottom"/>
            <w:tcBorders>
              <w:bottom w:val="single" w:sz="8" w:color="00C1DE"/>
            </w:tcBorders>
          </w:tcPr>
          <w:p>
            <w:pPr>
              <w:spacing w:after="0"/>
              <w:rPr>
                <w:sz w:val="2"/>
                <w:szCs w:val="2"/>
                <w:color w:val="auto"/>
              </w:rPr>
            </w:pPr>
          </w:p>
        </w:tc>
        <w:tc>
          <w:tcPr>
            <w:tcW w:w="1740" w:type="dxa"/>
            <w:vAlign w:val="bottom"/>
            <w:tcBorders>
              <w:bottom w:val="single" w:sz="8" w:color="00C1DE"/>
            </w:tcBorders>
          </w:tcPr>
          <w:p>
            <w:pPr>
              <w:spacing w:after="0"/>
              <w:rPr>
                <w:sz w:val="2"/>
                <w:szCs w:val="2"/>
                <w:color w:val="auto"/>
              </w:rPr>
            </w:pPr>
          </w:p>
        </w:tc>
      </w:tr>
      <w:tr>
        <w:trPr>
          <w:trHeight w:val="229"/>
        </w:trPr>
        <w:tc>
          <w:tcPr>
            <w:tcW w:w="156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00" w:type="dxa"/>
            <w:vAlign w:val="bottom"/>
          </w:tcPr>
          <w:p>
            <w:pPr>
              <w:ind w:left="440"/>
              <w:spacing w:after="0"/>
              <w:rPr>
                <w:sz w:val="20"/>
                <w:szCs w:val="20"/>
                <w:color w:val="auto"/>
              </w:rPr>
            </w:pPr>
            <w:r>
              <w:rPr>
                <w:rFonts w:ascii="Arial" w:cs="Arial" w:eastAsia="Arial" w:hAnsi="Arial"/>
                <w:sz w:val="16"/>
                <w:szCs w:val="16"/>
                <w:color w:val="3E3935"/>
              </w:rPr>
              <w:t>Only Fixed Pay Element</w:t>
            </w:r>
          </w:p>
        </w:tc>
        <w:tc>
          <w:tcPr>
            <w:tcW w:w="1740" w:type="dxa"/>
            <w:vAlign w:val="bottom"/>
          </w:tcPr>
          <w:p>
            <w:pPr>
              <w:jc w:val="right"/>
              <w:spacing w:after="0"/>
              <w:rPr>
                <w:sz w:val="20"/>
                <w:szCs w:val="20"/>
                <w:color w:val="auto"/>
              </w:rPr>
            </w:pPr>
            <w:r>
              <w:rPr>
                <w:rFonts w:ascii="Arial" w:cs="Arial" w:eastAsia="Arial" w:hAnsi="Arial"/>
                <w:sz w:val="16"/>
                <w:szCs w:val="16"/>
                <w:color w:val="3E3935"/>
              </w:rPr>
              <w:t>$1,235,000</w:t>
            </w:r>
          </w:p>
        </w:tc>
      </w:tr>
      <w:tr>
        <w:trPr>
          <w:trHeight w:val="32"/>
        </w:trPr>
        <w:tc>
          <w:tcPr>
            <w:tcW w:w="1560" w:type="dxa"/>
            <w:vAlign w:val="bottom"/>
            <w:tcBorders>
              <w:bottom w:val="single" w:sz="8" w:color="3E3935"/>
            </w:tcBorders>
          </w:tcPr>
          <w:p>
            <w:pPr>
              <w:spacing w:after="0"/>
              <w:rPr>
                <w:sz w:val="2"/>
                <w:szCs w:val="2"/>
                <w:color w:val="auto"/>
              </w:rPr>
            </w:pPr>
          </w:p>
        </w:tc>
        <w:tc>
          <w:tcPr>
            <w:tcW w:w="3800" w:type="dxa"/>
            <w:vAlign w:val="bottom"/>
            <w:tcBorders>
              <w:bottom w:val="single" w:sz="8" w:color="3E3935"/>
            </w:tcBorders>
          </w:tcPr>
          <w:p>
            <w:pPr>
              <w:spacing w:after="0"/>
              <w:rPr>
                <w:sz w:val="2"/>
                <w:szCs w:val="2"/>
                <w:color w:val="auto"/>
              </w:rPr>
            </w:pPr>
          </w:p>
        </w:tc>
        <w:tc>
          <w:tcPr>
            <w:tcW w:w="1740" w:type="dxa"/>
            <w:vAlign w:val="bottom"/>
            <w:tcBorders>
              <w:bottom w:val="single" w:sz="8" w:color="3E3935"/>
            </w:tcBorders>
          </w:tcPr>
          <w:p>
            <w:pPr>
              <w:spacing w:after="0"/>
              <w:rPr>
                <w:sz w:val="2"/>
                <w:szCs w:val="2"/>
                <w:color w:val="auto"/>
              </w:rPr>
            </w:pPr>
          </w:p>
        </w:tc>
      </w:tr>
      <w:tr>
        <w:trPr>
          <w:trHeight w:val="229"/>
        </w:trPr>
        <w:tc>
          <w:tcPr>
            <w:tcW w:w="1560" w:type="dxa"/>
            <w:vAlign w:val="bottom"/>
          </w:tcPr>
          <w:p>
            <w:pPr>
              <w:ind w:left="100"/>
              <w:spacing w:after="0"/>
              <w:rPr>
                <w:sz w:val="20"/>
                <w:szCs w:val="20"/>
                <w:color w:val="auto"/>
              </w:rPr>
            </w:pPr>
            <w:r>
              <w:rPr>
                <w:rFonts w:ascii="Arial" w:cs="Arial" w:eastAsia="Arial" w:hAnsi="Arial"/>
                <w:sz w:val="16"/>
                <w:szCs w:val="16"/>
                <w:color w:val="3E3935"/>
              </w:rPr>
              <w:t>STIP</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Metrics</w:t>
            </w:r>
          </w:p>
        </w:tc>
        <w:tc>
          <w:tcPr>
            <w:tcW w:w="1740" w:type="dxa"/>
            <w:vAlign w:val="bottom"/>
          </w:tcPr>
          <w:p>
            <w:pPr>
              <w:jc w:val="right"/>
              <w:spacing w:after="0"/>
              <w:rPr>
                <w:sz w:val="20"/>
                <w:szCs w:val="20"/>
                <w:color w:val="auto"/>
              </w:rPr>
            </w:pPr>
            <w:r>
              <w:rPr>
                <w:rFonts w:ascii="Arial" w:cs="Arial" w:eastAsia="Arial" w:hAnsi="Arial"/>
                <w:sz w:val="16"/>
                <w:szCs w:val="16"/>
                <w:color w:val="3E3935"/>
              </w:rPr>
              <w:t>$1,462,500</w:t>
            </w:r>
          </w:p>
        </w:tc>
      </w:tr>
      <w:tr>
        <w:trPr>
          <w:trHeight w:val="32"/>
        </w:trPr>
        <w:tc>
          <w:tcPr>
            <w:tcW w:w="1560" w:type="dxa"/>
            <w:vAlign w:val="bottom"/>
            <w:tcBorders>
              <w:bottom w:val="single" w:sz="8" w:color="3E3935"/>
            </w:tcBorders>
          </w:tcPr>
          <w:p>
            <w:pPr>
              <w:spacing w:after="0"/>
              <w:rPr>
                <w:sz w:val="2"/>
                <w:szCs w:val="2"/>
                <w:color w:val="auto"/>
              </w:rPr>
            </w:pPr>
          </w:p>
        </w:tc>
        <w:tc>
          <w:tcPr>
            <w:tcW w:w="3800" w:type="dxa"/>
            <w:vAlign w:val="bottom"/>
            <w:tcBorders>
              <w:bottom w:val="single" w:sz="8" w:color="3E3935"/>
            </w:tcBorders>
          </w:tcPr>
          <w:p>
            <w:pPr>
              <w:spacing w:after="0"/>
              <w:rPr>
                <w:sz w:val="2"/>
                <w:szCs w:val="2"/>
                <w:color w:val="auto"/>
              </w:rPr>
            </w:pPr>
          </w:p>
        </w:tc>
        <w:tc>
          <w:tcPr>
            <w:tcW w:w="1740" w:type="dxa"/>
            <w:vAlign w:val="bottom"/>
            <w:tcBorders>
              <w:bottom w:val="single" w:sz="8" w:color="3E3935"/>
            </w:tcBorders>
          </w:tcPr>
          <w:p>
            <w:pPr>
              <w:spacing w:after="0"/>
              <w:rPr>
                <w:sz w:val="2"/>
                <w:szCs w:val="2"/>
                <w:color w:val="auto"/>
              </w:rPr>
            </w:pPr>
          </w:p>
        </w:tc>
      </w:tr>
      <w:tr>
        <w:trPr>
          <w:trHeight w:val="261"/>
        </w:trPr>
        <w:tc>
          <w:tcPr>
            <w:tcW w:w="1560" w:type="dxa"/>
            <w:vAlign w:val="bottom"/>
            <w:tcBorders>
              <w:bottom w:val="single" w:sz="8" w:color="3E3935"/>
            </w:tcBorders>
          </w:tcPr>
          <w:p>
            <w:pPr>
              <w:ind w:left="100"/>
              <w:spacing w:after="0" w:line="261" w:lineRule="exact"/>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00" w:type="dxa"/>
            <w:vAlign w:val="bottom"/>
            <w:tcBorders>
              <w:bottom w:val="single" w:sz="8" w:color="3E3935"/>
            </w:tcBorders>
          </w:tcPr>
          <w:p>
            <w:pPr>
              <w:ind w:left="440"/>
              <w:spacing w:after="0"/>
              <w:rPr>
                <w:sz w:val="20"/>
                <w:szCs w:val="20"/>
                <w:color w:val="auto"/>
              </w:rPr>
            </w:pPr>
            <w:r>
              <w:rPr>
                <w:rFonts w:ascii="Arial" w:cs="Arial" w:eastAsia="Arial" w:hAnsi="Arial"/>
                <w:sz w:val="16"/>
                <w:szCs w:val="16"/>
                <w:color w:val="3E3935"/>
              </w:rPr>
              <w:t>Performance to Metrics and Stock Price</w:t>
            </w:r>
          </w:p>
        </w:tc>
        <w:tc>
          <w:tcPr>
            <w:tcW w:w="174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$5,152,198</w:t>
            </w:r>
          </w:p>
        </w:tc>
      </w:tr>
      <w:tr>
        <w:trPr>
          <w:trHeight w:val="229"/>
        </w:trPr>
        <w:tc>
          <w:tcPr>
            <w:tcW w:w="156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Stock Price</w:t>
            </w:r>
          </w:p>
        </w:tc>
        <w:tc>
          <w:tcPr>
            <w:tcW w:w="1740" w:type="dxa"/>
            <w:vAlign w:val="bottom"/>
          </w:tcPr>
          <w:p>
            <w:pPr>
              <w:jc w:val="right"/>
              <w:spacing w:after="0"/>
              <w:rPr>
                <w:sz w:val="20"/>
                <w:szCs w:val="20"/>
                <w:color w:val="auto"/>
              </w:rPr>
            </w:pPr>
            <w:r>
              <w:rPr>
                <w:rFonts w:ascii="Arial" w:cs="Arial" w:eastAsia="Arial" w:hAnsi="Arial"/>
                <w:sz w:val="16"/>
                <w:szCs w:val="16"/>
                <w:color w:val="3E3935"/>
              </w:rPr>
              <w:t>$1,487,501</w:t>
            </w:r>
          </w:p>
        </w:tc>
      </w:tr>
      <w:tr>
        <w:trPr>
          <w:trHeight w:val="32"/>
        </w:trPr>
        <w:tc>
          <w:tcPr>
            <w:tcW w:w="1560" w:type="dxa"/>
            <w:vAlign w:val="bottom"/>
            <w:tcBorders>
              <w:bottom w:val="single" w:sz="8" w:color="3E3935"/>
            </w:tcBorders>
          </w:tcPr>
          <w:p>
            <w:pPr>
              <w:spacing w:after="0"/>
              <w:rPr>
                <w:sz w:val="2"/>
                <w:szCs w:val="2"/>
                <w:color w:val="auto"/>
              </w:rPr>
            </w:pPr>
          </w:p>
        </w:tc>
        <w:tc>
          <w:tcPr>
            <w:tcW w:w="3800" w:type="dxa"/>
            <w:vAlign w:val="bottom"/>
            <w:tcBorders>
              <w:bottom w:val="single" w:sz="8" w:color="3E3935"/>
            </w:tcBorders>
          </w:tcPr>
          <w:p>
            <w:pPr>
              <w:spacing w:after="0"/>
              <w:rPr>
                <w:sz w:val="2"/>
                <w:szCs w:val="2"/>
                <w:color w:val="auto"/>
              </w:rPr>
            </w:pPr>
          </w:p>
        </w:tc>
        <w:tc>
          <w:tcPr>
            <w:tcW w:w="1740" w:type="dxa"/>
            <w:vAlign w:val="bottom"/>
            <w:tcBorders>
              <w:bottom w:val="single" w:sz="8" w:color="3E3935"/>
            </w:tcBorders>
          </w:tcPr>
          <w:p>
            <w:pPr>
              <w:spacing w:after="0"/>
              <w:rPr>
                <w:sz w:val="2"/>
                <w:szCs w:val="2"/>
                <w:color w:val="auto"/>
              </w:rPr>
            </w:pPr>
          </w:p>
        </w:tc>
      </w:tr>
      <w:tr>
        <w:trPr>
          <w:trHeight w:val="229"/>
        </w:trPr>
        <w:tc>
          <w:tcPr>
            <w:tcW w:w="1560" w:type="dxa"/>
            <w:vAlign w:val="bottom"/>
          </w:tcPr>
          <w:p>
            <w:pPr>
              <w:ind w:left="100"/>
              <w:spacing w:after="0"/>
              <w:rPr>
                <w:sz w:val="20"/>
                <w:szCs w:val="20"/>
                <w:color w:val="auto"/>
              </w:rPr>
            </w:pPr>
            <w:r>
              <w:rPr>
                <w:rFonts w:ascii="Arial" w:cs="Arial" w:eastAsia="Arial" w:hAnsi="Arial"/>
                <w:sz w:val="16"/>
                <w:szCs w:val="16"/>
                <w:color w:val="3E3935"/>
              </w:rPr>
              <w:t>RSUs</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Stock Price</w:t>
            </w:r>
          </w:p>
        </w:tc>
        <w:tc>
          <w:tcPr>
            <w:tcW w:w="1740" w:type="dxa"/>
            <w:vAlign w:val="bottom"/>
          </w:tcPr>
          <w:p>
            <w:pPr>
              <w:jc w:val="right"/>
              <w:spacing w:after="0"/>
              <w:rPr>
                <w:sz w:val="20"/>
                <w:szCs w:val="20"/>
                <w:color w:val="auto"/>
              </w:rPr>
            </w:pPr>
            <w:r>
              <w:rPr>
                <w:rFonts w:ascii="Arial" w:cs="Arial" w:eastAsia="Arial" w:hAnsi="Arial"/>
                <w:sz w:val="16"/>
                <w:szCs w:val="16"/>
                <w:color w:val="3E3935"/>
              </w:rPr>
              <w:t>$65,009</w:t>
            </w:r>
          </w:p>
        </w:tc>
      </w:tr>
      <w:tr>
        <w:trPr>
          <w:trHeight w:val="32"/>
        </w:trPr>
        <w:tc>
          <w:tcPr>
            <w:tcW w:w="1560" w:type="dxa"/>
            <w:vAlign w:val="bottom"/>
            <w:tcBorders>
              <w:bottom w:val="single" w:sz="8" w:color="3E3935"/>
            </w:tcBorders>
          </w:tcPr>
          <w:p>
            <w:pPr>
              <w:spacing w:after="0"/>
              <w:rPr>
                <w:sz w:val="2"/>
                <w:szCs w:val="2"/>
                <w:color w:val="auto"/>
              </w:rPr>
            </w:pPr>
          </w:p>
        </w:tc>
        <w:tc>
          <w:tcPr>
            <w:tcW w:w="3800" w:type="dxa"/>
            <w:vAlign w:val="bottom"/>
            <w:tcBorders>
              <w:bottom w:val="single" w:sz="8" w:color="3E3935"/>
            </w:tcBorders>
          </w:tcPr>
          <w:p>
            <w:pPr>
              <w:spacing w:after="0"/>
              <w:rPr>
                <w:sz w:val="2"/>
                <w:szCs w:val="2"/>
                <w:color w:val="auto"/>
              </w:rPr>
            </w:pPr>
          </w:p>
        </w:tc>
        <w:tc>
          <w:tcPr>
            <w:tcW w:w="1740" w:type="dxa"/>
            <w:vAlign w:val="bottom"/>
            <w:tcBorders>
              <w:bottom w:val="single" w:sz="8" w:color="3E3935"/>
            </w:tcBorders>
          </w:tcPr>
          <w:p>
            <w:pPr>
              <w:spacing w:after="0"/>
              <w:rPr>
                <w:sz w:val="2"/>
                <w:szCs w:val="2"/>
                <w:color w:val="auto"/>
              </w:rPr>
            </w:pPr>
          </w:p>
        </w:tc>
      </w:tr>
      <w:tr>
        <w:trPr>
          <w:trHeight w:val="229"/>
        </w:trPr>
        <w:tc>
          <w:tcPr>
            <w:tcW w:w="156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0071CE"/>
              </w:rPr>
              <w:t>$9,402,208</w:t>
            </w:r>
          </w:p>
        </w:tc>
      </w:tr>
      <w:tr>
        <w:trPr>
          <w:trHeight w:val="32"/>
        </w:trPr>
        <w:tc>
          <w:tcPr>
            <w:tcW w:w="1560" w:type="dxa"/>
            <w:vAlign w:val="bottom"/>
            <w:tcBorders>
              <w:bottom w:val="single" w:sz="8" w:color="0071CE"/>
            </w:tcBorders>
          </w:tcPr>
          <w:p>
            <w:pPr>
              <w:spacing w:after="0"/>
              <w:rPr>
                <w:sz w:val="2"/>
                <w:szCs w:val="2"/>
                <w:color w:val="auto"/>
              </w:rPr>
            </w:pPr>
          </w:p>
        </w:tc>
        <w:tc>
          <w:tcPr>
            <w:tcW w:w="3800" w:type="dxa"/>
            <w:vAlign w:val="bottom"/>
            <w:tcBorders>
              <w:bottom w:val="single" w:sz="8" w:color="0071CE"/>
            </w:tcBorders>
          </w:tcPr>
          <w:p>
            <w:pPr>
              <w:spacing w:after="0"/>
              <w:rPr>
                <w:sz w:val="2"/>
                <w:szCs w:val="2"/>
                <w:color w:val="auto"/>
              </w:rPr>
            </w:pPr>
          </w:p>
        </w:tc>
        <w:tc>
          <w:tcPr>
            <w:tcW w:w="1740" w:type="dxa"/>
            <w:vAlign w:val="bottom"/>
            <w:tcBorders>
              <w:bottom w:val="single" w:sz="8" w:color="0071CE"/>
            </w:tcBorders>
          </w:tcPr>
          <w:p>
            <w:pPr>
              <w:spacing w:after="0"/>
              <w:rPr>
                <w:sz w:val="2"/>
                <w:szCs w:val="2"/>
                <w:color w:val="auto"/>
              </w:rPr>
            </w:pPr>
          </w:p>
        </w:tc>
      </w:tr>
    </w:tbl>
    <w:p>
      <w:pPr>
        <w:spacing w:after="0" w:line="71" w:lineRule="exact"/>
        <w:rPr>
          <w:sz w:val="20"/>
          <w:szCs w:val="20"/>
          <w:color w:val="auto"/>
        </w:rPr>
      </w:pPr>
    </w:p>
    <w:p>
      <w:pPr>
        <w:ind w:left="440" w:hanging="273"/>
        <w:spacing w:after="0" w:line="275" w:lineRule="auto"/>
        <w:tabs>
          <w:tab w:leader="none" w:pos="440" w:val="left"/>
        </w:tabs>
        <w:numPr>
          <w:ilvl w:val="0"/>
          <w:numId w:val="99"/>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162560</wp:posOffset>
            </wp:positionV>
            <wp:extent cx="5927725" cy="1016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0"/>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-5154295</wp:posOffset>
            </wp:positionV>
            <wp:extent cx="1656080" cy="47644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656080" cy="476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14"/>
          <w:szCs w:val="14"/>
          <w:color w:val="0071CE"/>
        </w:rPr>
        <w:t>59</w:t>
      </w:r>
    </w:p>
    <w:p>
      <w:pPr>
        <w:sectPr>
          <w:pgSz w:w="11900" w:h="16838" w:orient="portrait"/>
          <w:cols w:equalWidth="0" w:num="2">
            <w:col w:w="7260" w:space="320"/>
            <w:col w:w="3500"/>
          </w:cols>
          <w:pgMar w:left="320" w:top="456" w:right="499" w:bottom="1137"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100"/>
        </w:numPr>
        <w:rPr>
          <w:rFonts w:ascii="Arial" w:cs="Arial" w:eastAsia="Arial" w:hAnsi="Arial"/>
          <w:sz w:val="21"/>
          <w:szCs w:val="21"/>
          <w:color w:val="0071CE"/>
        </w:rPr>
      </w:pPr>
      <w:r>
        <w:rPr>
          <w:rFonts w:ascii="Arial" w:cs="Arial" w:eastAsia="Arial" w:hAnsi="Arial"/>
          <w:sz w:val="25"/>
          <w:szCs w:val="25"/>
          <w:color w:val="3E3935"/>
        </w:rPr>
        <w:t>Compensation Decisions for Douglas L. Parks</w:t>
      </w:r>
    </w:p>
    <w:p>
      <w:pPr>
        <w:spacing w:after="0" w:line="85" w:lineRule="exact"/>
        <w:rPr>
          <w:sz w:val="20"/>
          <w:szCs w:val="20"/>
          <w:color w:val="auto"/>
        </w:rPr>
      </w:pPr>
    </w:p>
    <w:p>
      <w:pPr>
        <w:ind w:left="240" w:right="320"/>
        <w:spacing w:after="0" w:line="254" w:lineRule="auto"/>
        <w:rPr>
          <w:sz w:val="20"/>
          <w:szCs w:val="20"/>
          <w:color w:val="auto"/>
        </w:rPr>
      </w:pPr>
      <w:r>
        <w:rPr>
          <w:rFonts w:ascii="Arial" w:cs="Arial" w:eastAsia="Arial" w:hAnsi="Arial"/>
          <w:sz w:val="20"/>
          <w:szCs w:val="20"/>
          <w:b w:val="1"/>
          <w:bCs w:val="1"/>
          <w:color w:val="3E3935"/>
        </w:rPr>
        <w:t>Executive Vice President, Global Product Development, Purchasing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31115</wp:posOffset>
            </wp:positionV>
            <wp:extent cx="4500880" cy="41103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00880" cy="4110355"/>
                    </a:xfrm>
                    <a:prstGeom prst="rect">
                      <a:avLst/>
                    </a:prstGeom>
                    <a:noFill/>
                  </pic:spPr>
                </pic:pic>
              </a:graphicData>
            </a:graphic>
          </wp:anchor>
        </w:drawing>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color w:val="3E3935"/>
        </w:rPr>
        <w:t>2020 performance highlights to strategic goals include the following:</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E3935"/>
        </w:rPr>
        <w:t>Culture &amp; People</w:t>
      </w:r>
    </w:p>
    <w:p>
      <w:pPr>
        <w:spacing w:after="0" w:line="130" w:lineRule="exact"/>
        <w:rPr>
          <w:sz w:val="20"/>
          <w:szCs w:val="20"/>
          <w:color w:val="auto"/>
        </w:rPr>
      </w:pPr>
    </w:p>
    <w:p>
      <w:pPr>
        <w:jc w:val="both"/>
        <w:ind w:left="620" w:right="220" w:hanging="223"/>
        <w:spacing w:after="0" w:line="203" w:lineRule="auto"/>
        <w:tabs>
          <w:tab w:leader="none" w:pos="631" w:val="left"/>
        </w:tabs>
        <w:numPr>
          <w:ilvl w:val="0"/>
          <w:numId w:val="101"/>
        </w:numPr>
        <w:rPr>
          <w:rFonts w:ascii="Arial" w:cs="Arial" w:eastAsia="Arial" w:hAnsi="Arial"/>
          <w:sz w:val="23"/>
          <w:szCs w:val="23"/>
          <w:color w:val="00C1DE"/>
        </w:rPr>
      </w:pPr>
      <w:r>
        <w:rPr>
          <w:rFonts w:ascii="Arial" w:cs="Arial" w:eastAsia="Arial" w:hAnsi="Arial"/>
          <w:sz w:val="16"/>
          <w:szCs w:val="16"/>
          <w:color w:val="3E3935"/>
        </w:rPr>
        <w:t>Exemplified a safety-first culture through our response to COVID-19 by mass producing ventilators, masks, and other personal protective equipment to support global relief efforts</w:t>
      </w:r>
    </w:p>
    <w:p>
      <w:pPr>
        <w:spacing w:after="0" w:line="195" w:lineRule="exact"/>
        <w:rPr>
          <w:rFonts w:ascii="Arial" w:cs="Arial" w:eastAsia="Arial" w:hAnsi="Arial"/>
          <w:sz w:val="23"/>
          <w:szCs w:val="23"/>
          <w:color w:val="00C1DE"/>
        </w:rPr>
      </w:pPr>
    </w:p>
    <w:p>
      <w:pPr>
        <w:ind w:left="620" w:right="200" w:hanging="223"/>
        <w:spacing w:after="0" w:line="203" w:lineRule="auto"/>
        <w:tabs>
          <w:tab w:leader="none" w:pos="631" w:val="left"/>
        </w:tabs>
        <w:numPr>
          <w:ilvl w:val="0"/>
          <w:numId w:val="101"/>
        </w:numPr>
        <w:rPr>
          <w:rFonts w:ascii="Arial" w:cs="Arial" w:eastAsia="Arial" w:hAnsi="Arial"/>
          <w:sz w:val="23"/>
          <w:szCs w:val="23"/>
          <w:color w:val="00C1DE"/>
        </w:rPr>
      </w:pPr>
      <w:r>
        <w:rPr>
          <w:rFonts w:ascii="Arial" w:cs="Arial" w:eastAsia="Arial" w:hAnsi="Arial"/>
          <w:sz w:val="16"/>
          <w:szCs w:val="16"/>
          <w:color w:val="3E3935"/>
        </w:rPr>
        <w:t xml:space="preserve">Responded quickly to shift production to build critical-care ventilators, working with Ventec Life Systems and hundreds of GM suppliers </w:t>
      </w:r>
      <w:r>
        <w:rPr>
          <w:rFonts w:ascii="Arial" w:cs="Arial" w:eastAsia="Arial" w:hAnsi="Arial"/>
          <w:sz w:val="1"/>
          <w:szCs w:val="1"/>
          <w:color w:val="00C1DE"/>
        </w:rPr>
        <w:drawing>
          <wp:inline distT="0" distB="0" distL="0" distR="0">
            <wp:extent cx="76200" cy="7620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20" w:right="220" w:hanging="223"/>
        <w:spacing w:after="0" w:line="203" w:lineRule="auto"/>
        <w:tabs>
          <w:tab w:leader="none" w:pos="631" w:val="left"/>
        </w:tabs>
        <w:numPr>
          <w:ilvl w:val="0"/>
          <w:numId w:val="101"/>
        </w:numPr>
        <w:rPr>
          <w:rFonts w:ascii="Arial" w:cs="Arial" w:eastAsia="Arial" w:hAnsi="Arial"/>
          <w:sz w:val="23"/>
          <w:szCs w:val="23"/>
          <w:color w:val="00C1DE"/>
        </w:rPr>
      </w:pPr>
      <w:r>
        <w:rPr>
          <w:rFonts w:ascii="Arial" w:cs="Arial" w:eastAsia="Arial" w:hAnsi="Arial"/>
          <w:sz w:val="16"/>
          <w:szCs w:val="16"/>
          <w:color w:val="3E3935"/>
        </w:rPr>
        <w:t xml:space="preserve">Committed to hire 3,000 new employees across engineering, design, and IT to help transform the future of product development and software as a service </w:t>
      </w:r>
      <w:r>
        <w:rPr>
          <w:rFonts w:ascii="Arial" w:cs="Arial" w:eastAsia="Arial" w:hAnsi="Arial"/>
          <w:sz w:val="1"/>
          <w:szCs w:val="1"/>
          <w:color w:val="00C1DE"/>
        </w:rPr>
        <w:drawing>
          <wp:inline distT="0" distB="0" distL="0" distR="0">
            <wp:extent cx="76200" cy="762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E3935"/>
        </w:rPr>
        <w:t>Transformation</w:t>
      </w:r>
    </w:p>
    <w:p>
      <w:pPr>
        <w:spacing w:after="0" w:line="130" w:lineRule="exact"/>
        <w:rPr>
          <w:sz w:val="20"/>
          <w:szCs w:val="20"/>
          <w:color w:val="auto"/>
        </w:rPr>
      </w:pPr>
    </w:p>
    <w:p>
      <w:pPr>
        <w:jc w:val="both"/>
        <w:ind w:left="620" w:right="200" w:hanging="223"/>
        <w:spacing w:after="0" w:line="215" w:lineRule="auto"/>
        <w:tabs>
          <w:tab w:leader="none" w:pos="631" w:val="left"/>
        </w:tabs>
        <w:numPr>
          <w:ilvl w:val="0"/>
          <w:numId w:val="102"/>
        </w:numPr>
        <w:rPr>
          <w:rFonts w:ascii="Arial" w:cs="Arial" w:eastAsia="Arial" w:hAnsi="Arial"/>
          <w:sz w:val="23"/>
          <w:szCs w:val="23"/>
          <w:color w:val="00C1DE"/>
        </w:rPr>
      </w:pPr>
      <w:r>
        <w:rPr>
          <w:rFonts w:ascii="Arial" w:cs="Arial" w:eastAsia="Arial" w:hAnsi="Arial"/>
          <w:sz w:val="16"/>
          <w:szCs w:val="16"/>
          <w:color w:val="3E3935"/>
        </w:rPr>
        <w:t xml:space="preserve">Led the development of the GMC HUMMER EV Edition 1, a first-of-its-kind electric supertruck with off-road capability powered by Ultium Drive with up to 1,000 horsepower and 11,500 lb-ft of torque </w:t>
      </w:r>
      <w:r>
        <w:rPr>
          <w:rFonts w:ascii="Arial" w:cs="Arial" w:eastAsia="Arial" w:hAnsi="Arial"/>
          <w:sz w:val="1"/>
          <w:szCs w:val="1"/>
          <w:color w:val="00C1DE"/>
        </w:rPr>
        <w:drawing>
          <wp:inline distT="0" distB="0" distL="0" distR="0">
            <wp:extent cx="76200" cy="7620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 w:lineRule="exact"/>
        <w:rPr>
          <w:rFonts w:ascii="Arial" w:cs="Arial" w:eastAsia="Arial" w:hAnsi="Arial"/>
          <w:sz w:val="23"/>
          <w:szCs w:val="23"/>
          <w:color w:val="00C1DE"/>
        </w:rPr>
      </w:pPr>
    </w:p>
    <w:p>
      <w:pPr>
        <w:ind w:left="620" w:hanging="223"/>
        <w:spacing w:after="0"/>
        <w:tabs>
          <w:tab w:leader="none" w:pos="620" w:val="left"/>
        </w:tabs>
        <w:numPr>
          <w:ilvl w:val="0"/>
          <w:numId w:val="102"/>
        </w:numPr>
        <w:rPr>
          <w:rFonts w:ascii="Arial" w:cs="Arial" w:eastAsia="Arial" w:hAnsi="Arial"/>
          <w:sz w:val="23"/>
          <w:szCs w:val="23"/>
          <w:color w:val="00C1DE"/>
        </w:rPr>
      </w:pPr>
      <w:r>
        <w:rPr>
          <w:rFonts w:ascii="Arial" w:cs="Arial" w:eastAsia="Arial" w:hAnsi="Arial"/>
          <w:sz w:val="16"/>
          <w:szCs w:val="16"/>
          <w:color w:val="3E3935"/>
        </w:rPr>
        <w:t xml:space="preserve">Agreed to jointly develop two all-new EVs for Honda based on Ultium batteries </w:t>
      </w:r>
      <w:r>
        <w:rPr>
          <w:rFonts w:ascii="Arial" w:cs="Arial" w:eastAsia="Arial" w:hAnsi="Arial"/>
          <w:sz w:val="1"/>
          <w:szCs w:val="1"/>
          <w:color w:val="00C1DE"/>
        </w:rPr>
        <w:drawing>
          <wp:inline distT="0" distB="0" distL="0" distR="0">
            <wp:extent cx="76200" cy="7620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4" w:lineRule="exact"/>
        <w:rPr>
          <w:rFonts w:ascii="Arial" w:cs="Arial" w:eastAsia="Arial" w:hAnsi="Arial"/>
          <w:sz w:val="23"/>
          <w:szCs w:val="23"/>
          <w:color w:val="00C1DE"/>
        </w:rPr>
      </w:pPr>
    </w:p>
    <w:p>
      <w:pPr>
        <w:ind w:left="620" w:right="220" w:hanging="223"/>
        <w:spacing w:after="0" w:line="203" w:lineRule="auto"/>
        <w:tabs>
          <w:tab w:leader="none" w:pos="631" w:val="left"/>
        </w:tabs>
        <w:numPr>
          <w:ilvl w:val="0"/>
          <w:numId w:val="102"/>
        </w:numPr>
        <w:rPr>
          <w:rFonts w:ascii="Arial" w:cs="Arial" w:eastAsia="Arial" w:hAnsi="Arial"/>
          <w:sz w:val="23"/>
          <w:szCs w:val="23"/>
          <w:color w:val="00C1DE"/>
        </w:rPr>
      </w:pPr>
      <w:r>
        <w:rPr>
          <w:rFonts w:ascii="Arial" w:cs="Arial" w:eastAsia="Arial" w:hAnsi="Arial"/>
          <w:sz w:val="16"/>
          <w:szCs w:val="16"/>
          <w:color w:val="3E3935"/>
        </w:rPr>
        <w:t xml:space="preserve">Began joint venture with LG Energy Solution, bringing EVs closer in cost to conventional vehicles </w:t>
      </w:r>
      <w:r>
        <w:rPr>
          <w:rFonts w:ascii="Arial" w:cs="Arial" w:eastAsia="Arial" w:hAnsi="Arial"/>
          <w:sz w:val="1"/>
          <w:szCs w:val="1"/>
          <w:color w:val="00C1DE"/>
        </w:rPr>
        <w:drawing>
          <wp:inline distT="0" distB="0" distL="0" distR="0">
            <wp:extent cx="76200" cy="7620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20" w:right="220" w:hanging="223"/>
        <w:spacing w:after="0" w:line="203" w:lineRule="auto"/>
        <w:tabs>
          <w:tab w:leader="none" w:pos="631" w:val="left"/>
        </w:tabs>
        <w:numPr>
          <w:ilvl w:val="0"/>
          <w:numId w:val="102"/>
        </w:numPr>
        <w:rPr>
          <w:rFonts w:ascii="Arial" w:cs="Arial" w:eastAsia="Arial" w:hAnsi="Arial"/>
          <w:sz w:val="23"/>
          <w:szCs w:val="23"/>
          <w:color w:val="00C1DE"/>
        </w:rPr>
      </w:pPr>
      <w:r>
        <w:rPr>
          <w:rFonts w:ascii="Arial" w:cs="Arial" w:eastAsia="Arial" w:hAnsi="Arial"/>
          <w:sz w:val="16"/>
          <w:szCs w:val="16"/>
          <w:color w:val="3E3935"/>
        </w:rPr>
        <w:t xml:space="preserve">Led development in next-generation Ultium battery chemistry, which is expected to enable twice the energy density of batteries in use today and reduce cost by 60% </w:t>
      </w:r>
      <w:r>
        <w:rPr>
          <w:rFonts w:ascii="Arial" w:cs="Arial" w:eastAsia="Arial" w:hAnsi="Arial"/>
          <w:sz w:val="1"/>
          <w:szCs w:val="1"/>
          <w:color w:val="00C1DE"/>
        </w:rPr>
        <w:drawing>
          <wp:inline distT="0" distB="0" distL="0" distR="0">
            <wp:extent cx="76200" cy="7620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20" w:right="200" w:hanging="223"/>
        <w:spacing w:after="0" w:line="203" w:lineRule="auto"/>
        <w:tabs>
          <w:tab w:leader="none" w:pos="622" w:val="left"/>
        </w:tabs>
        <w:numPr>
          <w:ilvl w:val="0"/>
          <w:numId w:val="102"/>
        </w:numPr>
        <w:rPr>
          <w:rFonts w:ascii="Arial" w:cs="Arial" w:eastAsia="Arial" w:hAnsi="Arial"/>
          <w:sz w:val="23"/>
          <w:szCs w:val="23"/>
          <w:color w:val="00C1DE"/>
        </w:rPr>
      </w:pPr>
      <w:r>
        <w:rPr>
          <w:rFonts w:ascii="Arial" w:cs="Arial" w:eastAsia="Arial" w:hAnsi="Arial"/>
          <w:sz w:val="16"/>
          <w:szCs w:val="16"/>
          <w:color w:val="3E3935"/>
        </w:rPr>
        <w:t xml:space="preserve">Announced plans to supply Hydrotec fuel cell power cubes to Navistar for use in its production model fuel cell EV </w:t>
      </w:r>
      <w:r>
        <w:rPr>
          <w:rFonts w:ascii="Arial" w:cs="Arial" w:eastAsia="Arial" w:hAnsi="Arial"/>
          <w:sz w:val="1"/>
          <w:szCs w:val="1"/>
          <w:color w:val="00C1DE"/>
        </w:rPr>
        <w:drawing>
          <wp:inline distT="0" distB="0" distL="0" distR="0">
            <wp:extent cx="76200" cy="7620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E3935"/>
        </w:rPr>
        <w:t>Core Operations</w:t>
      </w:r>
    </w:p>
    <w:p>
      <w:pPr>
        <w:spacing w:after="0" w:line="130" w:lineRule="exact"/>
        <w:rPr>
          <w:sz w:val="20"/>
          <w:szCs w:val="20"/>
          <w:color w:val="auto"/>
        </w:rPr>
      </w:pPr>
    </w:p>
    <w:p>
      <w:pPr>
        <w:ind w:left="620" w:right="200" w:hanging="223"/>
        <w:spacing w:after="0" w:line="203" w:lineRule="auto"/>
        <w:tabs>
          <w:tab w:leader="none" w:pos="631" w:val="left"/>
        </w:tabs>
        <w:numPr>
          <w:ilvl w:val="0"/>
          <w:numId w:val="103"/>
        </w:numPr>
        <w:rPr>
          <w:rFonts w:ascii="Arial" w:cs="Arial" w:eastAsia="Arial" w:hAnsi="Arial"/>
          <w:sz w:val="23"/>
          <w:szCs w:val="23"/>
          <w:color w:val="00C1DE"/>
        </w:rPr>
      </w:pPr>
      <w:r>
        <w:rPr>
          <w:rFonts w:ascii="Arial" w:cs="Arial" w:eastAsia="Arial" w:hAnsi="Arial"/>
          <w:sz w:val="16"/>
          <w:szCs w:val="16"/>
          <w:color w:val="3E3935"/>
        </w:rPr>
        <w:t xml:space="preserve">Introduced new safety brand, Periscope, that will advance us towards a world of zero crashes by integrating vehicle technology, research, and advocacy </w:t>
      </w:r>
      <w:r>
        <w:rPr>
          <w:rFonts w:ascii="Arial" w:cs="Arial" w:eastAsia="Arial" w:hAnsi="Arial"/>
          <w:sz w:val="1"/>
          <w:szCs w:val="1"/>
          <w:color w:val="00C1DE"/>
        </w:rPr>
        <w:drawing>
          <wp:inline distT="0" distB="0" distL="0" distR="0">
            <wp:extent cx="76200" cy="7620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jc w:val="both"/>
        <w:ind w:left="620" w:right="200" w:hanging="223"/>
        <w:spacing w:after="0" w:line="215" w:lineRule="auto"/>
        <w:tabs>
          <w:tab w:leader="none" w:pos="631" w:val="left"/>
        </w:tabs>
        <w:numPr>
          <w:ilvl w:val="0"/>
          <w:numId w:val="103"/>
        </w:numPr>
        <w:rPr>
          <w:rFonts w:ascii="Arial" w:cs="Arial" w:eastAsia="Arial" w:hAnsi="Arial"/>
          <w:sz w:val="23"/>
          <w:szCs w:val="23"/>
          <w:color w:val="00C1DE"/>
        </w:rPr>
      </w:pPr>
      <w:r>
        <w:rPr>
          <w:rFonts w:ascii="Arial" w:cs="Arial" w:eastAsia="Arial" w:hAnsi="Arial"/>
          <w:sz w:val="16"/>
          <w:szCs w:val="16"/>
          <w:color w:val="3E3935"/>
        </w:rPr>
        <w:t>Launched enhanced Super Cruise driver assistance availability on new Vehicle Intelligence Platform with the Cadillac Escalade and announced Super Cruise availability on 22 different models by 2023</w:t>
      </w:r>
    </w:p>
    <w:p>
      <w:pPr>
        <w:spacing w:after="0" w:line="75" w:lineRule="exact"/>
        <w:rPr>
          <w:rFonts w:ascii="Arial" w:cs="Arial" w:eastAsia="Arial" w:hAnsi="Arial"/>
          <w:sz w:val="23"/>
          <w:szCs w:val="23"/>
          <w:color w:val="00C1DE"/>
        </w:rPr>
      </w:pPr>
    </w:p>
    <w:p>
      <w:pPr>
        <w:ind w:left="620" w:right="220" w:hanging="223"/>
        <w:spacing w:after="0" w:line="203" w:lineRule="auto"/>
        <w:tabs>
          <w:tab w:leader="none" w:pos="631" w:val="left"/>
        </w:tabs>
        <w:numPr>
          <w:ilvl w:val="0"/>
          <w:numId w:val="103"/>
        </w:numPr>
        <w:rPr>
          <w:rFonts w:ascii="Arial" w:cs="Arial" w:eastAsia="Arial" w:hAnsi="Arial"/>
          <w:sz w:val="23"/>
          <w:szCs w:val="23"/>
          <w:color w:val="00C1DE"/>
        </w:rPr>
      </w:pPr>
      <w:r>
        <w:rPr>
          <w:rFonts w:ascii="Arial" w:cs="Arial" w:eastAsia="Arial" w:hAnsi="Arial"/>
          <w:sz w:val="16"/>
          <w:szCs w:val="16"/>
          <w:color w:val="3E3935"/>
        </w:rPr>
        <w:t xml:space="preserve">Broke ground on new Ultium Cells LLC plant, a nearly 3 million-square-foot plant in Lordstown, Ohio, that will produce millions of battery cells every year </w:t>
      </w:r>
      <w:r>
        <w:rPr>
          <w:rFonts w:ascii="Arial" w:cs="Arial" w:eastAsia="Arial" w:hAnsi="Arial"/>
          <w:sz w:val="1"/>
          <w:szCs w:val="1"/>
          <w:color w:val="00C1DE"/>
        </w:rPr>
        <w:drawing>
          <wp:inline distT="0" distB="0" distL="0" distR="0">
            <wp:extent cx="76200" cy="7620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3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6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August 1, 2020, increased base salary from $775,000 to</w:t>
      </w:r>
      <w:r>
        <w:rPr>
          <w:rFonts w:ascii="Arial" w:cs="Arial" w:eastAsia="Arial" w:hAnsi="Arial"/>
          <w:sz w:val="20"/>
          <w:szCs w:val="20"/>
          <w:b w:val="1"/>
          <w:bCs w:val="1"/>
          <w:color w:val="0071CE"/>
        </w:rPr>
        <w:t xml:space="preserve"> </w:t>
      </w:r>
      <w:r>
        <w:rPr>
          <w:rFonts w:ascii="Arial" w:cs="Arial" w:eastAsia="Arial" w:hAnsi="Arial"/>
          <w:sz w:val="20"/>
          <w:szCs w:val="20"/>
          <w:color w:val="3E3935"/>
        </w:rPr>
        <w:t>$850,000.</w:t>
      </w:r>
    </w:p>
    <w:p>
      <w:pPr>
        <w:spacing w:after="0" w:line="48"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Awarded 32 points based on results to strategic goals,</w:t>
      </w:r>
      <w:r>
        <w:rPr>
          <w:rFonts w:ascii="Arial" w:cs="Arial" w:eastAsia="Arial" w:hAnsi="Arial"/>
          <w:sz w:val="20"/>
          <w:szCs w:val="20"/>
          <w:b w:val="1"/>
          <w:bCs w:val="1"/>
          <w:color w:val="0071CE"/>
        </w:rPr>
        <w:t xml:space="preserve"> </w:t>
      </w:r>
      <w:r>
        <w:rPr>
          <w:rFonts w:ascii="Arial" w:cs="Arial" w:eastAsia="Arial" w:hAnsi="Arial"/>
          <w:sz w:val="20"/>
          <w:szCs w:val="20"/>
          <w:color w:val="3E3935"/>
        </w:rPr>
        <w:t>highlighted above, for the 2020 STIP performance year.</w:t>
      </w:r>
    </w:p>
    <w:p>
      <w:pPr>
        <w:spacing w:after="0" w:line="48"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February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$2.76 million. In October 2020, awarded an additional LTIP grant of $1.33 million. Both grants consisted of 75% PSUs and 25% Stock Options.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Salary Reduction RSUs </w:t>
      </w:r>
      <w:r>
        <w:rPr>
          <w:rFonts w:ascii="Arial" w:cs="Arial" w:eastAsia="Arial" w:hAnsi="Arial"/>
          <w:sz w:val="20"/>
          <w:szCs w:val="20"/>
          <w:color w:val="3E3935"/>
        </w:rPr>
        <w:t>– Received $38,754 of RSUs.</w:t>
      </w:r>
    </w:p>
    <w:p>
      <w:pPr>
        <w:spacing w:after="0" w:line="11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45008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560" w:type="dxa"/>
            <w:vAlign w:val="bottom"/>
          </w:tcPr>
          <w:p>
            <w:pPr>
              <w:ind w:left="100"/>
              <w:spacing w:after="0"/>
              <w:rPr>
                <w:sz w:val="20"/>
                <w:szCs w:val="20"/>
                <w:color w:val="auto"/>
              </w:rPr>
            </w:pPr>
            <w:r>
              <w:rPr>
                <w:rFonts w:ascii="Arial" w:cs="Arial" w:eastAsia="Arial" w:hAnsi="Arial"/>
                <w:sz w:val="16"/>
                <w:szCs w:val="16"/>
                <w:b w:val="1"/>
                <w:bCs w:val="1"/>
                <w:color w:val="00C1DE"/>
              </w:rPr>
              <w:t>Pay Element</w:t>
            </w:r>
          </w:p>
        </w:tc>
        <w:tc>
          <w:tcPr>
            <w:tcW w:w="3800" w:type="dxa"/>
            <w:vAlign w:val="bottom"/>
          </w:tcPr>
          <w:p>
            <w:pPr>
              <w:ind w:left="440"/>
              <w:spacing w:after="0"/>
              <w:rPr>
                <w:sz w:val="20"/>
                <w:szCs w:val="20"/>
                <w:color w:val="auto"/>
              </w:rPr>
            </w:pPr>
            <w:r>
              <w:rPr>
                <w:rFonts w:ascii="Arial" w:cs="Arial" w:eastAsia="Arial" w:hAnsi="Arial"/>
                <w:sz w:val="16"/>
                <w:szCs w:val="16"/>
                <w:b w:val="1"/>
                <w:bCs w:val="1"/>
                <w:color w:val="00C1DE"/>
              </w:rPr>
              <w:t>Majority of Pay Is At-Risk</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126"/>
        </w:trPr>
        <w:tc>
          <w:tcPr>
            <w:tcW w:w="1560" w:type="dxa"/>
            <w:vAlign w:val="bottom"/>
            <w:tcBorders>
              <w:bottom w:val="single" w:sz="8" w:color="00C1DE"/>
            </w:tcBorders>
          </w:tcPr>
          <w:p>
            <w:pPr>
              <w:spacing w:after="0"/>
              <w:rPr>
                <w:sz w:val="10"/>
                <w:szCs w:val="10"/>
                <w:color w:val="auto"/>
              </w:rPr>
            </w:pPr>
          </w:p>
        </w:tc>
        <w:tc>
          <w:tcPr>
            <w:tcW w:w="3800" w:type="dxa"/>
            <w:vAlign w:val="bottom"/>
            <w:tcBorders>
              <w:bottom w:val="single" w:sz="8" w:color="00C1DE"/>
            </w:tcBorders>
          </w:tcPr>
          <w:p>
            <w:pPr>
              <w:spacing w:after="0"/>
              <w:rPr>
                <w:sz w:val="10"/>
                <w:szCs w:val="10"/>
                <w:color w:val="auto"/>
              </w:rPr>
            </w:pPr>
          </w:p>
        </w:tc>
        <w:tc>
          <w:tcPr>
            <w:tcW w:w="1740" w:type="dxa"/>
            <w:vAlign w:val="bottom"/>
            <w:tcBorders>
              <w:bottom w:val="single" w:sz="8" w:color="00C1DE"/>
            </w:tcBorders>
          </w:tcPr>
          <w:p>
            <w:pPr>
              <w:spacing w:after="0"/>
              <w:rPr>
                <w:sz w:val="10"/>
                <w:szCs w:val="10"/>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00" w:type="dxa"/>
            <w:vAlign w:val="bottom"/>
          </w:tcPr>
          <w:p>
            <w:pPr>
              <w:ind w:left="440"/>
              <w:spacing w:after="0"/>
              <w:rPr>
                <w:sz w:val="20"/>
                <w:szCs w:val="20"/>
                <w:color w:val="auto"/>
              </w:rPr>
            </w:pPr>
            <w:r>
              <w:rPr>
                <w:rFonts w:ascii="Arial" w:cs="Arial" w:eastAsia="Arial" w:hAnsi="Arial"/>
                <w:sz w:val="16"/>
                <w:szCs w:val="16"/>
                <w:color w:val="3E3935"/>
              </w:rPr>
              <w:t>Only Fixed Pay Element</w:t>
            </w:r>
          </w:p>
        </w:tc>
        <w:tc>
          <w:tcPr>
            <w:tcW w:w="1740" w:type="dxa"/>
            <w:vAlign w:val="bottom"/>
          </w:tcPr>
          <w:p>
            <w:pPr>
              <w:jc w:val="right"/>
              <w:spacing w:after="0"/>
              <w:rPr>
                <w:sz w:val="20"/>
                <w:szCs w:val="20"/>
                <w:color w:val="auto"/>
              </w:rPr>
            </w:pPr>
            <w:r>
              <w:rPr>
                <w:rFonts w:ascii="Arial" w:cs="Arial" w:eastAsia="Arial" w:hAnsi="Arial"/>
                <w:sz w:val="16"/>
                <w:szCs w:val="16"/>
                <w:color w:val="3E3935"/>
              </w:rPr>
              <w:t>$767,500</w:t>
            </w:r>
          </w:p>
        </w:tc>
      </w:tr>
      <w:tr>
        <w:trPr>
          <w:trHeight w:val="126"/>
        </w:trPr>
        <w:tc>
          <w:tcPr>
            <w:tcW w:w="156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40" w:type="dxa"/>
            <w:vAlign w:val="bottom"/>
            <w:tcBorders>
              <w:bottom w:val="single" w:sz="8" w:color="3E3935"/>
            </w:tcBorders>
          </w:tcPr>
          <w:p>
            <w:pPr>
              <w:spacing w:after="0"/>
              <w:rPr>
                <w:sz w:val="10"/>
                <w:szCs w:val="10"/>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STIP</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Metrics</w:t>
            </w:r>
          </w:p>
        </w:tc>
        <w:tc>
          <w:tcPr>
            <w:tcW w:w="1740" w:type="dxa"/>
            <w:vAlign w:val="bottom"/>
          </w:tcPr>
          <w:p>
            <w:pPr>
              <w:jc w:val="right"/>
              <w:spacing w:after="0"/>
              <w:rPr>
                <w:sz w:val="20"/>
                <w:szCs w:val="20"/>
                <w:color w:val="auto"/>
              </w:rPr>
            </w:pPr>
            <w:r>
              <w:rPr>
                <w:rFonts w:ascii="Arial" w:cs="Arial" w:eastAsia="Arial" w:hAnsi="Arial"/>
                <w:sz w:val="16"/>
                <w:szCs w:val="16"/>
                <w:color w:val="3E3935"/>
              </w:rPr>
              <w:t>$977,500</w:t>
            </w:r>
          </w:p>
        </w:tc>
      </w:tr>
      <w:tr>
        <w:trPr>
          <w:trHeight w:val="126"/>
        </w:trPr>
        <w:tc>
          <w:tcPr>
            <w:tcW w:w="156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40" w:type="dxa"/>
            <w:vAlign w:val="bottom"/>
            <w:tcBorders>
              <w:bottom w:val="single" w:sz="8" w:color="3E3935"/>
            </w:tcBorders>
          </w:tcPr>
          <w:p>
            <w:pPr>
              <w:spacing w:after="0"/>
              <w:rPr>
                <w:sz w:val="10"/>
                <w:szCs w:val="10"/>
                <w:color w:val="auto"/>
              </w:rPr>
            </w:pPr>
          </w:p>
        </w:tc>
      </w:tr>
      <w:tr>
        <w:trPr>
          <w:trHeight w:val="421"/>
        </w:trPr>
        <w:tc>
          <w:tcPr>
            <w:tcW w:w="156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00" w:type="dxa"/>
            <w:vAlign w:val="bottom"/>
            <w:tcBorders>
              <w:bottom w:val="single" w:sz="8" w:color="3E3935"/>
            </w:tcBorders>
          </w:tcPr>
          <w:p>
            <w:pPr>
              <w:ind w:left="440"/>
              <w:spacing w:after="0"/>
              <w:rPr>
                <w:sz w:val="20"/>
                <w:szCs w:val="20"/>
                <w:color w:val="auto"/>
              </w:rPr>
            </w:pPr>
            <w:r>
              <w:rPr>
                <w:rFonts w:ascii="Arial" w:cs="Arial" w:eastAsia="Arial" w:hAnsi="Arial"/>
                <w:sz w:val="16"/>
                <w:szCs w:val="16"/>
                <w:color w:val="3E3935"/>
              </w:rPr>
              <w:t>Performance to Metrics and Stock Price</w:t>
            </w:r>
          </w:p>
        </w:tc>
        <w:tc>
          <w:tcPr>
            <w:tcW w:w="174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$3,504,928</w:t>
            </w: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Stock Price</w:t>
            </w:r>
          </w:p>
        </w:tc>
        <w:tc>
          <w:tcPr>
            <w:tcW w:w="1740" w:type="dxa"/>
            <w:vAlign w:val="bottom"/>
          </w:tcPr>
          <w:p>
            <w:pPr>
              <w:jc w:val="right"/>
              <w:spacing w:after="0"/>
              <w:rPr>
                <w:sz w:val="20"/>
                <w:szCs w:val="20"/>
                <w:color w:val="auto"/>
              </w:rPr>
            </w:pPr>
            <w:r>
              <w:rPr>
                <w:rFonts w:ascii="Arial" w:cs="Arial" w:eastAsia="Arial" w:hAnsi="Arial"/>
                <w:sz w:val="16"/>
                <w:szCs w:val="16"/>
                <w:color w:val="3E3935"/>
              </w:rPr>
              <w:t>$1,021,888</w:t>
            </w:r>
          </w:p>
        </w:tc>
      </w:tr>
      <w:tr>
        <w:trPr>
          <w:trHeight w:val="126"/>
        </w:trPr>
        <w:tc>
          <w:tcPr>
            <w:tcW w:w="156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40" w:type="dxa"/>
            <w:vAlign w:val="bottom"/>
            <w:tcBorders>
              <w:bottom w:val="single" w:sz="8" w:color="3E3935"/>
            </w:tcBorders>
          </w:tcPr>
          <w:p>
            <w:pPr>
              <w:spacing w:after="0"/>
              <w:rPr>
                <w:sz w:val="10"/>
                <w:szCs w:val="10"/>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RSUs</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Stock Price</w:t>
            </w:r>
          </w:p>
        </w:tc>
        <w:tc>
          <w:tcPr>
            <w:tcW w:w="1740" w:type="dxa"/>
            <w:vAlign w:val="bottom"/>
          </w:tcPr>
          <w:p>
            <w:pPr>
              <w:jc w:val="right"/>
              <w:spacing w:after="0"/>
              <w:rPr>
                <w:sz w:val="20"/>
                <w:szCs w:val="20"/>
                <w:color w:val="auto"/>
              </w:rPr>
            </w:pPr>
            <w:r>
              <w:rPr>
                <w:rFonts w:ascii="Arial" w:cs="Arial" w:eastAsia="Arial" w:hAnsi="Arial"/>
                <w:sz w:val="16"/>
                <w:szCs w:val="16"/>
                <w:color w:val="3E3935"/>
              </w:rPr>
              <w:t>$38,754</w:t>
            </w:r>
          </w:p>
        </w:tc>
      </w:tr>
      <w:tr>
        <w:trPr>
          <w:trHeight w:val="126"/>
        </w:trPr>
        <w:tc>
          <w:tcPr>
            <w:tcW w:w="1560" w:type="dxa"/>
            <w:vAlign w:val="bottom"/>
            <w:tcBorders>
              <w:bottom w:val="single" w:sz="8" w:color="3E3935"/>
            </w:tcBorders>
          </w:tcPr>
          <w:p>
            <w:pPr>
              <w:spacing w:after="0"/>
              <w:rPr>
                <w:sz w:val="10"/>
                <w:szCs w:val="10"/>
                <w:color w:val="auto"/>
              </w:rPr>
            </w:pPr>
          </w:p>
        </w:tc>
        <w:tc>
          <w:tcPr>
            <w:tcW w:w="3800" w:type="dxa"/>
            <w:vAlign w:val="bottom"/>
            <w:tcBorders>
              <w:bottom w:val="single" w:sz="8" w:color="3E3935"/>
            </w:tcBorders>
          </w:tcPr>
          <w:p>
            <w:pPr>
              <w:spacing w:after="0"/>
              <w:rPr>
                <w:sz w:val="10"/>
                <w:szCs w:val="10"/>
                <w:color w:val="auto"/>
              </w:rPr>
            </w:pPr>
          </w:p>
        </w:tc>
        <w:tc>
          <w:tcPr>
            <w:tcW w:w="1740" w:type="dxa"/>
            <w:vAlign w:val="bottom"/>
            <w:tcBorders>
              <w:bottom w:val="single" w:sz="8" w:color="3E3935"/>
            </w:tcBorders>
          </w:tcPr>
          <w:p>
            <w:pPr>
              <w:spacing w:after="0"/>
              <w:rPr>
                <w:sz w:val="10"/>
                <w:szCs w:val="10"/>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0071CE"/>
              </w:rPr>
              <w:t>$6,310,570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45008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90" w:lineRule="exact"/>
        <w:rPr>
          <w:sz w:val="20"/>
          <w:szCs w:val="20"/>
          <w:color w:val="auto"/>
        </w:rPr>
      </w:pPr>
    </w:p>
    <w:p>
      <w:pPr>
        <w:ind w:left="440" w:hanging="273"/>
        <w:spacing w:after="0" w:line="275" w:lineRule="auto"/>
        <w:tabs>
          <w:tab w:leader="none" w:pos="440" w:val="left"/>
        </w:tabs>
        <w:numPr>
          <w:ilvl w:val="0"/>
          <w:numId w:val="104"/>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162560</wp:posOffset>
            </wp:positionV>
            <wp:extent cx="5927725" cy="1016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40"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0071CE"/>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0"/>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-5196205</wp:posOffset>
            </wp:positionV>
            <wp:extent cx="1664335" cy="48069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664335" cy="480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ectPr>
          <w:pgSz w:w="11900" w:h="16838" w:orient="portrait"/>
          <w:cols w:equalWidth="0" w:num="2">
            <w:col w:w="7260" w:space="320"/>
            <w:col w:w="3500"/>
          </w:cols>
          <w:pgMar w:left="320" w:top="456" w:right="499" w:bottom="241"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105"/>
        </w:numPr>
        <w:rPr>
          <w:rFonts w:ascii="Arial" w:cs="Arial" w:eastAsia="Arial" w:hAnsi="Arial"/>
          <w:sz w:val="21"/>
          <w:szCs w:val="21"/>
          <w:color w:val="0071CE"/>
        </w:rPr>
      </w:pPr>
      <w:r>
        <w:rPr>
          <w:rFonts w:ascii="Arial" w:cs="Arial" w:eastAsia="Arial" w:hAnsi="Arial"/>
          <w:sz w:val="25"/>
          <w:szCs w:val="25"/>
          <w:color w:val="3E3935"/>
        </w:rPr>
        <w:t>Compensation Decisions for Stephen K. Carlisle</w:t>
      </w:r>
    </w:p>
    <w:p>
      <w:pPr>
        <w:spacing w:after="0" w:line="85" w:lineRule="exact"/>
        <w:rPr>
          <w:sz w:val="20"/>
          <w:szCs w:val="20"/>
          <w:color w:val="auto"/>
        </w:rPr>
      </w:pPr>
    </w:p>
    <w:p>
      <w:pPr>
        <w:jc w:val="center"/>
        <w:ind w:right="1660"/>
        <w:spacing w:after="0"/>
        <w:rPr>
          <w:sz w:val="20"/>
          <w:szCs w:val="20"/>
          <w:color w:val="auto"/>
        </w:rPr>
      </w:pPr>
      <w:r>
        <w:rPr>
          <w:rFonts w:ascii="Arial" w:cs="Arial" w:eastAsia="Arial" w:hAnsi="Arial"/>
          <w:sz w:val="20"/>
          <w:szCs w:val="20"/>
          <w:b w:val="1"/>
          <w:bCs w:val="1"/>
          <w:color w:val="3E3935"/>
        </w:rPr>
        <w:t>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00880" cy="38557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500880" cy="3855720"/>
                    </a:xfrm>
                    <a:prstGeom prst="rect">
                      <a:avLst/>
                    </a:prstGeom>
                    <a:noFill/>
                  </pic:spPr>
                </pic:pic>
              </a:graphicData>
            </a:graphic>
          </wp:anchor>
        </w:drawing>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3E3935"/>
        </w:rPr>
        <w:t>2020 performance highlights to strategic goals include the following:</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E3935"/>
        </w:rPr>
        <w:t>Culture &amp; People</w:t>
      </w:r>
    </w:p>
    <w:p>
      <w:pPr>
        <w:spacing w:after="0" w:line="103" w:lineRule="exact"/>
        <w:rPr>
          <w:sz w:val="20"/>
          <w:szCs w:val="20"/>
          <w:color w:val="auto"/>
        </w:rPr>
      </w:pPr>
    </w:p>
    <w:p>
      <w:pPr>
        <w:jc w:val="both"/>
        <w:ind w:left="620" w:right="220" w:hanging="223"/>
        <w:spacing w:after="0" w:line="203" w:lineRule="auto"/>
        <w:tabs>
          <w:tab w:leader="none" w:pos="631" w:val="left"/>
        </w:tabs>
        <w:numPr>
          <w:ilvl w:val="0"/>
          <w:numId w:val="106"/>
        </w:numPr>
        <w:rPr>
          <w:rFonts w:ascii="Arial" w:cs="Arial" w:eastAsia="Arial" w:hAnsi="Arial"/>
          <w:sz w:val="23"/>
          <w:szCs w:val="23"/>
          <w:color w:val="00C1DE"/>
        </w:rPr>
      </w:pPr>
      <w:r>
        <w:rPr>
          <w:rFonts w:ascii="Arial" w:cs="Arial" w:eastAsia="Arial" w:hAnsi="Arial"/>
          <w:sz w:val="16"/>
          <w:szCs w:val="16"/>
          <w:color w:val="3E3935"/>
        </w:rPr>
        <w:t>Exemplified a safety-first culture through our response to COVID-19 by mass producing ventilators, masks, and other personal protective equipment to support global relief efforts</w:t>
      </w:r>
    </w:p>
    <w:p>
      <w:pPr>
        <w:spacing w:after="0" w:line="195" w:lineRule="exact"/>
        <w:rPr>
          <w:rFonts w:ascii="Arial" w:cs="Arial" w:eastAsia="Arial" w:hAnsi="Arial"/>
          <w:sz w:val="23"/>
          <w:szCs w:val="23"/>
          <w:color w:val="00C1DE"/>
        </w:rPr>
      </w:pPr>
    </w:p>
    <w:p>
      <w:pPr>
        <w:jc w:val="both"/>
        <w:ind w:left="620" w:right="220" w:hanging="223"/>
        <w:spacing w:after="0" w:line="215" w:lineRule="auto"/>
        <w:tabs>
          <w:tab w:leader="none" w:pos="631" w:val="left"/>
        </w:tabs>
        <w:numPr>
          <w:ilvl w:val="0"/>
          <w:numId w:val="106"/>
        </w:numPr>
        <w:rPr>
          <w:rFonts w:ascii="Arial" w:cs="Arial" w:eastAsia="Arial" w:hAnsi="Arial"/>
          <w:sz w:val="23"/>
          <w:szCs w:val="23"/>
          <w:color w:val="00C1DE"/>
        </w:rPr>
      </w:pPr>
      <w:r>
        <w:rPr>
          <w:rFonts w:ascii="Arial" w:cs="Arial" w:eastAsia="Arial" w:hAnsi="Arial"/>
          <w:sz w:val="16"/>
          <w:szCs w:val="16"/>
          <w:color w:val="3E3935"/>
        </w:rPr>
        <w:t xml:space="preserve">Serves as executive champion of GM PLUS, an Employee Resource Group committed to fostering visibility, empowerment, education, advocacy, recruitment, and retention for LGBTQ and allied employees </w:t>
      </w:r>
      <w:r>
        <w:rPr>
          <w:rFonts w:ascii="Arial" w:cs="Arial" w:eastAsia="Arial" w:hAnsi="Arial"/>
          <w:sz w:val="1"/>
          <w:szCs w:val="1"/>
          <w:color w:val="00C1DE"/>
        </w:rPr>
        <w:drawing>
          <wp:inline distT="0" distB="0" distL="0" distR="0">
            <wp:extent cx="76200" cy="7620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E3935"/>
        </w:rPr>
        <w:t>Transformation</w:t>
      </w:r>
    </w:p>
    <w:p>
      <w:pPr>
        <w:spacing w:after="0" w:line="130" w:lineRule="exact"/>
        <w:rPr>
          <w:sz w:val="20"/>
          <w:szCs w:val="20"/>
          <w:color w:val="auto"/>
        </w:rPr>
      </w:pPr>
    </w:p>
    <w:p>
      <w:pPr>
        <w:ind w:left="620" w:right="200" w:hanging="223"/>
        <w:spacing w:after="0" w:line="203" w:lineRule="auto"/>
        <w:tabs>
          <w:tab w:leader="none" w:pos="622" w:val="left"/>
        </w:tabs>
        <w:numPr>
          <w:ilvl w:val="0"/>
          <w:numId w:val="107"/>
        </w:numPr>
        <w:rPr>
          <w:rFonts w:ascii="Arial" w:cs="Arial" w:eastAsia="Arial" w:hAnsi="Arial"/>
          <w:sz w:val="23"/>
          <w:szCs w:val="23"/>
          <w:color w:val="00C1DE"/>
        </w:rPr>
      </w:pPr>
      <w:r>
        <w:rPr>
          <w:rFonts w:ascii="Arial" w:cs="Arial" w:eastAsia="Arial" w:hAnsi="Arial"/>
          <w:sz w:val="16"/>
          <w:szCs w:val="16"/>
          <w:color w:val="3E3935"/>
        </w:rPr>
        <w:t xml:space="preserve">Accelerated plans for LYRIQ, Cadillac’s first all-electric vehicle, and revealed the GMC HUMMER EV </w:t>
      </w:r>
      <w:r>
        <w:rPr>
          <w:rFonts w:ascii="Arial" w:cs="Arial" w:eastAsia="Arial" w:hAnsi="Arial"/>
          <w:sz w:val="1"/>
          <w:szCs w:val="1"/>
          <w:color w:val="00C1DE"/>
        </w:rPr>
        <w:drawing>
          <wp:inline distT="0" distB="0" distL="0" distR="0">
            <wp:extent cx="76200" cy="762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20" w:right="220" w:hanging="223"/>
        <w:spacing w:after="0" w:line="203" w:lineRule="auto"/>
        <w:tabs>
          <w:tab w:leader="none" w:pos="631" w:val="left"/>
        </w:tabs>
        <w:numPr>
          <w:ilvl w:val="0"/>
          <w:numId w:val="107"/>
        </w:numPr>
        <w:rPr>
          <w:rFonts w:ascii="Arial" w:cs="Arial" w:eastAsia="Arial" w:hAnsi="Arial"/>
          <w:sz w:val="23"/>
          <w:szCs w:val="23"/>
          <w:color w:val="00C1DE"/>
        </w:rPr>
      </w:pPr>
      <w:r>
        <w:rPr>
          <w:rFonts w:ascii="Arial" w:cs="Arial" w:eastAsia="Arial" w:hAnsi="Arial"/>
          <w:sz w:val="16"/>
          <w:szCs w:val="16"/>
          <w:color w:val="3E3935"/>
        </w:rPr>
        <w:t xml:space="preserve">Expanded our customer care initiative through the CLEAN program, a CDC/EPA-approved program with guidelines for safely reopening dealerships </w:t>
      </w:r>
      <w:r>
        <w:rPr>
          <w:rFonts w:ascii="Arial" w:cs="Arial" w:eastAsia="Arial" w:hAnsi="Arial"/>
          <w:sz w:val="1"/>
          <w:szCs w:val="1"/>
          <w:color w:val="00C1DE"/>
        </w:rPr>
        <w:drawing>
          <wp:inline distT="0" distB="0" distL="0" distR="0">
            <wp:extent cx="76200" cy="7620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75" w:lineRule="exact"/>
        <w:rPr>
          <w:rFonts w:ascii="Arial" w:cs="Arial" w:eastAsia="Arial" w:hAnsi="Arial"/>
          <w:sz w:val="23"/>
          <w:szCs w:val="23"/>
          <w:color w:val="00C1DE"/>
        </w:rPr>
      </w:pPr>
    </w:p>
    <w:p>
      <w:pPr>
        <w:ind w:left="620" w:right="200" w:hanging="223"/>
        <w:spacing w:after="0" w:line="203" w:lineRule="auto"/>
        <w:tabs>
          <w:tab w:leader="none" w:pos="631" w:val="left"/>
        </w:tabs>
        <w:numPr>
          <w:ilvl w:val="0"/>
          <w:numId w:val="107"/>
        </w:numPr>
        <w:rPr>
          <w:rFonts w:ascii="Arial" w:cs="Arial" w:eastAsia="Arial" w:hAnsi="Arial"/>
          <w:sz w:val="23"/>
          <w:szCs w:val="23"/>
          <w:color w:val="00C1DE"/>
        </w:rPr>
      </w:pPr>
      <w:r>
        <w:rPr>
          <w:rFonts w:ascii="Arial" w:cs="Arial" w:eastAsia="Arial" w:hAnsi="Arial"/>
          <w:sz w:val="16"/>
          <w:szCs w:val="16"/>
          <w:color w:val="3E3935"/>
        </w:rPr>
        <w:t xml:space="preserve">Completed power purchase agreement for a 180-megawatt solar project to supply three GM sites with sustainable solar power energy </w:t>
      </w:r>
      <w:r>
        <w:rPr>
          <w:rFonts w:ascii="Arial" w:cs="Arial" w:eastAsia="Arial" w:hAnsi="Arial"/>
          <w:sz w:val="1"/>
          <w:szCs w:val="1"/>
          <w:color w:val="00C1DE"/>
        </w:rPr>
        <w:drawing>
          <wp:inline distT="0" distB="0" distL="0" distR="0">
            <wp:extent cx="76200" cy="7620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4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3E3935"/>
        </w:rPr>
        <w:t>Core Operations</w:t>
      </w:r>
    </w:p>
    <w:p>
      <w:pPr>
        <w:spacing w:after="0" w:line="59" w:lineRule="exact"/>
        <w:rPr>
          <w:sz w:val="20"/>
          <w:szCs w:val="20"/>
          <w:color w:val="auto"/>
        </w:rPr>
      </w:pPr>
    </w:p>
    <w:p>
      <w:pPr>
        <w:ind w:left="620" w:hanging="223"/>
        <w:spacing w:after="0"/>
        <w:tabs>
          <w:tab w:leader="none" w:pos="620" w:val="left"/>
        </w:tabs>
        <w:numPr>
          <w:ilvl w:val="0"/>
          <w:numId w:val="108"/>
        </w:numPr>
        <w:rPr>
          <w:rFonts w:ascii="Arial" w:cs="Arial" w:eastAsia="Arial" w:hAnsi="Arial"/>
          <w:sz w:val="23"/>
          <w:szCs w:val="23"/>
          <w:color w:val="00C1DE"/>
        </w:rPr>
      </w:pPr>
      <w:r>
        <w:rPr>
          <w:rFonts w:ascii="Arial" w:cs="Arial" w:eastAsia="Arial" w:hAnsi="Arial"/>
          <w:sz w:val="16"/>
          <w:szCs w:val="16"/>
          <w:color w:val="3E3935"/>
        </w:rPr>
        <w:t>Achieved year-over-year retail, fleet, and total U.S. market share growth</w:t>
      </w:r>
    </w:p>
    <w:p>
      <w:pPr>
        <w:spacing w:after="0" w:line="2" w:lineRule="exact"/>
        <w:rPr>
          <w:rFonts w:ascii="Arial" w:cs="Arial" w:eastAsia="Arial" w:hAnsi="Arial"/>
          <w:sz w:val="23"/>
          <w:szCs w:val="23"/>
          <w:color w:val="00C1DE"/>
        </w:rPr>
      </w:pPr>
    </w:p>
    <w:p>
      <w:pPr>
        <w:ind w:left="620" w:hanging="223"/>
        <w:spacing w:after="0"/>
        <w:tabs>
          <w:tab w:leader="none" w:pos="620" w:val="left"/>
        </w:tabs>
        <w:numPr>
          <w:ilvl w:val="0"/>
          <w:numId w:val="108"/>
        </w:numPr>
        <w:rPr>
          <w:rFonts w:ascii="Arial" w:cs="Arial" w:eastAsia="Arial" w:hAnsi="Arial"/>
          <w:sz w:val="23"/>
          <w:szCs w:val="23"/>
          <w:color w:val="00C1DE"/>
        </w:rPr>
      </w:pPr>
      <w:r>
        <w:rPr>
          <w:rFonts w:ascii="Arial" w:cs="Arial" w:eastAsia="Arial" w:hAnsi="Arial"/>
          <w:sz w:val="16"/>
          <w:szCs w:val="16"/>
          <w:color w:val="3E3935"/>
        </w:rPr>
        <w:t>Achieved record U.S. retail average transaction price of $39,356</w:t>
      </w:r>
    </w:p>
    <w:p>
      <w:pPr>
        <w:spacing w:after="0" w:line="74" w:lineRule="exact"/>
        <w:rPr>
          <w:rFonts w:ascii="Arial" w:cs="Arial" w:eastAsia="Arial" w:hAnsi="Arial"/>
          <w:sz w:val="23"/>
          <w:szCs w:val="23"/>
          <w:color w:val="00C1DE"/>
        </w:rPr>
      </w:pPr>
    </w:p>
    <w:p>
      <w:pPr>
        <w:jc w:val="both"/>
        <w:ind w:left="620" w:right="200" w:hanging="223"/>
        <w:spacing w:after="0" w:line="215" w:lineRule="auto"/>
        <w:tabs>
          <w:tab w:leader="none" w:pos="622" w:val="left"/>
        </w:tabs>
        <w:numPr>
          <w:ilvl w:val="0"/>
          <w:numId w:val="108"/>
        </w:numPr>
        <w:rPr>
          <w:rFonts w:ascii="Arial" w:cs="Arial" w:eastAsia="Arial" w:hAnsi="Arial"/>
          <w:sz w:val="23"/>
          <w:szCs w:val="23"/>
          <w:color w:val="00C1DE"/>
        </w:rPr>
      </w:pPr>
      <w:r>
        <w:rPr>
          <w:rFonts w:ascii="Arial" w:cs="Arial" w:eastAsia="Arial" w:hAnsi="Arial"/>
          <w:sz w:val="16"/>
          <w:szCs w:val="16"/>
          <w:color w:val="3E3935"/>
        </w:rPr>
        <w:t>Achieved highest-ever U.S. retail average transaction price for full-size trucks of $47,559, driven by the Chevrolet Silverado and best full-year retail and total sales ever of the GMC Sierra, with industry-record average transaction prices for LD and HD models</w:t>
      </w:r>
    </w:p>
    <w:p>
      <w:pPr>
        <w:spacing w:after="0" w:line="4" w:lineRule="exact"/>
        <w:rPr>
          <w:rFonts w:ascii="Arial" w:cs="Arial" w:eastAsia="Arial" w:hAnsi="Arial"/>
          <w:sz w:val="23"/>
          <w:szCs w:val="23"/>
          <w:color w:val="00C1DE"/>
        </w:rPr>
      </w:pPr>
    </w:p>
    <w:p>
      <w:pPr>
        <w:ind w:left="620" w:hanging="223"/>
        <w:spacing w:after="0"/>
        <w:tabs>
          <w:tab w:leader="none" w:pos="620" w:val="left"/>
        </w:tabs>
        <w:numPr>
          <w:ilvl w:val="0"/>
          <w:numId w:val="108"/>
        </w:numPr>
        <w:rPr>
          <w:rFonts w:ascii="Arial" w:cs="Arial" w:eastAsia="Arial" w:hAnsi="Arial"/>
          <w:sz w:val="23"/>
          <w:szCs w:val="23"/>
          <w:color w:val="00C1DE"/>
        </w:rPr>
      </w:pPr>
      <w:r>
        <w:rPr>
          <w:rFonts w:ascii="Arial" w:cs="Arial" w:eastAsia="Arial" w:hAnsi="Arial"/>
          <w:sz w:val="16"/>
          <w:szCs w:val="16"/>
          <w:color w:val="3E3935"/>
        </w:rPr>
        <w:t>Achieved the highest year-over-year share growth in the industry in Canada</w:t>
      </w:r>
    </w:p>
    <w:p>
      <w:pPr>
        <w:spacing w:after="0" w:line="74" w:lineRule="exact"/>
        <w:rPr>
          <w:rFonts w:ascii="Arial" w:cs="Arial" w:eastAsia="Arial" w:hAnsi="Arial"/>
          <w:sz w:val="23"/>
          <w:szCs w:val="23"/>
          <w:color w:val="00C1DE"/>
        </w:rPr>
      </w:pPr>
    </w:p>
    <w:p>
      <w:pPr>
        <w:ind w:left="620" w:right="220" w:hanging="223"/>
        <w:spacing w:after="0" w:line="203" w:lineRule="auto"/>
        <w:tabs>
          <w:tab w:leader="none" w:pos="622" w:val="left"/>
        </w:tabs>
        <w:numPr>
          <w:ilvl w:val="0"/>
          <w:numId w:val="108"/>
        </w:numPr>
        <w:rPr>
          <w:rFonts w:ascii="Arial" w:cs="Arial" w:eastAsia="Arial" w:hAnsi="Arial"/>
          <w:sz w:val="23"/>
          <w:szCs w:val="23"/>
          <w:color w:val="00C1DE"/>
        </w:rPr>
      </w:pPr>
      <w:r>
        <w:rPr>
          <w:rFonts w:ascii="Arial" w:cs="Arial" w:eastAsia="Arial" w:hAnsi="Arial"/>
          <w:sz w:val="16"/>
          <w:szCs w:val="16"/>
          <w:color w:val="3E3935"/>
        </w:rPr>
        <w:t>Announced plans to expand full-size pickup truck production to Oshawa Assembly in early 2022 as part of ratified labor agreement with Unifor</w:t>
      </w:r>
    </w:p>
    <w:p>
      <w:pPr>
        <w:spacing w:after="0" w:line="75" w:lineRule="exact"/>
        <w:rPr>
          <w:rFonts w:ascii="Arial" w:cs="Arial" w:eastAsia="Arial" w:hAnsi="Arial"/>
          <w:sz w:val="23"/>
          <w:szCs w:val="23"/>
          <w:color w:val="00C1DE"/>
        </w:rPr>
      </w:pPr>
    </w:p>
    <w:p>
      <w:pPr>
        <w:ind w:left="620" w:right="220" w:hanging="223"/>
        <w:spacing w:after="0" w:line="203" w:lineRule="auto"/>
        <w:tabs>
          <w:tab w:leader="none" w:pos="631" w:val="left"/>
        </w:tabs>
        <w:numPr>
          <w:ilvl w:val="0"/>
          <w:numId w:val="108"/>
        </w:numPr>
        <w:rPr>
          <w:rFonts w:ascii="Arial" w:cs="Arial" w:eastAsia="Arial" w:hAnsi="Arial"/>
          <w:sz w:val="23"/>
          <w:szCs w:val="23"/>
          <w:color w:val="00C1DE"/>
        </w:rPr>
      </w:pPr>
      <w:r>
        <w:rPr>
          <w:rFonts w:ascii="Arial" w:cs="Arial" w:eastAsia="Arial" w:hAnsi="Arial"/>
          <w:sz w:val="16"/>
          <w:szCs w:val="16"/>
          <w:color w:val="3E3935"/>
        </w:rPr>
        <w:t>Launched all-new line-up of full-size SUVs, including the Cadillac Escalade, 40% of which transacted above $100,000</w:t>
      </w:r>
    </w:p>
    <w:p>
      <w:pPr>
        <w:spacing w:after="0" w:line="19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6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July 15, 2020, upon Mr. Carlisle’s promotion, increased</w:t>
      </w:r>
      <w:r>
        <w:rPr>
          <w:rFonts w:ascii="Arial" w:cs="Arial" w:eastAsia="Arial" w:hAnsi="Arial"/>
          <w:sz w:val="20"/>
          <w:szCs w:val="20"/>
          <w:b w:val="1"/>
          <w:bCs w:val="1"/>
          <w:color w:val="0071CE"/>
        </w:rPr>
        <w:t xml:space="preserve"> </w:t>
      </w:r>
      <w:r>
        <w:rPr>
          <w:rFonts w:ascii="Arial" w:cs="Arial" w:eastAsia="Arial" w:hAnsi="Arial"/>
          <w:sz w:val="20"/>
          <w:szCs w:val="20"/>
          <w:color w:val="3E3935"/>
        </w:rPr>
        <w:t>base salary from $700,000 to $800,000.</w:t>
      </w:r>
    </w:p>
    <w:p>
      <w:pPr>
        <w:spacing w:after="0" w:line="48"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Awarded 32 points based on results to strategic goals,</w:t>
      </w:r>
      <w:r>
        <w:rPr>
          <w:rFonts w:ascii="Arial" w:cs="Arial" w:eastAsia="Arial" w:hAnsi="Arial"/>
          <w:sz w:val="20"/>
          <w:szCs w:val="20"/>
          <w:b w:val="1"/>
          <w:bCs w:val="1"/>
          <w:color w:val="0071CE"/>
        </w:rPr>
        <w:t xml:space="preserve"> </w:t>
      </w:r>
      <w:r>
        <w:rPr>
          <w:rFonts w:ascii="Arial" w:cs="Arial" w:eastAsia="Arial" w:hAnsi="Arial"/>
          <w:sz w:val="20"/>
          <w:szCs w:val="20"/>
          <w:color w:val="3E3935"/>
        </w:rPr>
        <w:t>highlighted above, for the 2020 STIP performance year.</w:t>
      </w:r>
    </w:p>
    <w:p>
      <w:pPr>
        <w:spacing w:after="0" w:line="4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February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$1.53 million, consisting of 75% PSUs and 25% Stock Options. Upon Mr. Carlisle’s promotion, awarded LTIP grants in October 2020 of $1.97 million, consisting of 75% PSUs and 25% Stock Options, and in December 2020 of $0.3 million consisting of 100% PSUs.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Salary Reduction RSUs </w:t>
      </w:r>
      <w:r>
        <w:rPr>
          <w:rFonts w:ascii="Arial" w:cs="Arial" w:eastAsia="Arial" w:hAnsi="Arial"/>
          <w:sz w:val="20"/>
          <w:szCs w:val="20"/>
          <w:color w:val="3E3935"/>
        </w:rPr>
        <w:t>– Received $35,007 of RSUs.</w:t>
      </w:r>
    </w:p>
    <w:p>
      <w:pPr>
        <w:spacing w:after="0" w:line="115"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560" w:type="dxa"/>
            <w:vAlign w:val="bottom"/>
            <w:tcBorders>
              <w:top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00" w:type="dxa"/>
            <w:vAlign w:val="bottom"/>
            <w:tcBorders>
              <w:top w:val="single" w:sz="8" w:color="00C1DE"/>
            </w:tcBorders>
          </w:tcPr>
          <w:p>
            <w:pPr>
              <w:ind w:left="440"/>
              <w:spacing w:after="0"/>
              <w:rPr>
                <w:sz w:val="20"/>
                <w:szCs w:val="20"/>
                <w:color w:val="auto"/>
              </w:rPr>
            </w:pPr>
            <w:r>
              <w:rPr>
                <w:rFonts w:ascii="Arial" w:cs="Arial" w:eastAsia="Arial" w:hAnsi="Arial"/>
                <w:sz w:val="16"/>
                <w:szCs w:val="16"/>
                <w:b w:val="1"/>
                <w:bCs w:val="1"/>
                <w:color w:val="00C1DE"/>
              </w:rPr>
              <w:t>Majority of Pay Is At-Risk</w:t>
            </w:r>
          </w:p>
        </w:tc>
        <w:tc>
          <w:tcPr>
            <w:tcW w:w="174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68"/>
        </w:trPr>
        <w:tc>
          <w:tcPr>
            <w:tcW w:w="1560" w:type="dxa"/>
            <w:vAlign w:val="bottom"/>
            <w:tcBorders>
              <w:bottom w:val="single" w:sz="8" w:color="00C1DE"/>
            </w:tcBorders>
          </w:tcPr>
          <w:p>
            <w:pPr>
              <w:spacing w:after="0"/>
              <w:rPr>
                <w:sz w:val="5"/>
                <w:szCs w:val="5"/>
                <w:color w:val="auto"/>
              </w:rPr>
            </w:pPr>
          </w:p>
        </w:tc>
        <w:tc>
          <w:tcPr>
            <w:tcW w:w="3800" w:type="dxa"/>
            <w:vAlign w:val="bottom"/>
            <w:tcBorders>
              <w:bottom w:val="single" w:sz="8" w:color="00C1DE"/>
            </w:tcBorders>
          </w:tcPr>
          <w:p>
            <w:pPr>
              <w:spacing w:after="0"/>
              <w:rPr>
                <w:sz w:val="5"/>
                <w:szCs w:val="5"/>
                <w:color w:val="auto"/>
              </w:rPr>
            </w:pPr>
          </w:p>
        </w:tc>
        <w:tc>
          <w:tcPr>
            <w:tcW w:w="1740" w:type="dxa"/>
            <w:vAlign w:val="bottom"/>
            <w:tcBorders>
              <w:bottom w:val="single" w:sz="8" w:color="00C1DE"/>
            </w:tcBorders>
          </w:tcPr>
          <w:p>
            <w:pPr>
              <w:spacing w:after="0"/>
              <w:rPr>
                <w:sz w:val="5"/>
                <w:szCs w:val="5"/>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00" w:type="dxa"/>
            <w:vAlign w:val="bottom"/>
          </w:tcPr>
          <w:p>
            <w:pPr>
              <w:ind w:left="440"/>
              <w:spacing w:after="0"/>
              <w:rPr>
                <w:sz w:val="20"/>
                <w:szCs w:val="20"/>
                <w:color w:val="auto"/>
              </w:rPr>
            </w:pPr>
            <w:r>
              <w:rPr>
                <w:rFonts w:ascii="Arial" w:cs="Arial" w:eastAsia="Arial" w:hAnsi="Arial"/>
                <w:sz w:val="16"/>
                <w:szCs w:val="16"/>
                <w:color w:val="3E3935"/>
              </w:rPr>
              <w:t>Only Fixed Pay Element</w:t>
            </w:r>
          </w:p>
        </w:tc>
        <w:tc>
          <w:tcPr>
            <w:tcW w:w="1740" w:type="dxa"/>
            <w:vAlign w:val="bottom"/>
          </w:tcPr>
          <w:p>
            <w:pPr>
              <w:jc w:val="right"/>
              <w:spacing w:after="0"/>
              <w:rPr>
                <w:sz w:val="20"/>
                <w:szCs w:val="20"/>
                <w:color w:val="auto"/>
              </w:rPr>
            </w:pPr>
            <w:r>
              <w:rPr>
                <w:rFonts w:ascii="Arial" w:cs="Arial" w:eastAsia="Arial" w:hAnsi="Arial"/>
                <w:sz w:val="16"/>
                <w:szCs w:val="16"/>
                <w:color w:val="3E3935"/>
              </w:rPr>
              <w:t>$711,136</w:t>
            </w:r>
          </w:p>
        </w:tc>
      </w:tr>
      <w:tr>
        <w:trPr>
          <w:trHeight w:val="112"/>
        </w:trPr>
        <w:tc>
          <w:tcPr>
            <w:tcW w:w="1560" w:type="dxa"/>
            <w:vAlign w:val="bottom"/>
            <w:tcBorders>
              <w:bottom w:val="single" w:sz="8" w:color="3E3935"/>
            </w:tcBorders>
          </w:tcPr>
          <w:p>
            <w:pPr>
              <w:spacing w:after="0"/>
              <w:rPr>
                <w:sz w:val="9"/>
                <w:szCs w:val="9"/>
                <w:color w:val="auto"/>
              </w:rPr>
            </w:pPr>
          </w:p>
        </w:tc>
        <w:tc>
          <w:tcPr>
            <w:tcW w:w="3800" w:type="dxa"/>
            <w:vAlign w:val="bottom"/>
            <w:tcBorders>
              <w:bottom w:val="single" w:sz="8" w:color="3E3935"/>
            </w:tcBorders>
          </w:tcPr>
          <w:p>
            <w:pPr>
              <w:spacing w:after="0"/>
              <w:rPr>
                <w:sz w:val="9"/>
                <w:szCs w:val="9"/>
                <w:color w:val="auto"/>
              </w:rPr>
            </w:pPr>
          </w:p>
        </w:tc>
        <w:tc>
          <w:tcPr>
            <w:tcW w:w="1740" w:type="dxa"/>
            <w:vAlign w:val="bottom"/>
            <w:tcBorders>
              <w:bottom w:val="single" w:sz="8" w:color="3E3935"/>
            </w:tcBorders>
          </w:tcPr>
          <w:p>
            <w:pPr>
              <w:spacing w:after="0"/>
              <w:rPr>
                <w:sz w:val="9"/>
                <w:szCs w:val="9"/>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STIP</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Metrics</w:t>
            </w:r>
          </w:p>
        </w:tc>
        <w:tc>
          <w:tcPr>
            <w:tcW w:w="1740" w:type="dxa"/>
            <w:vAlign w:val="bottom"/>
          </w:tcPr>
          <w:p>
            <w:pPr>
              <w:jc w:val="right"/>
              <w:spacing w:after="0"/>
              <w:rPr>
                <w:sz w:val="20"/>
                <w:szCs w:val="20"/>
                <w:color w:val="auto"/>
              </w:rPr>
            </w:pPr>
            <w:r>
              <w:rPr>
                <w:rFonts w:ascii="Arial" w:cs="Arial" w:eastAsia="Arial" w:hAnsi="Arial"/>
                <w:sz w:val="16"/>
                <w:szCs w:val="16"/>
                <w:color w:val="3E3935"/>
              </w:rPr>
              <w:t>$920,000</w:t>
            </w:r>
          </w:p>
        </w:tc>
      </w:tr>
      <w:tr>
        <w:trPr>
          <w:trHeight w:val="112"/>
        </w:trPr>
        <w:tc>
          <w:tcPr>
            <w:tcW w:w="1560" w:type="dxa"/>
            <w:vAlign w:val="bottom"/>
            <w:tcBorders>
              <w:bottom w:val="single" w:sz="8" w:color="3E3935"/>
            </w:tcBorders>
          </w:tcPr>
          <w:p>
            <w:pPr>
              <w:spacing w:after="0"/>
              <w:rPr>
                <w:sz w:val="9"/>
                <w:szCs w:val="9"/>
                <w:color w:val="auto"/>
              </w:rPr>
            </w:pPr>
          </w:p>
        </w:tc>
        <w:tc>
          <w:tcPr>
            <w:tcW w:w="3800" w:type="dxa"/>
            <w:vAlign w:val="bottom"/>
            <w:tcBorders>
              <w:bottom w:val="single" w:sz="8" w:color="3E3935"/>
            </w:tcBorders>
          </w:tcPr>
          <w:p>
            <w:pPr>
              <w:spacing w:after="0"/>
              <w:rPr>
                <w:sz w:val="9"/>
                <w:szCs w:val="9"/>
                <w:color w:val="auto"/>
              </w:rPr>
            </w:pPr>
          </w:p>
        </w:tc>
        <w:tc>
          <w:tcPr>
            <w:tcW w:w="1740" w:type="dxa"/>
            <w:vAlign w:val="bottom"/>
            <w:tcBorders>
              <w:bottom w:val="single" w:sz="8" w:color="3E3935"/>
            </w:tcBorders>
          </w:tcPr>
          <w:p>
            <w:pPr>
              <w:spacing w:after="0"/>
              <w:rPr>
                <w:sz w:val="9"/>
                <w:szCs w:val="9"/>
                <w:color w:val="auto"/>
              </w:rPr>
            </w:pPr>
          </w:p>
        </w:tc>
      </w:tr>
      <w:tr>
        <w:trPr>
          <w:trHeight w:val="408"/>
        </w:trPr>
        <w:tc>
          <w:tcPr>
            <w:tcW w:w="156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00" w:type="dxa"/>
            <w:vAlign w:val="bottom"/>
            <w:tcBorders>
              <w:bottom w:val="single" w:sz="8" w:color="3E3935"/>
            </w:tcBorders>
          </w:tcPr>
          <w:p>
            <w:pPr>
              <w:ind w:left="440"/>
              <w:spacing w:after="0"/>
              <w:rPr>
                <w:sz w:val="20"/>
                <w:szCs w:val="20"/>
                <w:color w:val="auto"/>
              </w:rPr>
            </w:pPr>
            <w:r>
              <w:rPr>
                <w:rFonts w:ascii="Arial" w:cs="Arial" w:eastAsia="Arial" w:hAnsi="Arial"/>
                <w:sz w:val="16"/>
                <w:szCs w:val="16"/>
                <w:color w:val="3E3935"/>
              </w:rPr>
              <w:t>Performance to Metrics and Stock Price</w:t>
            </w:r>
          </w:p>
        </w:tc>
        <w:tc>
          <w:tcPr>
            <w:tcW w:w="174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$3,355,766</w:t>
            </w: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Stock Price</w:t>
            </w:r>
          </w:p>
        </w:tc>
        <w:tc>
          <w:tcPr>
            <w:tcW w:w="1740" w:type="dxa"/>
            <w:vAlign w:val="bottom"/>
          </w:tcPr>
          <w:p>
            <w:pPr>
              <w:jc w:val="right"/>
              <w:spacing w:after="0"/>
              <w:rPr>
                <w:sz w:val="20"/>
                <w:szCs w:val="20"/>
                <w:color w:val="auto"/>
              </w:rPr>
            </w:pPr>
            <w:r>
              <w:rPr>
                <w:rFonts w:ascii="Arial" w:cs="Arial" w:eastAsia="Arial" w:hAnsi="Arial"/>
                <w:sz w:val="16"/>
                <w:szCs w:val="16"/>
                <w:color w:val="3E3935"/>
              </w:rPr>
              <w:t>$875,009</w:t>
            </w:r>
          </w:p>
        </w:tc>
      </w:tr>
      <w:tr>
        <w:trPr>
          <w:trHeight w:val="112"/>
        </w:trPr>
        <w:tc>
          <w:tcPr>
            <w:tcW w:w="1560" w:type="dxa"/>
            <w:vAlign w:val="bottom"/>
            <w:tcBorders>
              <w:bottom w:val="single" w:sz="8" w:color="3E3935"/>
            </w:tcBorders>
          </w:tcPr>
          <w:p>
            <w:pPr>
              <w:spacing w:after="0"/>
              <w:rPr>
                <w:sz w:val="9"/>
                <w:szCs w:val="9"/>
                <w:color w:val="auto"/>
              </w:rPr>
            </w:pPr>
          </w:p>
        </w:tc>
        <w:tc>
          <w:tcPr>
            <w:tcW w:w="3800" w:type="dxa"/>
            <w:vAlign w:val="bottom"/>
            <w:tcBorders>
              <w:bottom w:val="single" w:sz="8" w:color="3E3935"/>
            </w:tcBorders>
          </w:tcPr>
          <w:p>
            <w:pPr>
              <w:spacing w:after="0"/>
              <w:rPr>
                <w:sz w:val="9"/>
                <w:szCs w:val="9"/>
                <w:color w:val="auto"/>
              </w:rPr>
            </w:pPr>
          </w:p>
        </w:tc>
        <w:tc>
          <w:tcPr>
            <w:tcW w:w="1740" w:type="dxa"/>
            <w:vAlign w:val="bottom"/>
            <w:tcBorders>
              <w:bottom w:val="single" w:sz="8" w:color="3E3935"/>
            </w:tcBorders>
          </w:tcPr>
          <w:p>
            <w:pPr>
              <w:spacing w:after="0"/>
              <w:rPr>
                <w:sz w:val="9"/>
                <w:szCs w:val="9"/>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color w:val="3E3935"/>
              </w:rPr>
              <w:t>RSUs</w:t>
            </w:r>
          </w:p>
        </w:tc>
        <w:tc>
          <w:tcPr>
            <w:tcW w:w="3800" w:type="dxa"/>
            <w:vAlign w:val="bottom"/>
          </w:tcPr>
          <w:p>
            <w:pPr>
              <w:ind w:left="440"/>
              <w:spacing w:after="0"/>
              <w:rPr>
                <w:sz w:val="20"/>
                <w:szCs w:val="20"/>
                <w:color w:val="auto"/>
              </w:rPr>
            </w:pPr>
            <w:r>
              <w:rPr>
                <w:rFonts w:ascii="Arial" w:cs="Arial" w:eastAsia="Arial" w:hAnsi="Arial"/>
                <w:sz w:val="16"/>
                <w:szCs w:val="16"/>
                <w:color w:val="3E3935"/>
              </w:rPr>
              <w:t>Performance to Stock Price</w:t>
            </w:r>
          </w:p>
        </w:tc>
        <w:tc>
          <w:tcPr>
            <w:tcW w:w="1740" w:type="dxa"/>
            <w:vAlign w:val="bottom"/>
          </w:tcPr>
          <w:p>
            <w:pPr>
              <w:jc w:val="right"/>
              <w:spacing w:after="0"/>
              <w:rPr>
                <w:sz w:val="20"/>
                <w:szCs w:val="20"/>
                <w:color w:val="auto"/>
              </w:rPr>
            </w:pPr>
            <w:r>
              <w:rPr>
                <w:rFonts w:ascii="Arial" w:cs="Arial" w:eastAsia="Arial" w:hAnsi="Arial"/>
                <w:sz w:val="16"/>
                <w:szCs w:val="16"/>
                <w:color w:val="3E3935"/>
              </w:rPr>
              <w:t>$35,007</w:t>
            </w:r>
          </w:p>
        </w:tc>
      </w:tr>
      <w:tr>
        <w:trPr>
          <w:trHeight w:val="112"/>
        </w:trPr>
        <w:tc>
          <w:tcPr>
            <w:tcW w:w="1560" w:type="dxa"/>
            <w:vAlign w:val="bottom"/>
            <w:tcBorders>
              <w:bottom w:val="single" w:sz="8" w:color="3E3935"/>
            </w:tcBorders>
          </w:tcPr>
          <w:p>
            <w:pPr>
              <w:spacing w:after="0"/>
              <w:rPr>
                <w:sz w:val="9"/>
                <w:szCs w:val="9"/>
                <w:color w:val="auto"/>
              </w:rPr>
            </w:pPr>
          </w:p>
        </w:tc>
        <w:tc>
          <w:tcPr>
            <w:tcW w:w="3800" w:type="dxa"/>
            <w:vAlign w:val="bottom"/>
            <w:tcBorders>
              <w:bottom w:val="single" w:sz="8" w:color="3E3935"/>
            </w:tcBorders>
          </w:tcPr>
          <w:p>
            <w:pPr>
              <w:spacing w:after="0"/>
              <w:rPr>
                <w:sz w:val="9"/>
                <w:szCs w:val="9"/>
                <w:color w:val="auto"/>
              </w:rPr>
            </w:pPr>
          </w:p>
        </w:tc>
        <w:tc>
          <w:tcPr>
            <w:tcW w:w="1740" w:type="dxa"/>
            <w:vAlign w:val="bottom"/>
            <w:tcBorders>
              <w:bottom w:val="single" w:sz="8" w:color="3E3935"/>
            </w:tcBorders>
          </w:tcPr>
          <w:p>
            <w:pPr>
              <w:spacing w:after="0"/>
              <w:rPr>
                <w:sz w:val="9"/>
                <w:szCs w:val="9"/>
                <w:color w:val="auto"/>
              </w:rPr>
            </w:pPr>
          </w:p>
        </w:tc>
      </w:tr>
      <w:tr>
        <w:trPr>
          <w:trHeight w:val="295"/>
        </w:trPr>
        <w:tc>
          <w:tcPr>
            <w:tcW w:w="156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0071CE"/>
              </w:rPr>
              <w:t>$5,896,918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71120</wp:posOffset>
            </wp:positionV>
            <wp:extent cx="45008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77" w:lineRule="exact"/>
        <w:rPr>
          <w:sz w:val="20"/>
          <w:szCs w:val="20"/>
          <w:color w:val="auto"/>
        </w:rPr>
      </w:pPr>
    </w:p>
    <w:p>
      <w:pPr>
        <w:ind w:left="440" w:hanging="273"/>
        <w:spacing w:after="0" w:line="275" w:lineRule="auto"/>
        <w:tabs>
          <w:tab w:leader="none" w:pos="440" w:val="left"/>
        </w:tabs>
        <w:numPr>
          <w:ilvl w:val="0"/>
          <w:numId w:val="109"/>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162560</wp:posOffset>
            </wp:positionV>
            <wp:extent cx="5927725" cy="1016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20"/>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-5451475</wp:posOffset>
            </wp:positionV>
            <wp:extent cx="1673225" cy="20548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673225" cy="2054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-2776220</wp:posOffset>
            </wp:positionV>
            <wp:extent cx="1052830" cy="23863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52830" cy="238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sz w:val="1"/>
          <w:szCs w:val="1"/>
          <w:color w:val="auto"/>
        </w:rPr>
        <w:drawing>
          <wp:inline distT="0" distB="0" distL="0" distR="0">
            <wp:extent cx="76200" cy="7620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00" w:lineRule="exact"/>
        <w:rPr>
          <w:sz w:val="20"/>
          <w:szCs w:val="20"/>
          <w:color w:val="auto"/>
        </w:rPr>
      </w:pPr>
    </w:p>
    <w:p>
      <w:pPr>
        <w:spacing w:after="0" w:line="312" w:lineRule="exact"/>
        <w:rPr>
          <w:sz w:val="20"/>
          <w:szCs w:val="20"/>
          <w:color w:val="auto"/>
        </w:rPr>
      </w:pPr>
    </w:p>
    <w:p>
      <w:pPr>
        <w:ind w:left="3020"/>
        <w:spacing w:after="0"/>
        <w:rPr>
          <w:sz w:val="20"/>
          <w:szCs w:val="20"/>
          <w:color w:val="auto"/>
        </w:rPr>
      </w:pPr>
      <w:r>
        <w:rPr>
          <w:rFonts w:ascii="Arial" w:cs="Arial" w:eastAsia="Arial" w:hAnsi="Arial"/>
          <w:sz w:val="14"/>
          <w:szCs w:val="14"/>
          <w:color w:val="0071CE"/>
        </w:rPr>
        <w:t>61</w:t>
      </w:r>
    </w:p>
    <w:p>
      <w:pPr>
        <w:sectPr>
          <w:pgSz w:w="11900" w:h="16838" w:orient="portrait"/>
          <w:cols w:equalWidth="0" w:num="2">
            <w:col w:w="7260" w:space="320"/>
            <w:col w:w="3500"/>
          </w:cols>
          <w:pgMar w:left="320" w:top="456" w:right="499" w:bottom="642"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110"/>
        </w:numPr>
        <w:rPr>
          <w:rFonts w:ascii="Arial" w:cs="Arial" w:eastAsia="Arial" w:hAnsi="Arial"/>
          <w:sz w:val="21"/>
          <w:szCs w:val="21"/>
          <w:color w:val="0071CE"/>
        </w:rPr>
      </w:pPr>
      <w:r>
        <w:rPr>
          <w:rFonts w:ascii="Arial" w:cs="Arial" w:eastAsia="Arial" w:hAnsi="Arial"/>
          <w:sz w:val="25"/>
          <w:szCs w:val="25"/>
          <w:color w:val="3E3935"/>
        </w:rPr>
        <w:t>Compensation Decisions for Dhivya Suryadevara</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3E3935"/>
        </w:rPr>
        <w:t>Former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00880" cy="3225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500880" cy="322580"/>
                    </a:xfrm>
                    <a:prstGeom prst="rect">
                      <a:avLst/>
                    </a:prstGeom>
                    <a:noFill/>
                  </pic:spPr>
                </pic:pic>
              </a:graphicData>
            </a:graphic>
          </wp:anchor>
        </w:drawing>
      </w:r>
    </w:p>
    <w:p>
      <w:pPr>
        <w:spacing w:after="0" w:line="114" w:lineRule="exact"/>
        <w:rPr>
          <w:sz w:val="20"/>
          <w:szCs w:val="20"/>
          <w:color w:val="auto"/>
        </w:rPr>
      </w:pPr>
    </w:p>
    <w:p>
      <w:pPr>
        <w:ind w:left="400" w:right="240"/>
        <w:spacing w:after="0" w:line="256" w:lineRule="auto"/>
        <w:rPr>
          <w:sz w:val="20"/>
          <w:szCs w:val="20"/>
          <w:color w:val="auto"/>
        </w:rPr>
      </w:pPr>
      <w:r>
        <w:rPr>
          <w:rFonts w:ascii="Arial" w:cs="Arial" w:eastAsia="Arial" w:hAnsi="Arial"/>
          <w:sz w:val="16"/>
          <w:szCs w:val="16"/>
          <w:color w:val="3E3935"/>
        </w:rPr>
        <w:t>Ms. Suryadevara resigned as Executive Vice President and Chief Financial Officer, effective September 1, 2020.</w:t>
      </w:r>
    </w:p>
    <w:p>
      <w:pPr>
        <w:spacing w:after="0" w:line="177"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6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January 1, 2020, increased base salary from $1,000,000</w:t>
      </w:r>
      <w:r>
        <w:rPr>
          <w:rFonts w:ascii="Arial" w:cs="Arial" w:eastAsia="Arial" w:hAnsi="Arial"/>
          <w:sz w:val="20"/>
          <w:szCs w:val="20"/>
          <w:b w:val="1"/>
          <w:bCs w:val="1"/>
          <w:color w:val="0071CE"/>
        </w:rPr>
        <w:t xml:space="preserve"> </w:t>
      </w:r>
      <w:r>
        <w:rPr>
          <w:rFonts w:ascii="Arial" w:cs="Arial" w:eastAsia="Arial" w:hAnsi="Arial"/>
          <w:sz w:val="20"/>
          <w:szCs w:val="20"/>
          <w:color w:val="3E3935"/>
        </w:rPr>
        <w:t>to $1,150,000.</w:t>
      </w:r>
    </w:p>
    <w:p>
      <w:pPr>
        <w:spacing w:after="0" w:line="48"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Ms. Suryadevara did not receive a payout for the 2020</w:t>
      </w:r>
      <w:r>
        <w:rPr>
          <w:rFonts w:ascii="Arial" w:cs="Arial" w:eastAsia="Arial" w:hAnsi="Arial"/>
          <w:sz w:val="20"/>
          <w:szCs w:val="20"/>
          <w:b w:val="1"/>
          <w:bCs w:val="1"/>
          <w:color w:val="0071CE"/>
        </w:rPr>
        <w:t xml:space="preserve"> </w:t>
      </w:r>
      <w:r>
        <w:rPr>
          <w:rFonts w:ascii="Arial" w:cs="Arial" w:eastAsia="Arial" w:hAnsi="Arial"/>
          <w:sz w:val="20"/>
          <w:szCs w:val="20"/>
          <w:color w:val="3E3935"/>
        </w:rPr>
        <w:t>STIP performance year.</w:t>
      </w:r>
    </w:p>
    <w:p>
      <w:pPr>
        <w:spacing w:after="0" w:line="4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February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$4.89 million, consisting of 75% PSUs and 25% Stock Options. The LTIP award includes an additional $0.23 million above target in recognition of 2019 performance. Ms. Suryadevara forfeited all PSUs and Stock Options upon her termination.</w:t>
      </w:r>
    </w:p>
    <w:p>
      <w:pPr>
        <w:spacing w:after="0" w:line="6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Salary Reduction RSUs </w:t>
      </w:r>
      <w:r>
        <w:rPr>
          <w:rFonts w:ascii="Arial" w:cs="Arial" w:eastAsia="Arial" w:hAnsi="Arial"/>
          <w:sz w:val="20"/>
          <w:szCs w:val="20"/>
          <w:color w:val="3E3935"/>
        </w:rPr>
        <w:t>– Received $57,514 of RSUs. Ms. Suryadevara</w:t>
      </w:r>
      <w:r>
        <w:rPr>
          <w:rFonts w:ascii="Arial" w:cs="Arial" w:eastAsia="Arial" w:hAnsi="Arial"/>
          <w:sz w:val="20"/>
          <w:szCs w:val="20"/>
          <w:b w:val="1"/>
          <w:bCs w:val="1"/>
          <w:color w:val="0071CE"/>
        </w:rPr>
        <w:t xml:space="preserve"> </w:t>
      </w:r>
      <w:r>
        <w:rPr>
          <w:rFonts w:ascii="Arial" w:cs="Arial" w:eastAsia="Arial" w:hAnsi="Arial"/>
          <w:sz w:val="20"/>
          <w:szCs w:val="20"/>
          <w:color w:val="3E3935"/>
        </w:rPr>
        <w:t>forfeited a portion of the RSUs upon her termination.</w:t>
      </w:r>
    </w:p>
    <w:p>
      <w:pPr>
        <w:spacing w:after="0" w:line="72"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520" w:type="dxa"/>
            <w:vAlign w:val="bottom"/>
            <w:tcBorders>
              <w:top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top w:val="single" w:sz="8" w:color="00C1DE"/>
            </w:tcBorders>
          </w:tcPr>
          <w:p>
            <w:pPr>
              <w:ind w:left="420"/>
              <w:spacing w:after="0"/>
              <w:rPr>
                <w:sz w:val="20"/>
                <w:szCs w:val="20"/>
                <w:color w:val="auto"/>
              </w:rPr>
            </w:pPr>
            <w:r>
              <w:rPr>
                <w:rFonts w:ascii="Arial" w:cs="Arial" w:eastAsia="Arial" w:hAnsi="Arial"/>
                <w:sz w:val="16"/>
                <w:szCs w:val="16"/>
                <w:b w:val="1"/>
                <w:bCs w:val="1"/>
                <w:color w:val="00C1DE"/>
              </w:rPr>
              <w:t>Majority of Pay Is At-Risk</w:t>
            </w:r>
          </w:p>
        </w:tc>
        <w:tc>
          <w:tcPr>
            <w:tcW w:w="176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68"/>
        </w:trPr>
        <w:tc>
          <w:tcPr>
            <w:tcW w:w="1520" w:type="dxa"/>
            <w:vAlign w:val="bottom"/>
            <w:tcBorders>
              <w:bottom w:val="single" w:sz="8" w:color="00C1DE"/>
            </w:tcBorders>
          </w:tcPr>
          <w:p>
            <w:pPr>
              <w:spacing w:after="0"/>
              <w:rPr>
                <w:sz w:val="5"/>
                <w:szCs w:val="5"/>
                <w:color w:val="auto"/>
              </w:rPr>
            </w:pPr>
          </w:p>
        </w:tc>
        <w:tc>
          <w:tcPr>
            <w:tcW w:w="3820" w:type="dxa"/>
            <w:vAlign w:val="bottom"/>
            <w:tcBorders>
              <w:bottom w:val="single" w:sz="8" w:color="00C1DE"/>
            </w:tcBorders>
          </w:tcPr>
          <w:p>
            <w:pPr>
              <w:spacing w:after="0"/>
              <w:rPr>
                <w:sz w:val="5"/>
                <w:szCs w:val="5"/>
                <w:color w:val="auto"/>
              </w:rPr>
            </w:pPr>
          </w:p>
        </w:tc>
        <w:tc>
          <w:tcPr>
            <w:tcW w:w="1760" w:type="dxa"/>
            <w:vAlign w:val="bottom"/>
            <w:tcBorders>
              <w:bottom w:val="single" w:sz="8" w:color="00C1DE"/>
            </w:tcBorders>
          </w:tcPr>
          <w:p>
            <w:pPr>
              <w:spacing w:after="0"/>
              <w:rPr>
                <w:sz w:val="5"/>
                <w:szCs w:val="5"/>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420"/>
              <w:spacing w:after="0"/>
              <w:rPr>
                <w:sz w:val="20"/>
                <w:szCs w:val="20"/>
                <w:color w:val="auto"/>
              </w:rPr>
            </w:pPr>
            <w:r>
              <w:rPr>
                <w:rFonts w:ascii="Arial" w:cs="Arial" w:eastAsia="Arial" w:hAnsi="Arial"/>
                <w:sz w:val="16"/>
                <w:szCs w:val="16"/>
                <w:color w:val="3E3935"/>
              </w:rPr>
              <w:t>Only Fixed Pay Element</w:t>
            </w:r>
          </w:p>
        </w:tc>
        <w:tc>
          <w:tcPr>
            <w:tcW w:w="1760" w:type="dxa"/>
            <w:vAlign w:val="bottom"/>
          </w:tcPr>
          <w:p>
            <w:pPr>
              <w:jc w:val="right"/>
              <w:spacing w:after="0"/>
              <w:rPr>
                <w:sz w:val="20"/>
                <w:szCs w:val="20"/>
                <w:color w:val="auto"/>
              </w:rPr>
            </w:pPr>
            <w:r>
              <w:rPr>
                <w:rFonts w:ascii="Arial" w:cs="Arial" w:eastAsia="Arial" w:hAnsi="Arial"/>
                <w:sz w:val="16"/>
                <w:szCs w:val="16"/>
                <w:color w:val="3E3935"/>
              </w:rPr>
              <w:t>$718,750</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Metrics</w:t>
            </w:r>
          </w:p>
        </w:tc>
        <w:tc>
          <w:tcPr>
            <w:tcW w:w="1760" w:type="dxa"/>
            <w:vAlign w:val="bottom"/>
          </w:tcPr>
          <w:p>
            <w:pPr>
              <w:jc w:val="right"/>
              <w:spacing w:after="0"/>
              <w:rPr>
                <w:sz w:val="20"/>
                <w:szCs w:val="20"/>
                <w:color w:val="auto"/>
              </w:rPr>
            </w:pPr>
            <w:r>
              <w:rPr>
                <w:rFonts w:ascii="Arial" w:cs="Arial" w:eastAsia="Arial" w:hAnsi="Arial"/>
                <w:sz w:val="16"/>
                <w:szCs w:val="16"/>
                <w:color w:val="3E3935"/>
              </w:rPr>
              <w:t>$—</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328"/>
        </w:trPr>
        <w:tc>
          <w:tcPr>
            <w:tcW w:w="152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420"/>
              <w:spacing w:after="0"/>
              <w:rPr>
                <w:sz w:val="20"/>
                <w:szCs w:val="20"/>
                <w:color w:val="auto"/>
              </w:rPr>
            </w:pPr>
            <w:r>
              <w:rPr>
                <w:rFonts w:ascii="Arial" w:cs="Arial" w:eastAsia="Arial" w:hAnsi="Arial"/>
                <w:sz w:val="16"/>
                <w:szCs w:val="16"/>
                <w:color w:val="3E3935"/>
              </w:rPr>
              <w:t>Performance to Metrics and Stock Price</w:t>
            </w:r>
          </w:p>
        </w:tc>
        <w:tc>
          <w:tcPr>
            <w:tcW w:w="1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$4,232,180</w:t>
            </w: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$1,221,878</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RSUs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$57,514</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71CE"/>
              </w:rPr>
              <w:t>$6,230,322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008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37" w:lineRule="exact"/>
        <w:rPr>
          <w:sz w:val="20"/>
          <w:szCs w:val="20"/>
          <w:color w:val="auto"/>
        </w:rPr>
      </w:pPr>
    </w:p>
    <w:p>
      <w:pPr>
        <w:ind w:left="440" w:hanging="273"/>
        <w:spacing w:after="0" w:line="275" w:lineRule="auto"/>
        <w:tabs>
          <w:tab w:leader="none" w:pos="440" w:val="left"/>
        </w:tabs>
        <w:numPr>
          <w:ilvl w:val="0"/>
          <w:numId w:val="111"/>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408305</wp:posOffset>
            </wp:positionV>
            <wp:extent cx="5927725" cy="1016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0071CE"/>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-5145405</wp:posOffset>
            </wp:positionV>
            <wp:extent cx="1647825" cy="47555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647825" cy="4755515"/>
                    </a:xfrm>
                    <a:prstGeom prst="rect">
                      <a:avLst/>
                    </a:prstGeom>
                    <a:noFill/>
                  </pic:spPr>
                </pic:pic>
              </a:graphicData>
            </a:graphic>
          </wp:anchor>
        </w:drawing>
      </w:r>
    </w:p>
    <w:p>
      <w:pPr>
        <w:sectPr>
          <w:pgSz w:w="11900" w:h="16838" w:orient="portrait"/>
          <w:cols w:equalWidth="0" w:num="2">
            <w:col w:w="7260" w:space="340"/>
            <w:col w:w="34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112"/>
        </w:numPr>
        <w:rPr>
          <w:rFonts w:ascii="Arial" w:cs="Arial" w:eastAsia="Arial" w:hAnsi="Arial"/>
          <w:sz w:val="21"/>
          <w:szCs w:val="21"/>
          <w:color w:val="0071CE"/>
        </w:rPr>
      </w:pPr>
      <w:r>
        <w:rPr>
          <w:rFonts w:ascii="Arial" w:cs="Arial" w:eastAsia="Arial" w:hAnsi="Arial"/>
          <w:sz w:val="25"/>
          <w:szCs w:val="25"/>
          <w:color w:val="3E3935"/>
        </w:rPr>
        <w:t>Compensation Decisions for John P. Stapleton</w:t>
      </w:r>
    </w:p>
    <w:p>
      <w:pPr>
        <w:spacing w:after="0" w:line="85" w:lineRule="exact"/>
        <w:rPr>
          <w:sz w:val="20"/>
          <w:szCs w:val="20"/>
          <w:color w:val="auto"/>
        </w:rPr>
      </w:pPr>
    </w:p>
    <w:p>
      <w:pPr>
        <w:ind w:left="240" w:right="4320"/>
        <w:spacing w:after="0" w:line="254" w:lineRule="auto"/>
        <w:rPr>
          <w:sz w:val="20"/>
          <w:szCs w:val="20"/>
          <w:color w:val="auto"/>
        </w:rPr>
      </w:pPr>
      <w:r>
        <w:rPr>
          <w:rFonts w:ascii="Arial" w:cs="Arial" w:eastAsia="Arial" w:hAnsi="Arial"/>
          <w:sz w:val="20"/>
          <w:szCs w:val="20"/>
          <w:b w:val="1"/>
          <w:bCs w:val="1"/>
          <w:color w:val="3E3935"/>
        </w:rPr>
        <w:t>Vice President and Chief Financial Officer, North America, and Former Acting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-154940</wp:posOffset>
            </wp:positionV>
            <wp:extent cx="6547485" cy="19958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547485" cy="1995805"/>
                    </a:xfrm>
                    <a:prstGeom prst="rect">
                      <a:avLst/>
                    </a:prstGeom>
                    <a:noFill/>
                  </pic:spPr>
                </pic:pic>
              </a:graphicData>
            </a:graphic>
          </wp:anchor>
        </w:drawing>
      </w:r>
    </w:p>
    <w:p>
      <w:pPr>
        <w:spacing w:after="0" w:line="71" w:lineRule="exact"/>
        <w:rPr>
          <w:sz w:val="20"/>
          <w:szCs w:val="20"/>
          <w:color w:val="auto"/>
        </w:rPr>
      </w:pPr>
    </w:p>
    <w:p>
      <w:pPr>
        <w:ind w:left="400" w:right="4080"/>
        <w:spacing w:after="0" w:line="256" w:lineRule="auto"/>
        <w:rPr>
          <w:sz w:val="20"/>
          <w:szCs w:val="20"/>
          <w:color w:val="auto"/>
        </w:rPr>
      </w:pPr>
      <w:r>
        <w:rPr>
          <w:rFonts w:ascii="Arial" w:cs="Arial" w:eastAsia="Arial" w:hAnsi="Arial"/>
          <w:sz w:val="16"/>
          <w:szCs w:val="16"/>
          <w:color w:val="3E3935"/>
        </w:rPr>
        <w:t>Mr. Stapleton served as Acting Chief Financial Officer from August 15, 2020, through November 30, 2020.</w:t>
      </w:r>
    </w:p>
    <w:p>
      <w:pPr>
        <w:spacing w:after="0" w:line="177" w:lineRule="exact"/>
        <w:rPr>
          <w:sz w:val="20"/>
          <w:szCs w:val="20"/>
          <w:color w:val="auto"/>
        </w:rPr>
      </w:pPr>
    </w:p>
    <w:p>
      <w:pPr>
        <w:jc w:val="both"/>
        <w:ind w:left="160" w:right="382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64" w:lineRule="exact"/>
        <w:rPr>
          <w:sz w:val="20"/>
          <w:szCs w:val="20"/>
          <w:color w:val="auto"/>
        </w:rPr>
      </w:pPr>
    </w:p>
    <w:p>
      <w:pPr>
        <w:jc w:val="both"/>
        <w:ind w:left="160" w:right="382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August 15, 2020, upon Mr. Stapleton’s appointment to</w:t>
      </w:r>
      <w:r>
        <w:rPr>
          <w:rFonts w:ascii="Arial" w:cs="Arial" w:eastAsia="Arial" w:hAnsi="Arial"/>
          <w:sz w:val="20"/>
          <w:szCs w:val="20"/>
          <w:b w:val="1"/>
          <w:bCs w:val="1"/>
          <w:color w:val="0071CE"/>
        </w:rPr>
        <w:t xml:space="preserve"> </w:t>
      </w:r>
      <w:r>
        <w:rPr>
          <w:rFonts w:ascii="Arial" w:cs="Arial" w:eastAsia="Arial" w:hAnsi="Arial"/>
          <w:sz w:val="20"/>
          <w:szCs w:val="20"/>
          <w:color w:val="3E3935"/>
        </w:rPr>
        <w:t>Acting Chief Financial Officer, increased base salary to $625,000.</w:t>
      </w:r>
    </w:p>
    <w:p>
      <w:pPr>
        <w:spacing w:after="0" w:line="48" w:lineRule="exact"/>
        <w:rPr>
          <w:sz w:val="20"/>
          <w:szCs w:val="20"/>
          <w:color w:val="auto"/>
        </w:rPr>
      </w:pPr>
    </w:p>
    <w:p>
      <w:pPr>
        <w:jc w:val="both"/>
        <w:ind w:left="160" w:right="3820"/>
        <w:spacing w:after="0" w:line="235"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Awarded 35 points for the 2020 STIP performance year</w:t>
      </w:r>
      <w:r>
        <w:rPr>
          <w:rFonts w:ascii="Arial" w:cs="Arial" w:eastAsia="Arial" w:hAnsi="Arial"/>
          <w:sz w:val="20"/>
          <w:szCs w:val="20"/>
          <w:b w:val="1"/>
          <w:bCs w:val="1"/>
          <w:color w:val="0071CE"/>
        </w:rPr>
        <w:t xml:space="preserve"> </w:t>
      </w:r>
      <w:r>
        <w:rPr>
          <w:rFonts w:ascii="Arial" w:cs="Arial" w:eastAsia="Arial" w:hAnsi="Arial"/>
          <w:sz w:val="20"/>
          <w:szCs w:val="20"/>
          <w:color w:val="3E3935"/>
        </w:rPr>
        <w:t>for his integral role in the position of Acting Chief Financial Officer and transitioning the duties of Executive Vice President and Chief Financial Officer from Ms. Suryadevara to Mr. Jacobson.</w:t>
      </w:r>
    </w:p>
    <w:p>
      <w:pPr>
        <w:spacing w:after="0" w:line="62" w:lineRule="exact"/>
        <w:rPr>
          <w:sz w:val="20"/>
          <w:szCs w:val="20"/>
          <w:color w:val="auto"/>
        </w:rPr>
      </w:pPr>
    </w:p>
    <w:p>
      <w:pPr>
        <w:jc w:val="both"/>
        <w:ind w:left="160" w:right="3820"/>
        <w:spacing w:after="0" w:line="235"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February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$0.9 million, consisting of 75% PSUs and 25% Stock Options. In October 2020, awarded a one-time PSU grant of $1.0 million to lead the finance organization as the Company searched for a new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-95250</wp:posOffset>
            </wp:positionV>
            <wp:extent cx="1052830" cy="23863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52830" cy="2386330"/>
                    </a:xfrm>
                    <a:prstGeom prst="rect">
                      <a:avLst/>
                    </a:prstGeom>
                    <a:noFill/>
                  </pic:spPr>
                </pic:pic>
              </a:graphicData>
            </a:graphic>
          </wp:anchor>
        </w:drawing>
      </w:r>
    </w:p>
    <w:p>
      <w:pPr>
        <w:spacing w:after="0" w:line="4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Salary Reduction RSUs </w:t>
      </w:r>
      <w:r>
        <w:rPr>
          <w:rFonts w:ascii="Arial" w:cs="Arial" w:eastAsia="Arial" w:hAnsi="Arial"/>
          <w:sz w:val="20"/>
          <w:szCs w:val="20"/>
          <w:color w:val="3E3935"/>
        </w:rPr>
        <w:t>– Received $28,163 of RSUs.</w:t>
      </w:r>
    </w:p>
    <w:p>
      <w:pPr>
        <w:spacing w:after="0" w:line="115" w:lineRule="exact"/>
        <w:rPr>
          <w:sz w:val="20"/>
          <w:szCs w:val="20"/>
          <w:color w:val="auto"/>
        </w:rPr>
      </w:pPr>
    </w:p>
    <w:p>
      <w:pPr>
        <w:jc w:val="both"/>
        <w:ind w:left="160" w:right="382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520" w:type="dxa"/>
            <w:vAlign w:val="bottom"/>
            <w:tcBorders>
              <w:top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top w:val="single" w:sz="8" w:color="00C1DE"/>
            </w:tcBorders>
          </w:tcPr>
          <w:p>
            <w:pPr>
              <w:ind w:left="420"/>
              <w:spacing w:after="0"/>
              <w:rPr>
                <w:sz w:val="20"/>
                <w:szCs w:val="20"/>
                <w:color w:val="auto"/>
              </w:rPr>
            </w:pPr>
            <w:r>
              <w:rPr>
                <w:rFonts w:ascii="Arial" w:cs="Arial" w:eastAsia="Arial" w:hAnsi="Arial"/>
                <w:sz w:val="16"/>
                <w:szCs w:val="16"/>
                <w:b w:val="1"/>
                <w:bCs w:val="1"/>
                <w:color w:val="00C1DE"/>
              </w:rPr>
              <w:t>Majority of Pay Is At-Risk</w:t>
            </w:r>
          </w:p>
        </w:tc>
        <w:tc>
          <w:tcPr>
            <w:tcW w:w="176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c>
          <w:tcPr>
            <w:tcW w:w="3820" w:type="dxa"/>
            <w:vAlign w:val="bottom"/>
          </w:tcPr>
          <w:p>
            <w:pPr>
              <w:spacing w:after="0"/>
              <w:rPr>
                <w:sz w:val="19"/>
                <w:szCs w:val="19"/>
                <w:color w:val="auto"/>
              </w:rPr>
            </w:pPr>
          </w:p>
        </w:tc>
      </w:tr>
      <w:tr>
        <w:trPr>
          <w:trHeight w:val="68"/>
        </w:trPr>
        <w:tc>
          <w:tcPr>
            <w:tcW w:w="1520" w:type="dxa"/>
            <w:vAlign w:val="bottom"/>
            <w:tcBorders>
              <w:bottom w:val="single" w:sz="8" w:color="00C1DE"/>
            </w:tcBorders>
          </w:tcPr>
          <w:p>
            <w:pPr>
              <w:spacing w:after="0"/>
              <w:rPr>
                <w:sz w:val="5"/>
                <w:szCs w:val="5"/>
                <w:color w:val="auto"/>
              </w:rPr>
            </w:pPr>
          </w:p>
        </w:tc>
        <w:tc>
          <w:tcPr>
            <w:tcW w:w="3820" w:type="dxa"/>
            <w:vAlign w:val="bottom"/>
            <w:tcBorders>
              <w:bottom w:val="single" w:sz="8" w:color="00C1DE"/>
            </w:tcBorders>
          </w:tcPr>
          <w:p>
            <w:pPr>
              <w:spacing w:after="0"/>
              <w:rPr>
                <w:sz w:val="5"/>
                <w:szCs w:val="5"/>
                <w:color w:val="auto"/>
              </w:rPr>
            </w:pPr>
          </w:p>
        </w:tc>
        <w:tc>
          <w:tcPr>
            <w:tcW w:w="1760" w:type="dxa"/>
            <w:vAlign w:val="bottom"/>
            <w:tcBorders>
              <w:bottom w:val="single" w:sz="8" w:color="00C1DE"/>
            </w:tcBorders>
          </w:tcPr>
          <w:p>
            <w:pPr>
              <w:spacing w:after="0"/>
              <w:rPr>
                <w:sz w:val="5"/>
                <w:szCs w:val="5"/>
                <w:color w:val="auto"/>
              </w:rPr>
            </w:pPr>
          </w:p>
        </w:tc>
        <w:tc>
          <w:tcPr>
            <w:tcW w:w="3820" w:type="dxa"/>
            <w:vAlign w:val="bottom"/>
          </w:tcPr>
          <w:p>
            <w:pPr>
              <w:spacing w:after="0"/>
              <w:rPr>
                <w:sz w:val="5"/>
                <w:szCs w:val="5"/>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420"/>
              <w:spacing w:after="0"/>
              <w:rPr>
                <w:sz w:val="20"/>
                <w:szCs w:val="20"/>
                <w:color w:val="auto"/>
              </w:rPr>
            </w:pPr>
            <w:r>
              <w:rPr>
                <w:rFonts w:ascii="Arial" w:cs="Arial" w:eastAsia="Arial" w:hAnsi="Arial"/>
                <w:sz w:val="16"/>
                <w:szCs w:val="16"/>
                <w:color w:val="3E3935"/>
              </w:rPr>
              <w:t>Only Fixed Pay Element</w:t>
            </w:r>
          </w:p>
        </w:tc>
        <w:tc>
          <w:tcPr>
            <w:tcW w:w="1760" w:type="dxa"/>
            <w:vAlign w:val="bottom"/>
          </w:tcPr>
          <w:p>
            <w:pPr>
              <w:jc w:val="right"/>
              <w:spacing w:after="0"/>
              <w:rPr>
                <w:sz w:val="20"/>
                <w:szCs w:val="20"/>
                <w:color w:val="auto"/>
              </w:rPr>
            </w:pPr>
            <w:r>
              <w:rPr>
                <w:rFonts w:ascii="Arial" w:cs="Arial" w:eastAsia="Arial" w:hAnsi="Arial"/>
                <w:sz w:val="16"/>
                <w:szCs w:val="16"/>
                <w:color w:val="3E3935"/>
              </w:rPr>
              <w:t>$556,320</w:t>
            </w:r>
          </w:p>
        </w:tc>
        <w:tc>
          <w:tcPr>
            <w:tcW w:w="3820" w:type="dxa"/>
            <w:vAlign w:val="bottom"/>
          </w:tcPr>
          <w:p>
            <w:pPr>
              <w:spacing w:after="0"/>
              <w:rPr>
                <w:sz w:val="22"/>
                <w:szCs w:val="22"/>
                <w:color w:val="auto"/>
              </w:rPr>
            </w:pP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c>
          <w:tcPr>
            <w:tcW w:w="3820" w:type="dxa"/>
            <w:vAlign w:val="bottom"/>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Metrics</w:t>
            </w:r>
          </w:p>
        </w:tc>
        <w:tc>
          <w:tcPr>
            <w:tcW w:w="1760" w:type="dxa"/>
            <w:vAlign w:val="bottom"/>
          </w:tcPr>
          <w:p>
            <w:pPr>
              <w:jc w:val="right"/>
              <w:spacing w:after="0"/>
              <w:rPr>
                <w:sz w:val="20"/>
                <w:szCs w:val="20"/>
                <w:color w:val="auto"/>
              </w:rPr>
            </w:pPr>
            <w:r>
              <w:rPr>
                <w:rFonts w:ascii="Arial" w:cs="Arial" w:eastAsia="Arial" w:hAnsi="Arial"/>
                <w:sz w:val="16"/>
                <w:szCs w:val="16"/>
                <w:color w:val="3E3935"/>
              </w:rPr>
              <w:t>$742,200</w:t>
            </w:r>
          </w:p>
        </w:tc>
        <w:tc>
          <w:tcPr>
            <w:tcW w:w="3820" w:type="dxa"/>
            <w:vAlign w:val="bottom"/>
          </w:tcPr>
          <w:p>
            <w:pPr>
              <w:spacing w:after="0"/>
              <w:rPr>
                <w:sz w:val="22"/>
                <w:szCs w:val="22"/>
                <w:color w:val="auto"/>
              </w:rPr>
            </w:pP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c>
          <w:tcPr>
            <w:tcW w:w="3820" w:type="dxa"/>
            <w:vAlign w:val="bottom"/>
          </w:tcPr>
          <w:p>
            <w:pPr>
              <w:spacing w:after="0"/>
              <w:rPr>
                <w:sz w:val="6"/>
                <w:szCs w:val="6"/>
                <w:color w:val="auto"/>
              </w:rPr>
            </w:pPr>
          </w:p>
        </w:tc>
      </w:tr>
      <w:tr>
        <w:trPr>
          <w:trHeight w:val="328"/>
        </w:trPr>
        <w:tc>
          <w:tcPr>
            <w:tcW w:w="152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420"/>
              <w:spacing w:after="0"/>
              <w:rPr>
                <w:sz w:val="20"/>
                <w:szCs w:val="20"/>
                <w:color w:val="auto"/>
              </w:rPr>
            </w:pPr>
            <w:r>
              <w:rPr>
                <w:rFonts w:ascii="Arial" w:cs="Arial" w:eastAsia="Arial" w:hAnsi="Arial"/>
                <w:sz w:val="16"/>
                <w:szCs w:val="16"/>
                <w:color w:val="3E3935"/>
              </w:rPr>
              <w:t>Performance to Metrics and Stock Price</w:t>
            </w:r>
          </w:p>
        </w:tc>
        <w:tc>
          <w:tcPr>
            <w:tcW w:w="1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$1,899,343</w:t>
            </w:r>
          </w:p>
        </w:tc>
        <w:tc>
          <w:tcPr>
            <w:tcW w:w="3820" w:type="dxa"/>
            <w:vAlign w:val="bottom"/>
          </w:tcPr>
          <w:p>
            <w:pPr>
              <w:spacing w:after="0"/>
              <w:rPr>
                <w:sz w:val="24"/>
                <w:szCs w:val="24"/>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$225,001</w:t>
            </w:r>
          </w:p>
        </w:tc>
        <w:tc>
          <w:tcPr>
            <w:tcW w:w="3820" w:type="dxa"/>
            <w:vAlign w:val="bottom"/>
          </w:tcPr>
          <w:p>
            <w:pPr>
              <w:spacing w:after="0"/>
              <w:rPr>
                <w:sz w:val="22"/>
                <w:szCs w:val="22"/>
                <w:color w:val="auto"/>
              </w:rPr>
            </w:pP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c>
          <w:tcPr>
            <w:tcW w:w="3820" w:type="dxa"/>
            <w:vAlign w:val="bottom"/>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RSUs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$28,163</w:t>
            </w:r>
          </w:p>
        </w:tc>
        <w:tc>
          <w:tcPr>
            <w:tcW w:w="3820" w:type="dxa"/>
            <w:vAlign w:val="bottom"/>
          </w:tcPr>
          <w:p>
            <w:pPr>
              <w:spacing w:after="0"/>
              <w:rPr>
                <w:sz w:val="22"/>
                <w:szCs w:val="22"/>
                <w:color w:val="auto"/>
              </w:rPr>
            </w:pP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c>
          <w:tcPr>
            <w:tcW w:w="3820" w:type="dxa"/>
            <w:vAlign w:val="bottom"/>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71CE"/>
              </w:rPr>
              <w:t>$3,451,027</w:t>
            </w:r>
          </w:p>
        </w:tc>
        <w:tc>
          <w:tcPr>
            <w:tcW w:w="3820" w:type="dxa"/>
            <w:vAlign w:val="bottom"/>
          </w:tcPr>
          <w:p>
            <w:pPr>
              <w:spacing w:after="0"/>
              <w:rPr>
                <w:sz w:val="22"/>
                <w:szCs w:val="22"/>
                <w:color w:val="auto"/>
              </w:rPr>
            </w:pPr>
          </w:p>
        </w:tc>
      </w:tr>
      <w:tr>
        <w:trPr>
          <w:trHeight w:val="72"/>
        </w:trPr>
        <w:tc>
          <w:tcPr>
            <w:tcW w:w="7100" w:type="dxa"/>
            <w:vAlign w:val="bottom"/>
            <w:tcBorders>
              <w:bottom w:val="single" w:sz="8" w:color="0071CE"/>
            </w:tcBorders>
            <w:gridSpan w:val="3"/>
          </w:tcPr>
          <w:p>
            <w:pPr>
              <w:spacing w:after="0"/>
              <w:rPr>
                <w:sz w:val="6"/>
                <w:szCs w:val="6"/>
                <w:color w:val="auto"/>
              </w:rPr>
            </w:pPr>
          </w:p>
        </w:tc>
        <w:tc>
          <w:tcPr>
            <w:tcW w:w="3820" w:type="dxa"/>
            <w:vAlign w:val="bottom"/>
          </w:tcPr>
          <w:p>
            <w:pPr>
              <w:spacing w:after="0"/>
              <w:rPr>
                <w:sz w:val="6"/>
                <w:szCs w:val="6"/>
                <w:color w:val="auto"/>
              </w:rPr>
            </w:pPr>
          </w:p>
        </w:tc>
      </w:tr>
      <w:tr>
        <w:trPr>
          <w:trHeight w:val="225"/>
        </w:trPr>
        <w:tc>
          <w:tcPr>
            <w:tcW w:w="7100" w:type="dxa"/>
            <w:vAlign w:val="bottom"/>
            <w:gridSpan w:val="3"/>
          </w:tcPr>
          <w:p>
            <w:pPr>
              <w:spacing w:after="0"/>
              <w:rPr>
                <w:sz w:val="20"/>
                <w:szCs w:val="20"/>
                <w:color w:val="auto"/>
              </w:rPr>
            </w:pPr>
            <w:r>
              <w:rPr>
                <w:rFonts w:ascii="Arial" w:cs="Arial" w:eastAsia="Arial" w:hAnsi="Arial"/>
                <w:sz w:val="14"/>
                <w:szCs w:val="14"/>
                <w:i w:val="1"/>
                <w:iCs w:val="1"/>
                <w:color w:val="3E3935"/>
              </w:rPr>
              <w:t>(1)  Value reflects grant date fair value at target performance for Relative ROIC-adjusted awards and reflects</w:t>
            </w:r>
          </w:p>
        </w:tc>
        <w:tc>
          <w:tcPr>
            <w:tcW w:w="3820" w:type="dxa"/>
            <w:vAlign w:val="bottom"/>
          </w:tcPr>
          <w:p>
            <w:pPr>
              <w:spacing w:after="0"/>
              <w:rPr>
                <w:sz w:val="19"/>
                <w:szCs w:val="19"/>
                <w:color w:val="auto"/>
              </w:rPr>
            </w:pPr>
          </w:p>
        </w:tc>
      </w:tr>
      <w:tr>
        <w:trPr>
          <w:trHeight w:val="160"/>
        </w:trPr>
        <w:tc>
          <w:tcPr>
            <w:tcW w:w="7100" w:type="dxa"/>
            <w:vAlign w:val="bottom"/>
            <w:gridSpan w:val="3"/>
          </w:tcPr>
          <w:p>
            <w:pPr>
              <w:ind w:left="280"/>
              <w:spacing w:after="0"/>
              <w:rPr>
                <w:sz w:val="20"/>
                <w:szCs w:val="20"/>
                <w:color w:val="auto"/>
              </w:rPr>
            </w:pPr>
            <w:r>
              <w:rPr>
                <w:rFonts w:ascii="Arial" w:cs="Arial" w:eastAsia="Arial" w:hAnsi="Arial"/>
                <w:sz w:val="14"/>
                <w:szCs w:val="14"/>
                <w:i w:val="1"/>
                <w:iCs w:val="1"/>
                <w:color w:val="3E3935"/>
              </w:rPr>
              <w:t>the accounting value based on the results from the Monte Carlo analysis for Relative TSR awards.</w:t>
            </w:r>
          </w:p>
        </w:tc>
        <w:tc>
          <w:tcPr>
            <w:tcW w:w="3820" w:type="dxa"/>
            <w:vAlign w:val="bottom"/>
          </w:tcPr>
          <w:p>
            <w:pPr>
              <w:ind w:left="340"/>
              <w:spacing w:after="0"/>
              <w:rPr>
                <w:sz w:val="20"/>
                <w:szCs w:val="20"/>
                <w:color w:val="auto"/>
              </w:rPr>
            </w:pPr>
            <w:r>
              <w:rPr>
                <w:rFonts w:ascii="Arial" w:cs="Arial" w:eastAsia="Arial" w:hAnsi="Arial"/>
                <w:sz w:val="14"/>
                <w:szCs w:val="14"/>
                <w:i w:val="1"/>
                <w:iCs w:val="1"/>
                <w:color w:val="3E3935"/>
              </w:rPr>
              <w:t>Awarded Value reflects the amount included in the</w:t>
            </w:r>
          </w:p>
        </w:tc>
      </w:tr>
      <w:tr>
        <w:trPr>
          <w:trHeight w:val="160"/>
        </w:trPr>
        <w:tc>
          <w:tcPr>
            <w:tcW w:w="15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20" w:type="dxa"/>
            <w:vAlign w:val="bottom"/>
          </w:tcPr>
          <w:p>
            <w:pPr>
              <w:ind w:left="340"/>
              <w:spacing w:after="0"/>
              <w:rPr>
                <w:sz w:val="20"/>
                <w:szCs w:val="20"/>
                <w:color w:val="auto"/>
              </w:rPr>
            </w:pPr>
            <w:r>
              <w:rPr>
                <w:rFonts w:ascii="Arial" w:cs="Arial" w:eastAsia="Arial" w:hAnsi="Arial"/>
                <w:sz w:val="14"/>
                <w:szCs w:val="14"/>
                <w:i w:val="1"/>
                <w:iCs w:val="1"/>
                <w:color w:val="3E3935"/>
              </w:rPr>
              <w:t>Summary Compensation Table, excluding change in</w:t>
            </w:r>
          </w:p>
        </w:tc>
      </w:tr>
      <w:tr>
        <w:trPr>
          <w:trHeight w:val="185"/>
        </w:trPr>
        <w:tc>
          <w:tcPr>
            <w:tcW w:w="15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20" w:type="dxa"/>
            <w:vAlign w:val="bottom"/>
          </w:tcPr>
          <w:p>
            <w:pPr>
              <w:ind w:left="340"/>
              <w:spacing w:after="0"/>
              <w:rPr>
                <w:sz w:val="20"/>
                <w:szCs w:val="20"/>
                <w:color w:val="auto"/>
              </w:rPr>
            </w:pPr>
            <w:r>
              <w:rPr>
                <w:rFonts w:ascii="Arial" w:cs="Arial" w:eastAsia="Arial" w:hAnsi="Arial"/>
                <w:sz w:val="14"/>
                <w:szCs w:val="14"/>
                <w:i w:val="1"/>
                <w:iCs w:val="1"/>
                <w:color w:val="3E3935"/>
              </w:rPr>
              <w:t>pension value and all other compensation.</w:t>
            </w:r>
          </w:p>
        </w:tc>
      </w:tr>
      <w:tr>
        <w:trPr>
          <w:trHeight w:val="455"/>
        </w:trPr>
        <w:tc>
          <w:tcPr>
            <w:tcW w:w="1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20" w:type="dxa"/>
            <w:vAlign w:val="bottom"/>
          </w:tcPr>
          <w:p>
            <w:pPr>
              <w:jc w:val="right"/>
              <w:ind w:right="249"/>
              <w:spacing w:after="0"/>
              <w:rPr>
                <w:sz w:val="20"/>
                <w:szCs w:val="20"/>
                <w:color w:val="auto"/>
              </w:rPr>
            </w:pPr>
            <w:r>
              <w:rPr>
                <w:rFonts w:ascii="Arial" w:cs="Arial" w:eastAsia="Arial" w:hAnsi="Arial"/>
                <w:sz w:val="14"/>
                <w:szCs w:val="14"/>
                <w:color w:val="0071CE"/>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-111125</wp:posOffset>
            </wp:positionV>
            <wp:extent cx="5927725" cy="1016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600" w:hanging="433"/>
        <w:spacing w:after="0"/>
        <w:tabs>
          <w:tab w:leader="none" w:pos="600" w:val="left"/>
        </w:tabs>
        <w:numPr>
          <w:ilvl w:val="0"/>
          <w:numId w:val="113"/>
        </w:numPr>
        <w:rPr>
          <w:rFonts w:ascii="Arial" w:cs="Arial" w:eastAsia="Arial" w:hAnsi="Arial"/>
          <w:sz w:val="21"/>
          <w:szCs w:val="21"/>
          <w:color w:val="0071CE"/>
        </w:rPr>
      </w:pPr>
      <w:r>
        <w:rPr>
          <w:rFonts w:ascii="Arial" w:cs="Arial" w:eastAsia="Arial" w:hAnsi="Arial"/>
          <w:sz w:val="25"/>
          <w:szCs w:val="25"/>
          <w:color w:val="3E3935"/>
        </w:rPr>
        <w:t>Compensation Decisions for Barry L. Engle II</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3E3935"/>
        </w:rPr>
        <w:t>Former 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00880" cy="916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500880" cy="916940"/>
                    </a:xfrm>
                    <a:prstGeom prst="rect">
                      <a:avLst/>
                    </a:prstGeom>
                    <a:noFill/>
                  </pic:spPr>
                </pic:pic>
              </a:graphicData>
            </a:graphic>
          </wp:anchor>
        </w:drawing>
      </w:r>
    </w:p>
    <w:p>
      <w:pPr>
        <w:spacing w:after="0" w:line="114" w:lineRule="exact"/>
        <w:rPr>
          <w:sz w:val="20"/>
          <w:szCs w:val="20"/>
          <w:color w:val="auto"/>
        </w:rPr>
      </w:pPr>
    </w:p>
    <w:p>
      <w:pPr>
        <w:jc w:val="both"/>
        <w:ind w:left="400" w:right="240"/>
        <w:spacing w:after="0" w:line="246" w:lineRule="auto"/>
        <w:rPr>
          <w:sz w:val="20"/>
          <w:szCs w:val="20"/>
          <w:color w:val="auto"/>
        </w:rPr>
      </w:pPr>
      <w:r>
        <w:rPr>
          <w:rFonts w:ascii="Arial" w:cs="Arial" w:eastAsia="Arial" w:hAnsi="Arial"/>
          <w:sz w:val="16"/>
          <w:szCs w:val="16"/>
          <w:color w:val="3E3935"/>
        </w:rPr>
        <w:t>On July 6, 2020, the Company determined that Mr. Engle would leave his position as Executive Vice President and President, North America, and support the transition of his duties and responsibilities to Mr. Carlisle. The Company and Mr. Engle entered into a separation agreement on September 1, 2020, as a qualified termination without cause under the terms of the Executive Severance Program. Mr. Engle is subject to the terms of a one-year non-compete agreement and other standard covenants. For additional details, see page 79 of this Proxy Statement.</w:t>
      </w:r>
    </w:p>
    <w:p>
      <w:pPr>
        <w:spacing w:after="0" w:line="186"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made the following pay decisions based on performance, competitive market data, and feedback from its independent compensation consultant and management:</w:t>
      </w:r>
    </w:p>
    <w:p>
      <w:pPr>
        <w:spacing w:after="0" w:line="6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Base Salary </w:t>
      </w:r>
      <w:r>
        <w:rPr>
          <w:rFonts w:ascii="Arial" w:cs="Arial" w:eastAsia="Arial" w:hAnsi="Arial"/>
          <w:sz w:val="20"/>
          <w:szCs w:val="20"/>
          <w:color w:val="3E3935"/>
        </w:rPr>
        <w:t>– Effective January 1, 2020, increased base salary from $800,000 to</w:t>
      </w:r>
      <w:r>
        <w:rPr>
          <w:rFonts w:ascii="Arial" w:cs="Arial" w:eastAsia="Arial" w:hAnsi="Arial"/>
          <w:sz w:val="20"/>
          <w:szCs w:val="20"/>
          <w:b w:val="1"/>
          <w:bCs w:val="1"/>
          <w:color w:val="0071CE"/>
        </w:rPr>
        <w:t xml:space="preserve"> </w:t>
      </w:r>
      <w:r>
        <w:rPr>
          <w:rFonts w:ascii="Arial" w:cs="Arial" w:eastAsia="Arial" w:hAnsi="Arial"/>
          <w:sz w:val="20"/>
          <w:szCs w:val="20"/>
          <w:color w:val="3E3935"/>
        </w:rPr>
        <w:t>$850,000.</w:t>
      </w:r>
    </w:p>
    <w:p>
      <w:pPr>
        <w:spacing w:after="0" w:line="4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Short-Term Incentive </w:t>
      </w:r>
      <w:r>
        <w:rPr>
          <w:rFonts w:ascii="Arial" w:cs="Arial" w:eastAsia="Arial" w:hAnsi="Arial"/>
          <w:sz w:val="20"/>
          <w:szCs w:val="20"/>
          <w:color w:val="3E3935"/>
        </w:rPr>
        <w:t>– Mr. Engle did not receive a payout for the 2020 STIP</w:t>
      </w:r>
      <w:r>
        <w:rPr>
          <w:rFonts w:ascii="Arial" w:cs="Arial" w:eastAsia="Arial" w:hAnsi="Arial"/>
          <w:sz w:val="20"/>
          <w:szCs w:val="20"/>
          <w:b w:val="1"/>
          <w:bCs w:val="1"/>
          <w:color w:val="0071CE"/>
        </w:rPr>
        <w:t xml:space="preserve"> </w:t>
      </w:r>
      <w:r>
        <w:rPr>
          <w:rFonts w:ascii="Arial" w:cs="Arial" w:eastAsia="Arial" w:hAnsi="Arial"/>
          <w:sz w:val="20"/>
          <w:szCs w:val="20"/>
          <w:color w:val="3E3935"/>
        </w:rPr>
        <w:t>performance year.</w:t>
      </w:r>
    </w:p>
    <w:p>
      <w:pPr>
        <w:spacing w:after="0" w:line="4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Long-Term Incentive </w:t>
      </w:r>
      <w:r>
        <w:rPr>
          <w:rFonts w:ascii="Arial" w:cs="Arial" w:eastAsia="Arial" w:hAnsi="Arial"/>
          <w:sz w:val="20"/>
          <w:szCs w:val="20"/>
          <w:color w:val="3E3935"/>
        </w:rPr>
        <w:t>– In February 2020, awarded an annual LTIP grant of</w:t>
      </w:r>
      <w:r>
        <w:rPr>
          <w:rFonts w:ascii="Arial" w:cs="Arial" w:eastAsia="Arial" w:hAnsi="Arial"/>
          <w:sz w:val="20"/>
          <w:szCs w:val="20"/>
          <w:b w:val="1"/>
          <w:bCs w:val="1"/>
          <w:color w:val="0071CE"/>
        </w:rPr>
        <w:t xml:space="preserve"> </w:t>
      </w:r>
      <w:r>
        <w:rPr>
          <w:rFonts w:ascii="Arial" w:cs="Arial" w:eastAsia="Arial" w:hAnsi="Arial"/>
          <w:sz w:val="20"/>
          <w:szCs w:val="20"/>
          <w:color w:val="3E3935"/>
        </w:rPr>
        <w:t>$4.24 million, consisting of 75% PSUs and 25% Stock Options. The LTIP award includes an additional $0.15 million above target in recognition of 2019 performance. Mr. Engle forfeited PSUs and Stock Options in accordance with the Executive Severance Program upon his termination.</w:t>
      </w:r>
    </w:p>
    <w:p>
      <w:pPr>
        <w:spacing w:after="0" w:line="6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Salary Reduction RSUs </w:t>
      </w:r>
      <w:r>
        <w:rPr>
          <w:rFonts w:ascii="Arial" w:cs="Arial" w:eastAsia="Arial" w:hAnsi="Arial"/>
          <w:sz w:val="20"/>
          <w:szCs w:val="20"/>
          <w:color w:val="3E3935"/>
        </w:rPr>
        <w:t>– Received $42,502 of RSUs. Mr. Engle forfeited a</w:t>
      </w:r>
      <w:r>
        <w:rPr>
          <w:rFonts w:ascii="Arial" w:cs="Arial" w:eastAsia="Arial" w:hAnsi="Arial"/>
          <w:sz w:val="20"/>
          <w:szCs w:val="20"/>
          <w:b w:val="1"/>
          <w:bCs w:val="1"/>
          <w:color w:val="0071CE"/>
        </w:rPr>
        <w:t xml:space="preserve"> </w:t>
      </w:r>
      <w:r>
        <w:rPr>
          <w:rFonts w:ascii="Arial" w:cs="Arial" w:eastAsia="Arial" w:hAnsi="Arial"/>
          <w:sz w:val="20"/>
          <w:szCs w:val="20"/>
          <w:color w:val="3E3935"/>
        </w:rPr>
        <w:t>portion of the RSUs upon his termination.</w:t>
      </w:r>
    </w:p>
    <w:p>
      <w:pPr>
        <w:spacing w:after="0" w:line="72"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Total awarded compensation for 2020, including salary, STIP, and LTIP,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520" w:type="dxa"/>
            <w:vAlign w:val="bottom"/>
            <w:tcBorders>
              <w:top w:val="single" w:sz="8" w:color="00C1DE"/>
            </w:tcBorders>
          </w:tcPr>
          <w:p>
            <w:pPr>
              <w:ind w:left="100"/>
              <w:spacing w:after="0"/>
              <w:rPr>
                <w:sz w:val="20"/>
                <w:szCs w:val="20"/>
                <w:color w:val="auto"/>
              </w:rPr>
            </w:pPr>
            <w:r>
              <w:rPr>
                <w:rFonts w:ascii="Arial" w:cs="Arial" w:eastAsia="Arial" w:hAnsi="Arial"/>
                <w:sz w:val="16"/>
                <w:szCs w:val="16"/>
                <w:b w:val="1"/>
                <w:bCs w:val="1"/>
                <w:color w:val="00C1DE"/>
              </w:rPr>
              <w:t>Pay Element</w:t>
            </w:r>
          </w:p>
        </w:tc>
        <w:tc>
          <w:tcPr>
            <w:tcW w:w="3820" w:type="dxa"/>
            <w:vAlign w:val="bottom"/>
            <w:tcBorders>
              <w:top w:val="single" w:sz="8" w:color="00C1DE"/>
            </w:tcBorders>
          </w:tcPr>
          <w:p>
            <w:pPr>
              <w:ind w:left="420"/>
              <w:spacing w:after="0"/>
              <w:rPr>
                <w:sz w:val="20"/>
                <w:szCs w:val="20"/>
                <w:color w:val="auto"/>
              </w:rPr>
            </w:pPr>
            <w:r>
              <w:rPr>
                <w:rFonts w:ascii="Arial" w:cs="Arial" w:eastAsia="Arial" w:hAnsi="Arial"/>
                <w:sz w:val="16"/>
                <w:szCs w:val="16"/>
                <w:b w:val="1"/>
                <w:bCs w:val="1"/>
                <w:color w:val="00C1DE"/>
              </w:rPr>
              <w:t>Majority of Pay Is At-Risk</w:t>
            </w:r>
          </w:p>
        </w:tc>
        <w:tc>
          <w:tcPr>
            <w:tcW w:w="176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68"/>
        </w:trPr>
        <w:tc>
          <w:tcPr>
            <w:tcW w:w="1520" w:type="dxa"/>
            <w:vAlign w:val="bottom"/>
            <w:tcBorders>
              <w:bottom w:val="single" w:sz="8" w:color="00C1DE"/>
            </w:tcBorders>
          </w:tcPr>
          <w:p>
            <w:pPr>
              <w:spacing w:after="0"/>
              <w:rPr>
                <w:sz w:val="5"/>
                <w:szCs w:val="5"/>
                <w:color w:val="auto"/>
              </w:rPr>
            </w:pPr>
          </w:p>
        </w:tc>
        <w:tc>
          <w:tcPr>
            <w:tcW w:w="3820" w:type="dxa"/>
            <w:vAlign w:val="bottom"/>
            <w:tcBorders>
              <w:bottom w:val="single" w:sz="8" w:color="00C1DE"/>
            </w:tcBorders>
          </w:tcPr>
          <w:p>
            <w:pPr>
              <w:spacing w:after="0"/>
              <w:rPr>
                <w:sz w:val="5"/>
                <w:szCs w:val="5"/>
                <w:color w:val="auto"/>
              </w:rPr>
            </w:pPr>
          </w:p>
        </w:tc>
        <w:tc>
          <w:tcPr>
            <w:tcW w:w="1760" w:type="dxa"/>
            <w:vAlign w:val="bottom"/>
            <w:tcBorders>
              <w:bottom w:val="single" w:sz="8" w:color="00C1DE"/>
            </w:tcBorders>
          </w:tcPr>
          <w:p>
            <w:pPr>
              <w:spacing w:after="0"/>
              <w:rPr>
                <w:sz w:val="5"/>
                <w:szCs w:val="5"/>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Base Salary</w:t>
            </w:r>
          </w:p>
        </w:tc>
        <w:tc>
          <w:tcPr>
            <w:tcW w:w="3820" w:type="dxa"/>
            <w:vAlign w:val="bottom"/>
          </w:tcPr>
          <w:p>
            <w:pPr>
              <w:ind w:left="420"/>
              <w:spacing w:after="0"/>
              <w:rPr>
                <w:sz w:val="20"/>
                <w:szCs w:val="20"/>
                <w:color w:val="auto"/>
              </w:rPr>
            </w:pPr>
            <w:r>
              <w:rPr>
                <w:rFonts w:ascii="Arial" w:cs="Arial" w:eastAsia="Arial" w:hAnsi="Arial"/>
                <w:sz w:val="16"/>
                <w:szCs w:val="16"/>
                <w:color w:val="3E3935"/>
              </w:rPr>
              <w:t>Only Fixed Pay Element</w:t>
            </w:r>
          </w:p>
        </w:tc>
        <w:tc>
          <w:tcPr>
            <w:tcW w:w="1760" w:type="dxa"/>
            <w:vAlign w:val="bottom"/>
          </w:tcPr>
          <w:p>
            <w:pPr>
              <w:jc w:val="right"/>
              <w:spacing w:after="0"/>
              <w:rPr>
                <w:sz w:val="20"/>
                <w:szCs w:val="20"/>
                <w:color w:val="auto"/>
              </w:rPr>
            </w:pPr>
            <w:r>
              <w:rPr>
                <w:rFonts w:ascii="Arial" w:cs="Arial" w:eastAsia="Arial" w:hAnsi="Arial"/>
                <w:sz w:val="16"/>
                <w:szCs w:val="16"/>
                <w:color w:val="3E3935"/>
              </w:rPr>
              <w:t>$531,251</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STIP</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Metrics</w:t>
            </w:r>
          </w:p>
        </w:tc>
        <w:tc>
          <w:tcPr>
            <w:tcW w:w="1760" w:type="dxa"/>
            <w:vAlign w:val="bottom"/>
          </w:tcPr>
          <w:p>
            <w:pPr>
              <w:jc w:val="right"/>
              <w:spacing w:after="0"/>
              <w:rPr>
                <w:sz w:val="20"/>
                <w:szCs w:val="20"/>
                <w:color w:val="auto"/>
              </w:rPr>
            </w:pPr>
            <w:r>
              <w:rPr>
                <w:rFonts w:ascii="Arial" w:cs="Arial" w:eastAsia="Arial" w:hAnsi="Arial"/>
                <w:sz w:val="16"/>
                <w:szCs w:val="16"/>
                <w:color w:val="3E3935"/>
              </w:rPr>
              <w:t>$—</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328"/>
        </w:trPr>
        <w:tc>
          <w:tcPr>
            <w:tcW w:w="152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PSUs</w:t>
            </w:r>
            <w:r>
              <w:rPr>
                <w:rFonts w:ascii="Arial" w:cs="Arial" w:eastAsia="Arial" w:hAnsi="Arial"/>
                <w:sz w:val="27"/>
                <w:szCs w:val="27"/>
                <w:color w:val="3E3935"/>
                <w:vertAlign w:val="superscript"/>
              </w:rPr>
              <w:t>(1)</w:t>
            </w:r>
          </w:p>
        </w:tc>
        <w:tc>
          <w:tcPr>
            <w:tcW w:w="3820" w:type="dxa"/>
            <w:vAlign w:val="bottom"/>
            <w:tcBorders>
              <w:bottom w:val="single" w:sz="8" w:color="3E3935"/>
            </w:tcBorders>
          </w:tcPr>
          <w:p>
            <w:pPr>
              <w:ind w:left="420"/>
              <w:spacing w:after="0"/>
              <w:rPr>
                <w:sz w:val="20"/>
                <w:szCs w:val="20"/>
                <w:color w:val="auto"/>
              </w:rPr>
            </w:pPr>
            <w:r>
              <w:rPr>
                <w:rFonts w:ascii="Arial" w:cs="Arial" w:eastAsia="Arial" w:hAnsi="Arial"/>
                <w:sz w:val="16"/>
                <w:szCs w:val="16"/>
                <w:color w:val="3E3935"/>
              </w:rPr>
              <w:t>Performance to Metrics and Stock Price</w:t>
            </w:r>
          </w:p>
        </w:tc>
        <w:tc>
          <w:tcPr>
            <w:tcW w:w="1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$3,669,312</w:t>
            </w: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Stock Options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$1,059,378</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color w:val="3E3935"/>
              </w:rPr>
              <w:t>RSUs</w:t>
            </w:r>
          </w:p>
        </w:tc>
        <w:tc>
          <w:tcPr>
            <w:tcW w:w="382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60" w:type="dxa"/>
            <w:vAlign w:val="bottom"/>
          </w:tcPr>
          <w:p>
            <w:pPr>
              <w:jc w:val="right"/>
              <w:spacing w:after="0"/>
              <w:rPr>
                <w:sz w:val="20"/>
                <w:szCs w:val="20"/>
                <w:color w:val="auto"/>
              </w:rPr>
            </w:pPr>
            <w:r>
              <w:rPr>
                <w:rFonts w:ascii="Arial" w:cs="Arial" w:eastAsia="Arial" w:hAnsi="Arial"/>
                <w:sz w:val="16"/>
                <w:szCs w:val="16"/>
                <w:color w:val="3E3935"/>
              </w:rPr>
              <w:t>$42,502</w:t>
            </w:r>
          </w:p>
        </w:tc>
      </w:tr>
      <w:tr>
        <w:trPr>
          <w:trHeight w:val="72"/>
        </w:trPr>
        <w:tc>
          <w:tcPr>
            <w:tcW w:w="1520" w:type="dxa"/>
            <w:vAlign w:val="bottom"/>
            <w:tcBorders>
              <w:bottom w:val="single" w:sz="8" w:color="3E3935"/>
            </w:tcBorders>
          </w:tcPr>
          <w:p>
            <w:pPr>
              <w:spacing w:after="0"/>
              <w:rPr>
                <w:sz w:val="6"/>
                <w:szCs w:val="6"/>
                <w:color w:val="auto"/>
              </w:rPr>
            </w:pPr>
          </w:p>
        </w:tc>
        <w:tc>
          <w:tcPr>
            <w:tcW w:w="3820" w:type="dxa"/>
            <w:vAlign w:val="bottom"/>
            <w:tcBorders>
              <w:bottom w:val="single" w:sz="8" w:color="3E3935"/>
            </w:tcBorders>
          </w:tcPr>
          <w:p>
            <w:pPr>
              <w:spacing w:after="0"/>
              <w:rPr>
                <w:sz w:val="6"/>
                <w:szCs w:val="6"/>
                <w:color w:val="auto"/>
              </w:rPr>
            </w:pPr>
          </w:p>
        </w:tc>
        <w:tc>
          <w:tcPr>
            <w:tcW w:w="1760" w:type="dxa"/>
            <w:vAlign w:val="bottom"/>
            <w:tcBorders>
              <w:bottom w:val="single" w:sz="8" w:color="3E3935"/>
            </w:tcBorders>
          </w:tcPr>
          <w:p>
            <w:pPr>
              <w:spacing w:after="0"/>
              <w:rPr>
                <w:sz w:val="6"/>
                <w:szCs w:val="6"/>
                <w:color w:val="auto"/>
              </w:rPr>
            </w:pPr>
          </w:p>
        </w:tc>
      </w:tr>
      <w:tr>
        <w:trPr>
          <w:trHeight w:val="255"/>
        </w:trPr>
        <w:tc>
          <w:tcPr>
            <w:tcW w:w="1520" w:type="dxa"/>
            <w:vAlign w:val="bottom"/>
          </w:tcPr>
          <w:p>
            <w:pPr>
              <w:ind w:left="100"/>
              <w:spacing w:after="0"/>
              <w:rPr>
                <w:sz w:val="20"/>
                <w:szCs w:val="20"/>
                <w:color w:val="auto"/>
              </w:rPr>
            </w:pPr>
            <w:r>
              <w:rPr>
                <w:rFonts w:ascii="Arial" w:cs="Arial" w:eastAsia="Arial" w:hAnsi="Arial"/>
                <w:sz w:val="16"/>
                <w:szCs w:val="16"/>
                <w:b w:val="1"/>
                <w:bCs w:val="1"/>
                <w:color w:val="0071CE"/>
              </w:rPr>
              <w:t>TOTAL</w:t>
            </w:r>
          </w:p>
        </w:tc>
        <w:tc>
          <w:tcPr>
            <w:tcW w:w="38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0071CE"/>
              </w:rPr>
              <w:t>$5,302,443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008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37" w:lineRule="exact"/>
        <w:rPr>
          <w:sz w:val="20"/>
          <w:szCs w:val="20"/>
          <w:color w:val="auto"/>
        </w:rPr>
      </w:pPr>
    </w:p>
    <w:p>
      <w:pPr>
        <w:ind w:left="440" w:hanging="273"/>
        <w:spacing w:after="0" w:line="275" w:lineRule="auto"/>
        <w:tabs>
          <w:tab w:leader="none" w:pos="440" w:val="left"/>
        </w:tabs>
        <w:numPr>
          <w:ilvl w:val="0"/>
          <w:numId w:val="114"/>
        </w:numPr>
        <w:rPr>
          <w:rFonts w:ascii="Arial" w:cs="Arial" w:eastAsia="Arial" w:hAnsi="Arial"/>
          <w:sz w:val="14"/>
          <w:szCs w:val="14"/>
          <w:i w:val="1"/>
          <w:iCs w:val="1"/>
          <w:color w:val="3E3935"/>
        </w:rPr>
      </w:pPr>
      <w:r>
        <w:rPr>
          <w:rFonts w:ascii="Arial" w:cs="Arial" w:eastAsia="Arial" w:hAnsi="Arial"/>
          <w:sz w:val="14"/>
          <w:szCs w:val="14"/>
          <w:i w:val="1"/>
          <w:iCs w:val="1"/>
          <w:color w:val="3E3935"/>
        </w:rPr>
        <w:t>Value reflects grant date fair value at target performance for Relative ROIC-adjusted awards and reflects the accounting value based on the results from the Monte Carlo analysis for Relative TSR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162560</wp:posOffset>
            </wp:positionV>
            <wp:extent cx="5927725" cy="1016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40" w:lineRule="exact"/>
        <w:rPr>
          <w:sz w:val="20"/>
          <w:szCs w:val="20"/>
          <w:color w:val="auto"/>
        </w:rPr>
      </w:pPr>
    </w:p>
    <w:p>
      <w:pPr>
        <w:jc w:val="center"/>
        <w:ind w:right="6780"/>
        <w:spacing w:after="0"/>
        <w:rPr>
          <w:sz w:val="20"/>
          <w:szCs w:val="20"/>
          <w:color w:val="auto"/>
        </w:rPr>
      </w:pPr>
      <w:r>
        <w:rPr>
          <w:rFonts w:ascii="Arial" w:cs="Arial" w:eastAsia="Arial" w:hAnsi="Arial"/>
          <w:sz w:val="14"/>
          <w:szCs w:val="14"/>
          <w:color w:val="0071CE"/>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-5366385</wp:posOffset>
            </wp:positionV>
            <wp:extent cx="1664335" cy="20548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664335" cy="205486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-2844165</wp:posOffset>
            </wp:positionV>
            <wp:extent cx="1052830" cy="23863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52830" cy="2386330"/>
                    </a:xfrm>
                    <a:prstGeom prst="rect">
                      <a:avLst/>
                    </a:prstGeom>
                    <a:noFill/>
                  </pic:spPr>
                </pic:pic>
              </a:graphicData>
            </a:graphic>
          </wp:anchor>
        </w:drawing>
      </w:r>
    </w:p>
    <w:p>
      <w:pPr>
        <w:sectPr>
          <w:pgSz w:w="11900" w:h="16838" w:orient="portrait"/>
          <w:cols w:equalWidth="0" w:num="2">
            <w:col w:w="7260" w:space="340"/>
            <w:col w:w="34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Policies and Governance Practices</w:t>
      </w:r>
    </w:p>
    <w:p>
      <w:pPr>
        <w:spacing w:after="0" w:line="155" w:lineRule="exact"/>
        <w:rPr>
          <w:sz w:val="20"/>
          <w:szCs w:val="20"/>
          <w:color w:val="auto"/>
        </w:rPr>
      </w:pPr>
    </w:p>
    <w:p>
      <w:pPr>
        <w:ind w:left="700" w:hanging="533"/>
        <w:spacing w:after="0"/>
        <w:tabs>
          <w:tab w:leader="none" w:pos="700" w:val="left"/>
        </w:tabs>
        <w:numPr>
          <w:ilvl w:val="0"/>
          <w:numId w:val="115"/>
        </w:numPr>
        <w:rPr>
          <w:rFonts w:ascii="Arial" w:cs="Arial" w:eastAsia="Arial" w:hAnsi="Arial"/>
          <w:sz w:val="21"/>
          <w:szCs w:val="21"/>
          <w:color w:val="0071CE"/>
        </w:rPr>
      </w:pPr>
      <w:r>
        <w:rPr>
          <w:rFonts w:ascii="Arial" w:cs="Arial" w:eastAsia="Arial" w:hAnsi="Arial"/>
          <w:sz w:val="25"/>
          <w:szCs w:val="25"/>
          <w:color w:val="3E3935"/>
        </w:rPr>
        <w:t>Stock Ownership Requirements</w:t>
      </w:r>
    </w:p>
    <w:p>
      <w:pPr>
        <w:spacing w:after="0" w:line="149"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Company requires our senior leaders to own GM stock to align their interests with those of our shareholders. Our stock ownership requirements:</w:t>
      </w:r>
    </w:p>
    <w:p>
      <w:pPr>
        <w:spacing w:after="0" w:line="60" w:lineRule="exact"/>
        <w:rPr>
          <w:sz w:val="20"/>
          <w:szCs w:val="20"/>
          <w:color w:val="auto"/>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Cover all senior leaders</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Set five years as the time frame to meet ownership requirements</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Require senior leaders to hold vested shares to maintain ownership requirements</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Establish a multiple of each executive’s base salary on the date first covered</w:t>
      </w:r>
    </w:p>
    <w:p>
      <w:pPr>
        <w:spacing w:after="0" w:line="64" w:lineRule="exact"/>
        <w:rPr>
          <w:rFonts w:ascii="Arial" w:cs="Arial" w:eastAsia="Arial" w:hAnsi="Arial"/>
          <w:sz w:val="18"/>
          <w:szCs w:val="18"/>
          <w:color w:val="00C1DE"/>
        </w:rPr>
      </w:pPr>
    </w:p>
    <w:p>
      <w:pPr>
        <w:ind w:left="380" w:hanging="213"/>
        <w:spacing w:after="0" w:line="234" w:lineRule="auto"/>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Make it possible to meet ownership requirements by owning either a multiple of base salary in shares or a required number of shares</w:t>
      </w:r>
    </w:p>
    <w:p>
      <w:pPr>
        <w:spacing w:after="0" w:line="59" w:lineRule="exact"/>
        <w:rPr>
          <w:rFonts w:ascii="Arial" w:cs="Arial" w:eastAsia="Arial" w:hAnsi="Arial"/>
          <w:sz w:val="18"/>
          <w:szCs w:val="18"/>
          <w:color w:val="00C1DE"/>
        </w:rPr>
      </w:pPr>
    </w:p>
    <w:p>
      <w:pPr>
        <w:ind w:left="380" w:hanging="213"/>
        <w:spacing w:after="0"/>
        <w:tabs>
          <w:tab w:leader="none" w:pos="380" w:val="left"/>
        </w:tabs>
        <w:numPr>
          <w:ilvl w:val="0"/>
          <w:numId w:val="116"/>
        </w:numPr>
        <w:rPr>
          <w:rFonts w:ascii="Arial" w:cs="Arial" w:eastAsia="Arial" w:hAnsi="Arial"/>
          <w:sz w:val="18"/>
          <w:szCs w:val="18"/>
          <w:color w:val="00C1DE"/>
        </w:rPr>
      </w:pPr>
      <w:r>
        <w:rPr>
          <w:rFonts w:ascii="Arial" w:cs="Arial" w:eastAsia="Arial" w:hAnsi="Arial"/>
          <w:sz w:val="20"/>
          <w:szCs w:val="20"/>
          <w:color w:val="3E3935"/>
        </w:rPr>
        <w:t>Count only actual share holdings and unvested RSUs</w:t>
      </w:r>
    </w:p>
    <w:p>
      <w:pPr>
        <w:spacing w:after="0" w:line="131"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table below shows the stock ownership requirement by level in the Company. As of December 31, 2020, all NEOs have met or are on track to meet stock ownership requirements by their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142240</wp:posOffset>
            </wp:positionV>
            <wp:extent cx="5137785" cy="10102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37785"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0" w:hanging="533"/>
        <w:spacing w:after="0"/>
        <w:tabs>
          <w:tab w:leader="none" w:pos="700" w:val="left"/>
        </w:tabs>
        <w:numPr>
          <w:ilvl w:val="0"/>
          <w:numId w:val="117"/>
        </w:numPr>
        <w:rPr>
          <w:rFonts w:ascii="Arial" w:cs="Arial" w:eastAsia="Arial" w:hAnsi="Arial"/>
          <w:sz w:val="21"/>
          <w:szCs w:val="21"/>
          <w:color w:val="0071CE"/>
        </w:rPr>
      </w:pPr>
      <w:r>
        <w:rPr>
          <w:rFonts w:ascii="Arial" w:cs="Arial" w:eastAsia="Arial" w:hAnsi="Arial"/>
          <w:sz w:val="25"/>
          <w:szCs w:val="25"/>
          <w:color w:val="3E3935"/>
        </w:rPr>
        <w:t>Compensation Risk Assessment</w:t>
      </w:r>
    </w:p>
    <w:p>
      <w:pPr>
        <w:spacing w:after="0" w:line="13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Compensation Committee annually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w:t>
      </w:r>
    </w:p>
    <w:p>
      <w:pPr>
        <w:spacing w:after="0" w:line="128"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annual risk review, completed on December 7, 2020, with assistance from our human resources, audit, and legal organizations, involved analyzing our current compensation programs in relation to risk. Our analysis concluded that our compensation programs include the following risk mitigation features:</w:t>
      </w:r>
    </w:p>
    <w:p>
      <w:pPr>
        <w:spacing w:after="0" w:line="10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Mix of Pay Elements </w:t>
      </w:r>
      <w:r>
        <w:rPr>
          <w:rFonts w:ascii="Arial" w:cs="Arial" w:eastAsia="Arial" w:hAnsi="Arial"/>
          <w:sz w:val="20"/>
          <w:szCs w:val="20"/>
          <w:color w:val="3E3935"/>
        </w:rPr>
        <w:t>– Base salary, STIP, PSUs, and Stock Options are included in the executive compensation program,</w:t>
      </w:r>
      <w:r>
        <w:rPr>
          <w:rFonts w:ascii="Arial" w:cs="Arial" w:eastAsia="Arial" w:hAnsi="Arial"/>
          <w:sz w:val="20"/>
          <w:szCs w:val="20"/>
          <w:b w:val="1"/>
          <w:bCs w:val="1"/>
          <w:color w:val="0071CE"/>
        </w:rPr>
        <w:t xml:space="preserve"> </w:t>
      </w:r>
      <w:r>
        <w:rPr>
          <w:rFonts w:ascii="Arial" w:cs="Arial" w:eastAsia="Arial" w:hAnsi="Arial"/>
          <w:sz w:val="20"/>
          <w:szCs w:val="20"/>
          <w:color w:val="3E3935"/>
        </w:rPr>
        <w:t>and, for 2020, Salary Reduction RSUs.</w:t>
      </w:r>
    </w:p>
    <w:p>
      <w:pPr>
        <w:spacing w:after="0" w:line="7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Short-Term and Long-Term Programs </w:t>
      </w:r>
      <w:r>
        <w:rPr>
          <w:rFonts w:ascii="Arial" w:cs="Arial" w:eastAsia="Arial" w:hAnsi="Arial"/>
          <w:sz w:val="20"/>
          <w:szCs w:val="20"/>
          <w:color w:val="3E3935"/>
        </w:rPr>
        <w:t>– The mix of our short-term and long-term compensation programs appropriately</w:t>
      </w:r>
      <w:r>
        <w:rPr>
          <w:rFonts w:ascii="Arial" w:cs="Arial" w:eastAsia="Arial" w:hAnsi="Arial"/>
          <w:sz w:val="20"/>
          <w:szCs w:val="20"/>
          <w:b w:val="1"/>
          <w:bCs w:val="1"/>
          <w:color w:val="0071CE"/>
        </w:rPr>
        <w:t xml:space="preserve"> </w:t>
      </w:r>
      <w:r>
        <w:rPr>
          <w:rFonts w:ascii="Arial" w:cs="Arial" w:eastAsia="Arial" w:hAnsi="Arial"/>
          <w:sz w:val="20"/>
          <w:szCs w:val="20"/>
          <w:color w:val="3E3935"/>
        </w:rPr>
        <w:t>reward employees while balancing risk through the delayed payment of long-term awards.</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Adjustments to Compensation </w:t>
      </w:r>
      <w:r>
        <w:rPr>
          <w:rFonts w:ascii="Arial" w:cs="Arial" w:eastAsia="Arial" w:hAnsi="Arial"/>
          <w:sz w:val="20"/>
          <w:szCs w:val="20"/>
          <w:color w:val="3E3935"/>
        </w:rPr>
        <w:t>– Maximum payout caps are in place for incentive compensation, and the Compensation</w:t>
      </w:r>
      <w:r>
        <w:rPr>
          <w:rFonts w:ascii="Arial" w:cs="Arial" w:eastAsia="Arial" w:hAnsi="Arial"/>
          <w:sz w:val="20"/>
          <w:szCs w:val="20"/>
          <w:b w:val="1"/>
          <w:bCs w:val="1"/>
          <w:color w:val="0071CE"/>
        </w:rPr>
        <w:t xml:space="preserve"> </w:t>
      </w:r>
      <w:r>
        <w:rPr>
          <w:rFonts w:ascii="Arial" w:cs="Arial" w:eastAsia="Arial" w:hAnsi="Arial"/>
          <w:sz w:val="20"/>
          <w:szCs w:val="20"/>
          <w:color w:val="3E3935"/>
        </w:rPr>
        <w:t>Committee has the ability to apply negative discretion.</w:t>
      </w:r>
    </w:p>
    <w:p>
      <w:pPr>
        <w:spacing w:after="0" w:line="15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Compensation Committee Oversight </w:t>
      </w:r>
      <w:r>
        <w:rPr>
          <w:rFonts w:ascii="Arial" w:cs="Arial" w:eastAsia="Arial" w:hAnsi="Arial"/>
          <w:sz w:val="20"/>
          <w:szCs w:val="20"/>
          <w:color w:val="3E3935"/>
        </w:rPr>
        <w:t>– Our Compensation Committee reviews plan performance and approves all</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compensation programs and payouts.</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Multiple Performance Measures </w:t>
      </w:r>
      <w:r>
        <w:rPr>
          <w:rFonts w:ascii="Arial" w:cs="Arial" w:eastAsia="Arial" w:hAnsi="Arial"/>
          <w:sz w:val="20"/>
          <w:szCs w:val="20"/>
          <w:color w:val="3E3935"/>
        </w:rPr>
        <w:t>– Multiple performance measures work together to balance risk in our incentive</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compensation programs.</w:t>
      </w:r>
    </w:p>
    <w:p>
      <w:pPr>
        <w:spacing w:after="0" w:line="7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Stock Ownership Requirements </w:t>
      </w:r>
      <w:r>
        <w:rPr>
          <w:rFonts w:ascii="Arial" w:cs="Arial" w:eastAsia="Arial" w:hAnsi="Arial"/>
          <w:sz w:val="20"/>
          <w:szCs w:val="20"/>
          <w:color w:val="3E3935"/>
        </w:rPr>
        <w:t>– All senior leaders are subject to stock ownership requirements of at least 1x their salary,</w:t>
      </w:r>
      <w:r>
        <w:rPr>
          <w:rFonts w:ascii="Arial" w:cs="Arial" w:eastAsia="Arial" w:hAnsi="Arial"/>
          <w:sz w:val="20"/>
          <w:szCs w:val="20"/>
          <w:b w:val="1"/>
          <w:bCs w:val="1"/>
          <w:color w:val="0071CE"/>
        </w:rPr>
        <w:t xml:space="preserve"> </w:t>
      </w:r>
      <w:r>
        <w:rPr>
          <w:rFonts w:ascii="Arial" w:cs="Arial" w:eastAsia="Arial" w:hAnsi="Arial"/>
          <w:sz w:val="20"/>
          <w:szCs w:val="20"/>
          <w:color w:val="3E3935"/>
        </w:rPr>
        <w:t>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73660</wp:posOffset>
            </wp:positionV>
            <wp:extent cx="5927725" cy="1016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1"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65</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71CE"/>
        </w:rPr>
        <w:t xml:space="preserve">Clawback and Cancellation Provisions </w:t>
      </w:r>
      <w:r>
        <w:rPr>
          <w:rFonts w:ascii="Arial" w:cs="Arial" w:eastAsia="Arial" w:hAnsi="Arial"/>
          <w:sz w:val="20"/>
          <w:szCs w:val="20"/>
          <w:color w:val="3E3935"/>
        </w:rPr>
        <w:t>– All awards are subject to our Policy on Recoupment of Incentive Compensation,</w:t>
      </w:r>
      <w:r>
        <w:rPr>
          <w:rFonts w:ascii="Arial" w:cs="Arial" w:eastAsia="Arial" w:hAnsi="Arial"/>
          <w:sz w:val="20"/>
          <w:szCs w:val="20"/>
          <w:b w:val="1"/>
          <w:bCs w:val="1"/>
          <w:color w:val="0071CE"/>
        </w:rPr>
        <w:t xml:space="preserve"> </w:t>
      </w:r>
      <w:r>
        <w:rPr>
          <w:rFonts w:ascii="Arial" w:cs="Arial" w:eastAsia="Arial" w:hAnsi="Arial"/>
          <w:sz w:val="20"/>
          <w:szCs w:val="20"/>
          <w:color w:val="3E3935"/>
        </w:rPr>
        <w:t>as described below. In addition, cancellation provisions apply to all outstanding STIP and LTIP awards.</w:t>
      </w:r>
    </w:p>
    <w:p>
      <w:pPr>
        <w:spacing w:after="0" w:line="112"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In 2020, the Compensation Committee determined that our compensation programs have sufficient risk mitigation features and do not encourage or reward employees for engaging in excessive, imprudent, inappropriate, or unnecessary risk. Based on the Compensation Committee’s review, the Committee determined our compensation programs to be low risk.</w:t>
      </w:r>
    </w:p>
    <w:p>
      <w:pPr>
        <w:spacing w:after="0" w:line="320" w:lineRule="exact"/>
        <w:rPr>
          <w:sz w:val="20"/>
          <w:szCs w:val="20"/>
          <w:color w:val="auto"/>
        </w:rPr>
      </w:pPr>
    </w:p>
    <w:p>
      <w:pPr>
        <w:ind w:left="700" w:hanging="533"/>
        <w:spacing w:after="0"/>
        <w:tabs>
          <w:tab w:leader="none" w:pos="700" w:val="left"/>
        </w:tabs>
        <w:numPr>
          <w:ilvl w:val="0"/>
          <w:numId w:val="118"/>
        </w:numPr>
        <w:rPr>
          <w:rFonts w:ascii="Arial" w:cs="Arial" w:eastAsia="Arial" w:hAnsi="Arial"/>
          <w:sz w:val="21"/>
          <w:szCs w:val="21"/>
          <w:color w:val="0071CE"/>
        </w:rPr>
      </w:pPr>
      <w:r>
        <w:rPr>
          <w:rFonts w:ascii="Arial" w:cs="Arial" w:eastAsia="Arial" w:hAnsi="Arial"/>
          <w:sz w:val="25"/>
          <w:szCs w:val="25"/>
          <w:color w:val="3E3935"/>
        </w:rPr>
        <w:t>Policy on Recoupment of Incentive Compensation</w:t>
      </w:r>
    </w:p>
    <w:p>
      <w:pPr>
        <w:spacing w:after="0" w:line="149"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 xml:space="preserve">The Compensation Committee approved an Amended and Restated Policy on Recoupment of Incentive Compensation on December 7, 2020 (available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 The Committee is empowered to recoup (“clawback”) compensation paid to executive officers, and it expanded this capability to include other executives under its purview. In the event of employee misconduct that causes specified financial or reputational damage, a materially inaccurate performance calculation, or an accounting restatement, the Committee may seek to clawback paid incentive compensation. The Committee may also cancel outstanding equity-based awards granted to any covered employee if that employee engages in conduct detrimental to the Company.</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000" w:type="dxa"/>
            <w:vAlign w:val="bottom"/>
            <w:tcBorders>
              <w:top w:val="single" w:sz="8" w:color="00C1DE"/>
            </w:tcBorders>
          </w:tcPr>
          <w:p>
            <w:pPr>
              <w:spacing w:after="0"/>
              <w:rPr>
                <w:sz w:val="18"/>
                <w:szCs w:val="18"/>
                <w:color w:val="auto"/>
              </w:rPr>
            </w:pPr>
          </w:p>
        </w:tc>
        <w:tc>
          <w:tcPr>
            <w:tcW w:w="3180" w:type="dxa"/>
            <w:vAlign w:val="bottom"/>
            <w:tcBorders>
              <w:top w:val="single" w:sz="8" w:color="00C1DE"/>
            </w:tcBorders>
          </w:tcPr>
          <w:p>
            <w:pPr>
              <w:spacing w:after="0"/>
              <w:rPr>
                <w:sz w:val="18"/>
                <w:szCs w:val="18"/>
                <w:color w:val="auto"/>
              </w:rPr>
            </w:pPr>
          </w:p>
        </w:tc>
        <w:tc>
          <w:tcPr>
            <w:tcW w:w="2800" w:type="dxa"/>
            <w:vAlign w:val="bottom"/>
            <w:tcBorders>
              <w:top w:val="single" w:sz="8" w:color="00C1DE"/>
            </w:tcBorders>
          </w:tcPr>
          <w:p>
            <w:pPr>
              <w:jc w:val="center"/>
              <w:spacing w:after="0" w:line="213" w:lineRule="exact"/>
              <w:rPr>
                <w:sz w:val="20"/>
                <w:szCs w:val="20"/>
                <w:color w:val="auto"/>
              </w:rPr>
            </w:pPr>
            <w:r>
              <w:rPr>
                <w:rFonts w:ascii="Arial" w:cs="Arial" w:eastAsia="Arial" w:hAnsi="Arial"/>
                <w:sz w:val="20"/>
                <w:szCs w:val="20"/>
                <w:b w:val="1"/>
                <w:bCs w:val="1"/>
                <w:color w:val="00C1DE"/>
                <w:w w:val="98"/>
              </w:rPr>
              <w:t>Cancellation and</w:t>
            </w:r>
          </w:p>
        </w:tc>
        <w:tc>
          <w:tcPr>
            <w:tcW w:w="2940" w:type="dxa"/>
            <w:vAlign w:val="bottom"/>
            <w:tcBorders>
              <w:top w:val="single" w:sz="8" w:color="00C1DE"/>
            </w:tcBorders>
          </w:tcPr>
          <w:p>
            <w:pPr>
              <w:jc w:val="center"/>
              <w:ind w:left="2"/>
              <w:spacing w:after="0" w:line="213" w:lineRule="exact"/>
              <w:rPr>
                <w:sz w:val="20"/>
                <w:szCs w:val="20"/>
                <w:color w:val="auto"/>
              </w:rPr>
            </w:pPr>
            <w:r>
              <w:rPr>
                <w:rFonts w:ascii="Arial" w:cs="Arial" w:eastAsia="Arial" w:hAnsi="Arial"/>
                <w:sz w:val="20"/>
                <w:szCs w:val="20"/>
                <w:b w:val="1"/>
                <w:bCs w:val="1"/>
                <w:color w:val="00C1DE"/>
                <w:w w:val="97"/>
              </w:rPr>
              <w:t>Cancellation of</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8"/>
              </w:rPr>
              <w:t>Clawback Policy</w:t>
            </w:r>
          </w:p>
        </w:tc>
        <w:tc>
          <w:tcPr>
            <w:tcW w:w="2800" w:type="dxa"/>
            <w:vAlign w:val="bottom"/>
          </w:tcPr>
          <w:p>
            <w:pPr>
              <w:jc w:val="center"/>
              <w:spacing w:after="0" w:line="214" w:lineRule="exact"/>
              <w:rPr>
                <w:sz w:val="20"/>
                <w:szCs w:val="20"/>
                <w:color w:val="auto"/>
              </w:rPr>
            </w:pPr>
            <w:r>
              <w:rPr>
                <w:rFonts w:ascii="Arial" w:cs="Arial" w:eastAsia="Arial" w:hAnsi="Arial"/>
                <w:sz w:val="20"/>
                <w:szCs w:val="20"/>
                <w:b w:val="1"/>
                <w:bCs w:val="1"/>
                <w:color w:val="00C1DE"/>
                <w:w w:val="98"/>
              </w:rPr>
              <w:t>Clawback Due to Violation</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b w:val="1"/>
                <w:bCs w:val="1"/>
                <w:color w:val="00C1DE"/>
                <w:w w:val="97"/>
              </w:rPr>
              <w:t>Unvested</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2800" w:type="dxa"/>
            <w:vAlign w:val="bottom"/>
          </w:tcPr>
          <w:p>
            <w:pPr>
              <w:jc w:val="center"/>
              <w:spacing w:after="0" w:line="214" w:lineRule="exact"/>
              <w:rPr>
                <w:sz w:val="20"/>
                <w:szCs w:val="20"/>
                <w:color w:val="auto"/>
              </w:rPr>
            </w:pPr>
            <w:r>
              <w:rPr>
                <w:rFonts w:ascii="Arial" w:cs="Arial" w:eastAsia="Arial" w:hAnsi="Arial"/>
                <w:sz w:val="20"/>
                <w:szCs w:val="20"/>
                <w:b w:val="1"/>
                <w:bCs w:val="1"/>
                <w:color w:val="00C1DE"/>
                <w:w w:val="98"/>
              </w:rPr>
              <w:t>of Non-Compete and</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b w:val="1"/>
                <w:bCs w:val="1"/>
                <w:color w:val="00C1DE"/>
                <w:w w:val="98"/>
              </w:rPr>
              <w:t>and Outstanding</w:t>
            </w:r>
          </w:p>
        </w:tc>
        <w:tc>
          <w:tcPr>
            <w:tcW w:w="0" w:type="dxa"/>
            <w:vAlign w:val="bottom"/>
          </w:tcPr>
          <w:p>
            <w:pPr>
              <w:spacing w:after="0"/>
              <w:rPr>
                <w:sz w:val="1"/>
                <w:szCs w:val="1"/>
                <w:color w:val="auto"/>
              </w:rPr>
            </w:pPr>
          </w:p>
        </w:tc>
      </w:tr>
      <w:tr>
        <w:trPr>
          <w:trHeight w:val="259"/>
        </w:trPr>
        <w:tc>
          <w:tcPr>
            <w:tcW w:w="2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Arial" w:cs="Arial" w:eastAsia="Arial" w:hAnsi="Arial"/>
                <w:sz w:val="20"/>
                <w:szCs w:val="20"/>
                <w:b w:val="1"/>
                <w:bCs w:val="1"/>
                <w:color w:val="00C1DE"/>
                <w:w w:val="97"/>
              </w:rPr>
              <w:t>Non-Solicitation Terms</w:t>
            </w:r>
          </w:p>
        </w:tc>
        <w:tc>
          <w:tcPr>
            <w:tcW w:w="2940" w:type="dxa"/>
            <w:vAlign w:val="bottom"/>
          </w:tcPr>
          <w:p>
            <w:pPr>
              <w:jc w:val="center"/>
              <w:ind w:left="22"/>
              <w:spacing w:after="0"/>
              <w:rPr>
                <w:sz w:val="20"/>
                <w:szCs w:val="20"/>
                <w:color w:val="auto"/>
              </w:rPr>
            </w:pPr>
            <w:r>
              <w:rPr>
                <w:rFonts w:ascii="Arial" w:cs="Arial" w:eastAsia="Arial" w:hAnsi="Arial"/>
                <w:sz w:val="20"/>
                <w:szCs w:val="20"/>
                <w:b w:val="1"/>
                <w:bCs w:val="1"/>
                <w:color w:val="00C1DE"/>
                <w:w w:val="96"/>
              </w:rPr>
              <w:t>Awards</w:t>
            </w:r>
          </w:p>
        </w:tc>
        <w:tc>
          <w:tcPr>
            <w:tcW w:w="0" w:type="dxa"/>
            <w:vAlign w:val="bottom"/>
          </w:tcPr>
          <w:p>
            <w:pPr>
              <w:spacing w:after="0"/>
              <w:rPr>
                <w:sz w:val="1"/>
                <w:szCs w:val="1"/>
                <w:color w:val="auto"/>
              </w:rPr>
            </w:pPr>
          </w:p>
        </w:tc>
      </w:tr>
      <w:tr>
        <w:trPr>
          <w:trHeight w:val="76"/>
        </w:trPr>
        <w:tc>
          <w:tcPr>
            <w:tcW w:w="2000" w:type="dxa"/>
            <w:vAlign w:val="bottom"/>
            <w:tcBorders>
              <w:bottom w:val="single" w:sz="8" w:color="00C1DE"/>
            </w:tcBorders>
          </w:tcPr>
          <w:p>
            <w:pPr>
              <w:spacing w:after="0"/>
              <w:rPr>
                <w:sz w:val="6"/>
                <w:szCs w:val="6"/>
                <w:color w:val="auto"/>
              </w:rPr>
            </w:pPr>
          </w:p>
        </w:tc>
        <w:tc>
          <w:tcPr>
            <w:tcW w:w="3180" w:type="dxa"/>
            <w:vAlign w:val="bottom"/>
            <w:tcBorders>
              <w:bottom w:val="single" w:sz="8" w:color="00C1DE"/>
            </w:tcBorders>
          </w:tcPr>
          <w:p>
            <w:pPr>
              <w:spacing w:after="0"/>
              <w:rPr>
                <w:sz w:val="6"/>
                <w:szCs w:val="6"/>
                <w:color w:val="auto"/>
              </w:rPr>
            </w:pPr>
          </w:p>
        </w:tc>
        <w:tc>
          <w:tcPr>
            <w:tcW w:w="2800" w:type="dxa"/>
            <w:vAlign w:val="bottom"/>
            <w:tcBorders>
              <w:bottom w:val="single" w:sz="8" w:color="00C1DE"/>
            </w:tcBorders>
          </w:tcPr>
          <w:p>
            <w:pPr>
              <w:spacing w:after="0"/>
              <w:rPr>
                <w:sz w:val="6"/>
                <w:szCs w:val="6"/>
                <w:color w:val="auto"/>
              </w:rPr>
            </w:pPr>
          </w:p>
        </w:tc>
        <w:tc>
          <w:tcPr>
            <w:tcW w:w="2940" w:type="dxa"/>
            <w:vAlign w:val="bottom"/>
            <w:tcBorders>
              <w:bottom w:val="single" w:sz="8" w:color="00C1DE"/>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20"/>
                <w:szCs w:val="20"/>
                <w:color w:val="3E3935"/>
                <w:w w:val="98"/>
              </w:rPr>
              <w:t>Executive officers and</w:t>
            </w: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7"/>
              </w:rPr>
              <w:t>Approximately 275</w:t>
            </w:r>
          </w:p>
        </w:tc>
        <w:tc>
          <w:tcPr>
            <w:tcW w:w="2940" w:type="dxa"/>
            <w:vAlign w:val="bottom"/>
          </w:tcPr>
          <w:p>
            <w:pPr>
              <w:jc w:val="center"/>
              <w:ind w:left="2"/>
              <w:spacing w:after="0"/>
              <w:rPr>
                <w:sz w:val="20"/>
                <w:szCs w:val="20"/>
                <w:color w:val="auto"/>
              </w:rPr>
            </w:pPr>
            <w:r>
              <w:rPr>
                <w:rFonts w:ascii="Arial" w:cs="Arial" w:eastAsia="Arial" w:hAnsi="Arial"/>
                <w:sz w:val="20"/>
                <w:szCs w:val="20"/>
                <w:color w:val="3E3935"/>
                <w:w w:val="97"/>
              </w:rPr>
              <w:t>All employees that</w:t>
            </w:r>
          </w:p>
        </w:tc>
        <w:tc>
          <w:tcPr>
            <w:tcW w:w="0" w:type="dxa"/>
            <w:vAlign w:val="bottom"/>
          </w:tcPr>
          <w:p>
            <w:pPr>
              <w:spacing w:after="0"/>
              <w:rPr>
                <w:sz w:val="1"/>
                <w:szCs w:val="1"/>
                <w:color w:val="auto"/>
              </w:rPr>
            </w:pPr>
          </w:p>
        </w:tc>
      </w:tr>
      <w:tr>
        <w:trPr>
          <w:trHeight w:val="131"/>
        </w:trPr>
        <w:tc>
          <w:tcPr>
            <w:tcW w:w="518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3E3935"/>
              </w:rPr>
              <w:t xml:space="preserve">Covered Population   </w:t>
            </w:r>
            <w:r>
              <w:rPr>
                <w:rFonts w:ascii="Arial" w:cs="Arial" w:eastAsia="Arial" w:hAnsi="Arial"/>
                <w:sz w:val="20"/>
                <w:szCs w:val="20"/>
                <w:color w:val="3E3935"/>
              </w:rPr>
              <w:t>executives under the purview of</w:t>
            </w:r>
          </w:p>
        </w:tc>
        <w:tc>
          <w:tcPr>
            <w:tcW w:w="2800" w:type="dxa"/>
            <w:vAlign w:val="bottom"/>
            <w:vMerge w:val="continue"/>
          </w:tcPr>
          <w:p>
            <w:pPr>
              <w:spacing w:after="0"/>
              <w:rPr>
                <w:sz w:val="11"/>
                <w:szCs w:val="11"/>
                <w:color w:val="auto"/>
              </w:rPr>
            </w:pPr>
          </w:p>
        </w:tc>
        <w:tc>
          <w:tcPr>
            <w:tcW w:w="2940" w:type="dxa"/>
            <w:vAlign w:val="bottom"/>
            <w:vMerge w:val="restart"/>
          </w:tcPr>
          <w:p>
            <w:pPr>
              <w:jc w:val="center"/>
              <w:ind w:left="2"/>
              <w:spacing w:after="0"/>
              <w:rPr>
                <w:sz w:val="20"/>
                <w:szCs w:val="20"/>
                <w:color w:val="auto"/>
              </w:rPr>
            </w:pPr>
            <w:r>
              <w:rPr>
                <w:rFonts w:ascii="Arial" w:cs="Arial" w:eastAsia="Arial" w:hAnsi="Arial"/>
                <w:sz w:val="20"/>
                <w:szCs w:val="20"/>
                <w:color w:val="3E3935"/>
                <w:w w:val="98"/>
              </w:rPr>
              <w:t>receive awards through</w:t>
            </w:r>
          </w:p>
        </w:tc>
        <w:tc>
          <w:tcPr>
            <w:tcW w:w="0" w:type="dxa"/>
            <w:vAlign w:val="bottom"/>
          </w:tcPr>
          <w:p>
            <w:pPr>
              <w:spacing w:after="0"/>
              <w:rPr>
                <w:sz w:val="1"/>
                <w:szCs w:val="1"/>
                <w:color w:val="auto"/>
              </w:rPr>
            </w:pPr>
          </w:p>
        </w:tc>
      </w:tr>
      <w:tr>
        <w:trPr>
          <w:trHeight w:val="107"/>
        </w:trPr>
        <w:tc>
          <w:tcPr>
            <w:tcW w:w="5180" w:type="dxa"/>
            <w:vAlign w:val="bottom"/>
            <w:gridSpan w:val="2"/>
            <w:vMerge w:val="continue"/>
          </w:tcPr>
          <w:p>
            <w:pPr>
              <w:spacing w:after="0"/>
              <w:rPr>
                <w:sz w:val="9"/>
                <w:szCs w:val="9"/>
                <w:color w:val="auto"/>
              </w:rPr>
            </w:pP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7"/>
              </w:rPr>
              <w:t>senior leaders</w:t>
            </w: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3180" w:type="dxa"/>
            <w:vAlign w:val="bottom"/>
            <w:vMerge w:val="restart"/>
          </w:tcPr>
          <w:p>
            <w:pPr>
              <w:jc w:val="center"/>
              <w:spacing w:after="0"/>
              <w:rPr>
                <w:sz w:val="20"/>
                <w:szCs w:val="20"/>
                <w:color w:val="auto"/>
              </w:rPr>
            </w:pPr>
            <w:r>
              <w:rPr>
                <w:rFonts w:ascii="Arial" w:cs="Arial" w:eastAsia="Arial" w:hAnsi="Arial"/>
                <w:sz w:val="20"/>
                <w:szCs w:val="20"/>
                <w:color w:val="3E3935"/>
                <w:w w:val="98"/>
              </w:rPr>
              <w:t>the Committee</w:t>
            </w:r>
          </w:p>
        </w:tc>
        <w:tc>
          <w:tcPr>
            <w:tcW w:w="2800" w:type="dxa"/>
            <w:vAlign w:val="bottom"/>
            <w:vMerge w:val="continue"/>
          </w:tcPr>
          <w:p>
            <w:pPr>
              <w:spacing w:after="0"/>
              <w:rPr>
                <w:sz w:val="11"/>
                <w:szCs w:val="11"/>
                <w:color w:val="auto"/>
              </w:rPr>
            </w:pPr>
          </w:p>
        </w:tc>
        <w:tc>
          <w:tcPr>
            <w:tcW w:w="2940" w:type="dxa"/>
            <w:vAlign w:val="bottom"/>
            <w:vMerge w:val="restart"/>
          </w:tcPr>
          <w:p>
            <w:pPr>
              <w:jc w:val="center"/>
              <w:ind w:left="2"/>
              <w:spacing w:after="0"/>
              <w:rPr>
                <w:sz w:val="20"/>
                <w:szCs w:val="20"/>
                <w:color w:val="auto"/>
              </w:rPr>
            </w:pPr>
            <w:r>
              <w:rPr>
                <w:rFonts w:ascii="Arial" w:cs="Arial" w:eastAsia="Arial" w:hAnsi="Arial"/>
                <w:sz w:val="20"/>
                <w:szCs w:val="20"/>
                <w:color w:val="3E3935"/>
                <w:w w:val="96"/>
              </w:rPr>
              <w:t>the STIP or LTIP</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0" w:type="dxa"/>
            <w:vAlign w:val="bottom"/>
            <w:tcBorders>
              <w:bottom w:val="single" w:sz="8" w:color="3E3935"/>
            </w:tcBorders>
          </w:tcPr>
          <w:p>
            <w:pPr>
              <w:spacing w:after="0"/>
              <w:rPr>
                <w:sz w:val="6"/>
                <w:szCs w:val="6"/>
                <w:color w:val="auto"/>
              </w:rPr>
            </w:pPr>
          </w:p>
        </w:tc>
        <w:tc>
          <w:tcPr>
            <w:tcW w:w="3180" w:type="dxa"/>
            <w:vAlign w:val="bottom"/>
            <w:tcBorders>
              <w:bottom w:val="single" w:sz="8" w:color="3E3935"/>
            </w:tcBorders>
          </w:tcPr>
          <w:p>
            <w:pPr>
              <w:spacing w:after="0"/>
              <w:rPr>
                <w:sz w:val="6"/>
                <w:szCs w:val="6"/>
                <w:color w:val="auto"/>
              </w:rPr>
            </w:pPr>
          </w:p>
        </w:tc>
        <w:tc>
          <w:tcPr>
            <w:tcW w:w="2800" w:type="dxa"/>
            <w:vAlign w:val="bottom"/>
            <w:tcBorders>
              <w:bottom w:val="single" w:sz="8" w:color="3E3935"/>
            </w:tcBorders>
          </w:tcPr>
          <w:p>
            <w:pPr>
              <w:spacing w:after="0"/>
              <w:rPr>
                <w:sz w:val="6"/>
                <w:szCs w:val="6"/>
                <w:color w:val="auto"/>
              </w:rPr>
            </w:pPr>
          </w:p>
        </w:tc>
        <w:tc>
          <w:tcPr>
            <w:tcW w:w="294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20"/>
                <w:szCs w:val="20"/>
                <w:color w:val="3E3935"/>
                <w:w w:val="98"/>
              </w:rPr>
              <w:t>Following employee misconduct</w:t>
            </w:r>
          </w:p>
        </w:tc>
        <w:tc>
          <w:tcPr>
            <w:tcW w:w="28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8"/>
              </w:rPr>
              <w:t>that causes specified financial or</w:t>
            </w:r>
          </w:p>
        </w:tc>
        <w:tc>
          <w:tcPr>
            <w:tcW w:w="2800" w:type="dxa"/>
            <w:vAlign w:val="bottom"/>
            <w:vMerge w:val="restart"/>
          </w:tcPr>
          <w:p>
            <w:pPr>
              <w:jc w:val="center"/>
              <w:spacing w:after="0"/>
              <w:rPr>
                <w:sz w:val="20"/>
                <w:szCs w:val="20"/>
                <w:color w:val="auto"/>
              </w:rPr>
            </w:pPr>
            <w:r>
              <w:rPr>
                <w:rFonts w:ascii="Arial" w:cs="Arial" w:eastAsia="Arial" w:hAnsi="Arial"/>
                <w:sz w:val="20"/>
                <w:szCs w:val="20"/>
                <w:color w:val="3E3935"/>
                <w:w w:val="97"/>
              </w:rPr>
              <w:t>Employee violates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00" w:type="dxa"/>
            <w:vAlign w:val="bottom"/>
            <w:vMerge w:val="restart"/>
          </w:tcPr>
          <w:p>
            <w:pPr>
              <w:ind w:left="100"/>
              <w:spacing w:after="0"/>
              <w:rPr>
                <w:sz w:val="20"/>
                <w:szCs w:val="20"/>
                <w:color w:val="auto"/>
              </w:rPr>
            </w:pPr>
            <w:r>
              <w:rPr>
                <w:rFonts w:ascii="Arial" w:cs="Arial" w:eastAsia="Arial" w:hAnsi="Arial"/>
                <w:sz w:val="20"/>
                <w:szCs w:val="20"/>
                <w:b w:val="1"/>
                <w:bCs w:val="1"/>
                <w:color w:val="3E3935"/>
              </w:rPr>
              <w:t>Event Applicable</w:t>
            </w:r>
          </w:p>
        </w:tc>
        <w:tc>
          <w:tcPr>
            <w:tcW w:w="3180" w:type="dxa"/>
            <w:vAlign w:val="bottom"/>
          </w:tcPr>
          <w:p>
            <w:pPr>
              <w:jc w:val="center"/>
              <w:spacing w:after="0" w:line="201" w:lineRule="exact"/>
              <w:rPr>
                <w:sz w:val="20"/>
                <w:szCs w:val="20"/>
                <w:color w:val="auto"/>
              </w:rPr>
            </w:pPr>
            <w:r>
              <w:rPr>
                <w:rFonts w:ascii="Arial" w:cs="Arial" w:eastAsia="Arial" w:hAnsi="Arial"/>
                <w:sz w:val="20"/>
                <w:szCs w:val="20"/>
                <w:color w:val="3E3935"/>
                <w:w w:val="97"/>
              </w:rPr>
              <w:t>reputational damage, a</w:t>
            </w:r>
          </w:p>
        </w:tc>
        <w:tc>
          <w:tcPr>
            <w:tcW w:w="2800" w:type="dxa"/>
            <w:vAlign w:val="bottom"/>
            <w:vMerge w:val="continue"/>
          </w:tcPr>
          <w:p>
            <w:pPr>
              <w:spacing w:after="0"/>
              <w:rPr>
                <w:sz w:val="17"/>
                <w:szCs w:val="17"/>
                <w:color w:val="auto"/>
              </w:rPr>
            </w:pPr>
          </w:p>
        </w:tc>
        <w:tc>
          <w:tcPr>
            <w:tcW w:w="2940" w:type="dxa"/>
            <w:vAlign w:val="bottom"/>
          </w:tcPr>
          <w:p>
            <w:pPr>
              <w:jc w:val="center"/>
              <w:ind w:left="2"/>
              <w:spacing w:after="0" w:line="201" w:lineRule="exact"/>
              <w:rPr>
                <w:sz w:val="20"/>
                <w:szCs w:val="20"/>
                <w:color w:val="auto"/>
              </w:rPr>
            </w:pPr>
            <w:r>
              <w:rPr>
                <w:rFonts w:ascii="Arial" w:cs="Arial" w:eastAsia="Arial" w:hAnsi="Arial"/>
                <w:sz w:val="20"/>
                <w:szCs w:val="20"/>
                <w:color w:val="3E3935"/>
                <w:w w:val="98"/>
              </w:rPr>
              <w:t>Employee engages in conduct</w:t>
            </w:r>
          </w:p>
        </w:tc>
        <w:tc>
          <w:tcPr>
            <w:tcW w:w="0" w:type="dxa"/>
            <w:vAlign w:val="bottom"/>
          </w:tcPr>
          <w:p>
            <w:pPr>
              <w:spacing w:after="0"/>
              <w:rPr>
                <w:sz w:val="1"/>
                <w:szCs w:val="1"/>
                <w:color w:val="auto"/>
              </w:rPr>
            </w:pPr>
          </w:p>
        </w:tc>
      </w:tr>
      <w:tr>
        <w:trPr>
          <w:trHeight w:val="214"/>
        </w:trPr>
        <w:tc>
          <w:tcPr>
            <w:tcW w:w="2000" w:type="dxa"/>
            <w:vAlign w:val="bottom"/>
            <w:vMerge w:val="continue"/>
          </w:tcPr>
          <w:p>
            <w:pPr>
              <w:spacing w:after="0"/>
              <w:rPr>
                <w:sz w:val="18"/>
                <w:szCs w:val="18"/>
                <w:color w:val="auto"/>
              </w:rPr>
            </w:pP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8"/>
              </w:rPr>
              <w:t>materially inaccurate</w:t>
            </w:r>
          </w:p>
        </w:tc>
        <w:tc>
          <w:tcPr>
            <w:tcW w:w="2800" w:type="dxa"/>
            <w:vAlign w:val="bottom"/>
          </w:tcPr>
          <w:p>
            <w:pPr>
              <w:jc w:val="center"/>
              <w:spacing w:after="0" w:line="214" w:lineRule="exact"/>
              <w:rPr>
                <w:sz w:val="20"/>
                <w:szCs w:val="20"/>
                <w:color w:val="auto"/>
              </w:rPr>
            </w:pPr>
            <w:r>
              <w:rPr>
                <w:rFonts w:ascii="Arial" w:cs="Arial" w:eastAsia="Arial" w:hAnsi="Arial"/>
                <w:sz w:val="20"/>
                <w:szCs w:val="20"/>
                <w:color w:val="3E3935"/>
                <w:w w:val="98"/>
              </w:rPr>
              <w:t>non-compete or</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color w:val="3E3935"/>
                <w:w w:val="98"/>
              </w:rPr>
              <w:t>deemed detrimental to the</w:t>
            </w:r>
          </w:p>
        </w:tc>
        <w:tc>
          <w:tcPr>
            <w:tcW w:w="0" w:type="dxa"/>
            <w:vAlign w:val="bottom"/>
          </w:tcPr>
          <w:p>
            <w:pPr>
              <w:spacing w:after="0"/>
              <w:rPr>
                <w:sz w:val="1"/>
                <w:szCs w:val="1"/>
                <w:color w:val="auto"/>
              </w:rPr>
            </w:pPr>
          </w:p>
        </w:tc>
      </w:tr>
      <w:tr>
        <w:trPr>
          <w:trHeight w:val="227"/>
        </w:trPr>
        <w:tc>
          <w:tcPr>
            <w:tcW w:w="2000" w:type="dxa"/>
            <w:vAlign w:val="bottom"/>
          </w:tcPr>
          <w:p>
            <w:pPr>
              <w:spacing w:after="0"/>
              <w:rPr>
                <w:sz w:val="19"/>
                <w:szCs w:val="19"/>
                <w:color w:val="auto"/>
              </w:rPr>
            </w:pPr>
          </w:p>
        </w:tc>
        <w:tc>
          <w:tcPr>
            <w:tcW w:w="3180" w:type="dxa"/>
            <w:vAlign w:val="bottom"/>
          </w:tcPr>
          <w:p>
            <w:pPr>
              <w:jc w:val="center"/>
              <w:spacing w:after="0" w:line="228" w:lineRule="exact"/>
              <w:rPr>
                <w:sz w:val="20"/>
                <w:szCs w:val="20"/>
                <w:color w:val="auto"/>
              </w:rPr>
            </w:pPr>
            <w:r>
              <w:rPr>
                <w:rFonts w:ascii="Arial" w:cs="Arial" w:eastAsia="Arial" w:hAnsi="Arial"/>
                <w:sz w:val="20"/>
                <w:szCs w:val="20"/>
                <w:color w:val="3E3935"/>
                <w:w w:val="98"/>
              </w:rPr>
              <w:t>performance calculation, or an</w:t>
            </w:r>
          </w:p>
        </w:tc>
        <w:tc>
          <w:tcPr>
            <w:tcW w:w="2800" w:type="dxa"/>
            <w:vAlign w:val="bottom"/>
          </w:tcPr>
          <w:p>
            <w:pPr>
              <w:jc w:val="center"/>
              <w:spacing w:after="0" w:line="228" w:lineRule="exact"/>
              <w:rPr>
                <w:sz w:val="20"/>
                <w:szCs w:val="20"/>
                <w:color w:val="auto"/>
              </w:rPr>
            </w:pPr>
            <w:r>
              <w:rPr>
                <w:rFonts w:ascii="Arial" w:cs="Arial" w:eastAsia="Arial" w:hAnsi="Arial"/>
                <w:sz w:val="20"/>
                <w:szCs w:val="20"/>
                <w:color w:val="3E3935"/>
                <w:w w:val="98"/>
              </w:rPr>
              <w:t>non-solicitation terms</w:t>
            </w:r>
          </w:p>
        </w:tc>
        <w:tc>
          <w:tcPr>
            <w:tcW w:w="2940" w:type="dxa"/>
            <w:vAlign w:val="bottom"/>
          </w:tcPr>
          <w:p>
            <w:pPr>
              <w:jc w:val="center"/>
              <w:ind w:left="2"/>
              <w:spacing w:after="0" w:line="228" w:lineRule="exact"/>
              <w:rPr>
                <w:sz w:val="20"/>
                <w:szCs w:val="20"/>
                <w:color w:val="auto"/>
              </w:rPr>
            </w:pPr>
            <w:r>
              <w:rPr>
                <w:rFonts w:ascii="Arial" w:cs="Arial" w:eastAsia="Arial" w:hAnsi="Arial"/>
                <w:sz w:val="20"/>
                <w:szCs w:val="20"/>
                <w:color w:val="3E3935"/>
                <w:w w:val="98"/>
              </w:rPr>
              <w:t>Company</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8"/>
              </w:rPr>
              <w:t>accounting restatement, as</w:t>
            </w:r>
          </w:p>
        </w:tc>
        <w:tc>
          <w:tcPr>
            <w:tcW w:w="2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20"/>
                <w:szCs w:val="20"/>
                <w:color w:val="3E3935"/>
                <w:w w:val="97"/>
              </w:rPr>
              <w:t>defined by the policy</w:t>
            </w:r>
          </w:p>
        </w:tc>
        <w:tc>
          <w:tcPr>
            <w:tcW w:w="2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2000" w:type="dxa"/>
            <w:vAlign w:val="bottom"/>
            <w:tcBorders>
              <w:bottom w:val="single" w:sz="8" w:color="3E3935"/>
            </w:tcBorders>
          </w:tcPr>
          <w:p>
            <w:pPr>
              <w:spacing w:after="0"/>
              <w:rPr>
                <w:sz w:val="5"/>
                <w:szCs w:val="5"/>
                <w:color w:val="auto"/>
              </w:rPr>
            </w:pPr>
          </w:p>
        </w:tc>
        <w:tc>
          <w:tcPr>
            <w:tcW w:w="3180" w:type="dxa"/>
            <w:vAlign w:val="bottom"/>
            <w:tcBorders>
              <w:bottom w:val="single" w:sz="8" w:color="3E3935"/>
            </w:tcBorders>
          </w:tcPr>
          <w:p>
            <w:pPr>
              <w:spacing w:after="0"/>
              <w:rPr>
                <w:sz w:val="5"/>
                <w:szCs w:val="5"/>
                <w:color w:val="auto"/>
              </w:rPr>
            </w:pPr>
          </w:p>
        </w:tc>
        <w:tc>
          <w:tcPr>
            <w:tcW w:w="2800" w:type="dxa"/>
            <w:vAlign w:val="bottom"/>
            <w:tcBorders>
              <w:bottom w:val="single" w:sz="8" w:color="3E3935"/>
            </w:tcBorders>
          </w:tcPr>
          <w:p>
            <w:pPr>
              <w:spacing w:after="0"/>
              <w:rPr>
                <w:sz w:val="5"/>
                <w:szCs w:val="5"/>
                <w:color w:val="auto"/>
              </w:rPr>
            </w:pPr>
          </w:p>
        </w:tc>
        <w:tc>
          <w:tcPr>
            <w:tcW w:w="29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00" w:type="dxa"/>
            <w:vAlign w:val="bottom"/>
          </w:tcPr>
          <w:p>
            <w:pPr>
              <w:ind w:left="100"/>
              <w:spacing w:after="0"/>
              <w:rPr>
                <w:sz w:val="20"/>
                <w:szCs w:val="20"/>
                <w:color w:val="auto"/>
              </w:rPr>
            </w:pPr>
            <w:r>
              <w:rPr>
                <w:rFonts w:ascii="Arial" w:cs="Arial" w:eastAsia="Arial" w:hAnsi="Arial"/>
                <w:sz w:val="20"/>
                <w:szCs w:val="20"/>
                <w:b w:val="1"/>
                <w:bCs w:val="1"/>
                <w:color w:val="3E3935"/>
              </w:rPr>
              <w:t>Awards Subject to</w:t>
            </w:r>
          </w:p>
        </w:tc>
        <w:tc>
          <w:tcPr>
            <w:tcW w:w="3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00" w:type="dxa"/>
            <w:vAlign w:val="bottom"/>
          </w:tcPr>
          <w:p>
            <w:pPr>
              <w:ind w:left="100"/>
              <w:spacing w:after="0" w:line="214" w:lineRule="exact"/>
              <w:rPr>
                <w:sz w:val="20"/>
                <w:szCs w:val="20"/>
                <w:color w:val="auto"/>
              </w:rPr>
            </w:pPr>
            <w:r>
              <w:rPr>
                <w:rFonts w:ascii="Arial" w:cs="Arial" w:eastAsia="Arial" w:hAnsi="Arial"/>
                <w:sz w:val="20"/>
                <w:szCs w:val="20"/>
                <w:b w:val="1"/>
                <w:bCs w:val="1"/>
                <w:color w:val="3E3935"/>
              </w:rPr>
              <w:t>Cancellation,</w:t>
            </w: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6"/>
              </w:rPr>
              <w:t>STIP, PSUs, RSUs,</w:t>
            </w:r>
          </w:p>
        </w:tc>
        <w:tc>
          <w:tcPr>
            <w:tcW w:w="2800" w:type="dxa"/>
            <w:vAlign w:val="bottom"/>
          </w:tcPr>
          <w:p>
            <w:pPr>
              <w:jc w:val="center"/>
              <w:spacing w:after="0" w:line="214" w:lineRule="exact"/>
              <w:rPr>
                <w:sz w:val="20"/>
                <w:szCs w:val="20"/>
                <w:color w:val="auto"/>
              </w:rPr>
            </w:pPr>
            <w:r>
              <w:rPr>
                <w:rFonts w:ascii="Arial" w:cs="Arial" w:eastAsia="Arial" w:hAnsi="Arial"/>
                <w:sz w:val="20"/>
                <w:szCs w:val="20"/>
                <w:color w:val="3E3935"/>
                <w:w w:val="98"/>
              </w:rPr>
              <w:t>PSUs, RSUs, and</w:t>
            </w:r>
          </w:p>
        </w:tc>
        <w:tc>
          <w:tcPr>
            <w:tcW w:w="2940" w:type="dxa"/>
            <w:vAlign w:val="bottom"/>
          </w:tcPr>
          <w:p>
            <w:pPr>
              <w:jc w:val="center"/>
              <w:ind w:left="22"/>
              <w:spacing w:after="0" w:line="214" w:lineRule="exact"/>
              <w:rPr>
                <w:sz w:val="20"/>
                <w:szCs w:val="20"/>
                <w:color w:val="auto"/>
              </w:rPr>
            </w:pPr>
            <w:r>
              <w:rPr>
                <w:rFonts w:ascii="Arial" w:cs="Arial" w:eastAsia="Arial" w:hAnsi="Arial"/>
                <w:sz w:val="20"/>
                <w:szCs w:val="20"/>
                <w:color w:val="3E3935"/>
                <w:w w:val="96"/>
              </w:rPr>
              <w:t>STIP, PSUs, RSUs,</w:t>
            </w:r>
          </w:p>
        </w:tc>
        <w:tc>
          <w:tcPr>
            <w:tcW w:w="0" w:type="dxa"/>
            <w:vAlign w:val="bottom"/>
          </w:tcPr>
          <w:p>
            <w:pPr>
              <w:spacing w:after="0"/>
              <w:rPr>
                <w:sz w:val="1"/>
                <w:szCs w:val="1"/>
                <w:color w:val="auto"/>
              </w:rPr>
            </w:pPr>
          </w:p>
        </w:tc>
      </w:tr>
      <w:tr>
        <w:trPr>
          <w:trHeight w:val="214"/>
        </w:trPr>
        <w:tc>
          <w:tcPr>
            <w:tcW w:w="2000" w:type="dxa"/>
            <w:vAlign w:val="bottom"/>
          </w:tcPr>
          <w:p>
            <w:pPr>
              <w:ind w:left="100"/>
              <w:spacing w:after="0" w:line="214" w:lineRule="exact"/>
              <w:rPr>
                <w:sz w:val="20"/>
                <w:szCs w:val="20"/>
                <w:color w:val="auto"/>
              </w:rPr>
            </w:pPr>
            <w:r>
              <w:rPr>
                <w:rFonts w:ascii="Arial" w:cs="Arial" w:eastAsia="Arial" w:hAnsi="Arial"/>
                <w:sz w:val="20"/>
                <w:szCs w:val="20"/>
                <w:b w:val="1"/>
                <w:bCs w:val="1"/>
                <w:color w:val="3E3935"/>
              </w:rPr>
              <w:t>Forfeiture, and/or</w:t>
            </w:r>
          </w:p>
        </w:tc>
        <w:tc>
          <w:tcPr>
            <w:tcW w:w="3180" w:type="dxa"/>
            <w:vAlign w:val="bottom"/>
          </w:tcPr>
          <w:p>
            <w:pPr>
              <w:jc w:val="center"/>
              <w:spacing w:after="0" w:line="214" w:lineRule="exact"/>
              <w:rPr>
                <w:sz w:val="20"/>
                <w:szCs w:val="20"/>
                <w:color w:val="auto"/>
              </w:rPr>
            </w:pPr>
            <w:r>
              <w:rPr>
                <w:rFonts w:ascii="Arial" w:cs="Arial" w:eastAsia="Arial" w:hAnsi="Arial"/>
                <w:sz w:val="20"/>
                <w:szCs w:val="20"/>
                <w:color w:val="3E3935"/>
                <w:w w:val="97"/>
              </w:rPr>
              <w:t>and Stock Options</w:t>
            </w:r>
          </w:p>
        </w:tc>
        <w:tc>
          <w:tcPr>
            <w:tcW w:w="2800" w:type="dxa"/>
            <w:vAlign w:val="bottom"/>
          </w:tcPr>
          <w:p>
            <w:pPr>
              <w:jc w:val="center"/>
              <w:spacing w:after="0" w:line="214" w:lineRule="exact"/>
              <w:rPr>
                <w:sz w:val="20"/>
                <w:szCs w:val="20"/>
                <w:color w:val="auto"/>
              </w:rPr>
            </w:pPr>
            <w:r>
              <w:rPr>
                <w:rFonts w:ascii="Arial" w:cs="Arial" w:eastAsia="Arial" w:hAnsi="Arial"/>
                <w:sz w:val="20"/>
                <w:szCs w:val="20"/>
                <w:color w:val="3E3935"/>
                <w:w w:val="97"/>
              </w:rPr>
              <w:t>Stock Options</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color w:val="3E3935"/>
                <w:w w:val="97"/>
              </w:rPr>
              <w:t>and Stock Options</w:t>
            </w:r>
          </w:p>
        </w:tc>
        <w:tc>
          <w:tcPr>
            <w:tcW w:w="0" w:type="dxa"/>
            <w:vAlign w:val="bottom"/>
          </w:tcPr>
          <w:p>
            <w:pPr>
              <w:spacing w:after="0"/>
              <w:rPr>
                <w:sz w:val="1"/>
                <w:szCs w:val="1"/>
                <w:color w:val="auto"/>
              </w:rPr>
            </w:pPr>
          </w:p>
        </w:tc>
      </w:tr>
      <w:tr>
        <w:trPr>
          <w:trHeight w:val="259"/>
        </w:trPr>
        <w:tc>
          <w:tcPr>
            <w:tcW w:w="2000" w:type="dxa"/>
            <w:vAlign w:val="bottom"/>
          </w:tcPr>
          <w:p>
            <w:pPr>
              <w:ind w:left="100"/>
              <w:spacing w:after="0"/>
              <w:rPr>
                <w:sz w:val="20"/>
                <w:szCs w:val="20"/>
                <w:color w:val="auto"/>
              </w:rPr>
            </w:pPr>
            <w:r>
              <w:rPr>
                <w:rFonts w:ascii="Arial" w:cs="Arial" w:eastAsia="Arial" w:hAnsi="Arial"/>
                <w:sz w:val="20"/>
                <w:szCs w:val="20"/>
                <w:b w:val="1"/>
                <w:bCs w:val="1"/>
                <w:color w:val="3E3935"/>
              </w:rPr>
              <w:t>Recoupment</w:t>
            </w:r>
          </w:p>
        </w:tc>
        <w:tc>
          <w:tcPr>
            <w:tcW w:w="31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00" w:type="dxa"/>
            <w:vAlign w:val="bottom"/>
            <w:tcBorders>
              <w:bottom w:val="single" w:sz="8" w:color="0071CE"/>
            </w:tcBorders>
          </w:tcPr>
          <w:p>
            <w:pPr>
              <w:spacing w:after="0"/>
              <w:rPr>
                <w:sz w:val="5"/>
                <w:szCs w:val="5"/>
                <w:color w:val="auto"/>
              </w:rPr>
            </w:pPr>
          </w:p>
        </w:tc>
        <w:tc>
          <w:tcPr>
            <w:tcW w:w="3180" w:type="dxa"/>
            <w:vAlign w:val="bottom"/>
            <w:tcBorders>
              <w:bottom w:val="single" w:sz="8" w:color="0071CE"/>
            </w:tcBorders>
          </w:tcPr>
          <w:p>
            <w:pPr>
              <w:spacing w:after="0"/>
              <w:rPr>
                <w:sz w:val="5"/>
                <w:szCs w:val="5"/>
                <w:color w:val="auto"/>
              </w:rPr>
            </w:pPr>
          </w:p>
        </w:tc>
        <w:tc>
          <w:tcPr>
            <w:tcW w:w="2800" w:type="dxa"/>
            <w:vAlign w:val="bottom"/>
            <w:tcBorders>
              <w:bottom w:val="single" w:sz="8" w:color="0071CE"/>
            </w:tcBorders>
          </w:tcPr>
          <w:p>
            <w:pPr>
              <w:spacing w:after="0"/>
              <w:rPr>
                <w:sz w:val="5"/>
                <w:szCs w:val="5"/>
                <w:color w:val="auto"/>
              </w:rPr>
            </w:pPr>
          </w:p>
        </w:tc>
        <w:tc>
          <w:tcPr>
            <w:tcW w:w="294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700" w:hanging="533"/>
        <w:spacing w:after="0"/>
        <w:tabs>
          <w:tab w:leader="none" w:pos="700" w:val="left"/>
        </w:tabs>
        <w:numPr>
          <w:ilvl w:val="0"/>
          <w:numId w:val="119"/>
        </w:numPr>
        <w:rPr>
          <w:rFonts w:ascii="Arial" w:cs="Arial" w:eastAsia="Arial" w:hAnsi="Arial"/>
          <w:sz w:val="21"/>
          <w:szCs w:val="21"/>
          <w:color w:val="0071CE"/>
        </w:rPr>
      </w:pPr>
      <w:r>
        <w:rPr>
          <w:rFonts w:ascii="Arial" w:cs="Arial" w:eastAsia="Arial" w:hAnsi="Arial"/>
          <w:sz w:val="25"/>
          <w:szCs w:val="25"/>
          <w:color w:val="3E3935"/>
        </w:rPr>
        <w:t>Trading GM Securities</w:t>
      </w:r>
    </w:p>
    <w:p>
      <w:pPr>
        <w:spacing w:after="0" w:line="13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Our Insider Trading Policy prohibits our employees from buying or selling GM securities when in possession of material nonpublic information and during other closed periods. Any sale or purchase of common stock by directors, executive officers, and all other senior leaders must be made during pre-established periods after receiving preclearance by a member of the GM Legal Staff or pursuant to a preapproved and pre-established Rule 10b5-1 plan.</w:t>
      </w:r>
    </w:p>
    <w:p>
      <w:pPr>
        <w:spacing w:after="0" w:line="12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 xml:space="preserve">Trading in GM derivatives (i.e., puts or calls), engaging in short sales or otherwise engaging in hedging activities, and pledging of GM securities is prohibited for all employees. All executive officers are expected to be in compliance with the Insider Trading Policy and to not hedge nor pledge any shares of GM common stock. This policy is posted on our website at </w:t>
      </w: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84455</wp:posOffset>
            </wp:positionV>
            <wp:extent cx="5927725" cy="1016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7"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66</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20"/>
        </w:numPr>
        <w:rPr>
          <w:rFonts w:ascii="Arial" w:cs="Arial" w:eastAsia="Arial" w:hAnsi="Arial"/>
          <w:sz w:val="21"/>
          <w:szCs w:val="21"/>
          <w:color w:val="0071CE"/>
        </w:rPr>
      </w:pPr>
      <w:r>
        <w:rPr>
          <w:rFonts w:ascii="Arial" w:cs="Arial" w:eastAsia="Arial" w:hAnsi="Arial"/>
          <w:sz w:val="25"/>
          <w:szCs w:val="25"/>
          <w:color w:val="3E3935"/>
        </w:rPr>
        <w:t>Tax Considerations</w:t>
      </w:r>
    </w:p>
    <w:p>
      <w:pPr>
        <w:spacing w:after="0" w:line="149"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Tax Cuts and Jobs Act enacted on December 22, 2017, modified Internal Revenue Code (“IRC”) Section 162(m) and, among other things, limits the federal tax deduction for annual individual compensation paid up to $1 million for NEOs beginning with the 2018 tax year. Previously, compensation paid in excess of $ 1 million could be deducted if it was performance-based. The Tax Cuts and Jobs Act includes a transition relief rule in which these changes do not apply to compensation payable pursuant to a written binding contract in effect on November 2, 2017, and is not materially modified after that date. To the extent it is applicable to our existing arrangements, the Compensation Committee may avail itself of this rule. The Committee continues to closely align executive pay with performance, regardless of the performance-based exception being removed under IRC Section 162(m).</w:t>
      </w:r>
    </w:p>
    <w:p>
      <w:pPr>
        <w:spacing w:after="0" w:line="319" w:lineRule="exact"/>
        <w:rPr>
          <w:sz w:val="20"/>
          <w:szCs w:val="20"/>
          <w:color w:val="auto"/>
        </w:rPr>
      </w:pPr>
    </w:p>
    <w:p>
      <w:pPr>
        <w:ind w:left="700" w:hanging="533"/>
        <w:spacing w:after="0"/>
        <w:tabs>
          <w:tab w:leader="none" w:pos="700" w:val="left"/>
        </w:tabs>
        <w:numPr>
          <w:ilvl w:val="0"/>
          <w:numId w:val="121"/>
        </w:numPr>
        <w:rPr>
          <w:rFonts w:ascii="Arial" w:cs="Arial" w:eastAsia="Arial" w:hAnsi="Arial"/>
          <w:sz w:val="21"/>
          <w:szCs w:val="21"/>
          <w:color w:val="0071CE"/>
        </w:rPr>
      </w:pPr>
      <w:r>
        <w:rPr>
          <w:rFonts w:ascii="Arial" w:cs="Arial" w:eastAsia="Arial" w:hAnsi="Arial"/>
          <w:sz w:val="25"/>
          <w:szCs w:val="25"/>
          <w:color w:val="3E3935"/>
        </w:rPr>
        <w:t>Compensation Committee and Consultant Independence</w:t>
      </w:r>
    </w:p>
    <w:p>
      <w:pPr>
        <w:spacing w:after="0" w:line="14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Our Compensation Committee is composed entirely of independent directors as determined by the Board under NYSE guidelines and as defined for various regulatory purposes. The Compensation Committee was assisted by Frederic W. Cook &amp; Co., Inc. (“FW Cook”) for 2020. FW Cook is an independent compensation consulting firm that takes direction from and is solely responsible to the Compensation Committee. The Compensation Committee is also aided in its deliberations by in-house legal counsel.</w:t>
      </w:r>
    </w:p>
    <w:p>
      <w:pPr>
        <w:spacing w:after="0" w:line="116" w:lineRule="exact"/>
        <w:rPr>
          <w:sz w:val="20"/>
          <w:szCs w:val="20"/>
          <w:color w:val="auto"/>
        </w:rPr>
      </w:pPr>
    </w:p>
    <w:p>
      <w:pPr>
        <w:jc w:val="both"/>
        <w:ind w:left="160"/>
        <w:spacing w:after="0" w:line="238" w:lineRule="auto"/>
        <w:rPr>
          <w:sz w:val="20"/>
          <w:szCs w:val="20"/>
          <w:color w:val="auto"/>
        </w:rPr>
      </w:pPr>
      <w:r>
        <w:rPr>
          <w:rFonts w:ascii="Arial" w:cs="Arial" w:eastAsia="Arial" w:hAnsi="Arial"/>
          <w:sz w:val="19"/>
          <w:szCs w:val="19"/>
          <w:color w:val="3E3935"/>
        </w:rPr>
        <w:t>Under its charter, the Compensation Committee has the authority to hire outside consultants and advisors at the Company’s expense. The Compensation Committee retains the services of an independent consultant for advice on issues related to the compensation of NEOs and other executive compensation-related matters. A representative from FW Cook attended all Compensation Committee meetings, either in person or via telephone, consulted with and advised the Compensation Committee members on executive compensation, including the structure and amounts of various pay elements, and developed executive benchmarking data. FW Cook does not provide services to the Company’s management.</w:t>
      </w:r>
    </w:p>
    <w:p>
      <w:pPr>
        <w:spacing w:after="0" w:line="131"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3E3935"/>
        </w:rPr>
        <w:t>The Compensation Committee annually reviews the performance of its compensation consultant and considers the following factors when assessing the independence of FW Cook in accordance with NYSE standards:</w:t>
      </w:r>
    </w:p>
    <w:p>
      <w:pPr>
        <w:spacing w:after="0" w:line="60" w:lineRule="exact"/>
        <w:rPr>
          <w:sz w:val="20"/>
          <w:szCs w:val="20"/>
          <w:color w:val="auto"/>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Services provided to GM management outside the services provided to the Compensation Committee</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Fees paid as a percentage of total revenue</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Policies and procedures designed to prevent conflicts of interest</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Any business or personal relationships between members of the Compensation Committee and FW Cook</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Stock ownership by employees of FW Cook</w:t>
      </w:r>
    </w:p>
    <w:p>
      <w:pPr>
        <w:spacing w:after="0" w:line="64" w:lineRule="exact"/>
        <w:rPr>
          <w:rFonts w:ascii="Arial" w:cs="Arial" w:eastAsia="Arial" w:hAnsi="Arial"/>
          <w:sz w:val="18"/>
          <w:szCs w:val="18"/>
          <w:color w:val="00C1DE"/>
        </w:rPr>
      </w:pPr>
    </w:p>
    <w:p>
      <w:pPr>
        <w:ind w:left="380" w:hanging="213"/>
        <w:spacing w:after="0"/>
        <w:tabs>
          <w:tab w:leader="none" w:pos="380" w:val="left"/>
        </w:tabs>
        <w:numPr>
          <w:ilvl w:val="0"/>
          <w:numId w:val="122"/>
        </w:numPr>
        <w:rPr>
          <w:rFonts w:ascii="Arial" w:cs="Arial" w:eastAsia="Arial" w:hAnsi="Arial"/>
          <w:sz w:val="18"/>
          <w:szCs w:val="18"/>
          <w:color w:val="00C1DE"/>
        </w:rPr>
      </w:pPr>
      <w:r>
        <w:rPr>
          <w:rFonts w:ascii="Arial" w:cs="Arial" w:eastAsia="Arial" w:hAnsi="Arial"/>
          <w:sz w:val="20"/>
          <w:szCs w:val="20"/>
          <w:color w:val="3E3935"/>
        </w:rPr>
        <w:t>Any business or personal relationships between GM and FW Cook</w:t>
      </w:r>
    </w:p>
    <w:p>
      <w:pPr>
        <w:spacing w:after="0" w:line="131"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After reviewing the performance and independence of their consultant, the Compensation Committee determined FW Cook was independent based on the standards above.</w:t>
      </w:r>
    </w:p>
    <w:p>
      <w:pPr>
        <w:spacing w:after="0" w:line="319" w:lineRule="exact"/>
        <w:rPr>
          <w:sz w:val="20"/>
          <w:szCs w:val="20"/>
          <w:color w:val="auto"/>
        </w:rPr>
      </w:pPr>
    </w:p>
    <w:p>
      <w:pPr>
        <w:ind w:left="700" w:hanging="533"/>
        <w:spacing w:after="0"/>
        <w:tabs>
          <w:tab w:leader="none" w:pos="700" w:val="left"/>
        </w:tabs>
        <w:numPr>
          <w:ilvl w:val="0"/>
          <w:numId w:val="123"/>
        </w:numPr>
        <w:rPr>
          <w:rFonts w:ascii="Arial" w:cs="Arial" w:eastAsia="Arial" w:hAnsi="Arial"/>
          <w:sz w:val="21"/>
          <w:szCs w:val="21"/>
          <w:color w:val="0071CE"/>
        </w:rPr>
      </w:pPr>
      <w:r>
        <w:rPr>
          <w:rFonts w:ascii="Arial" w:cs="Arial" w:eastAsia="Arial" w:hAnsi="Arial"/>
          <w:sz w:val="25"/>
          <w:szCs w:val="25"/>
          <w:color w:val="3E3935"/>
        </w:rPr>
        <w:t>Employment and Termination Agreements</w:t>
      </w:r>
    </w:p>
    <w:p>
      <w:pPr>
        <w:spacing w:after="0" w:line="135"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Company has no employment or pre-defined termination agreements with any of our 2020 NEOs. All NEOs participate in the General Motors LLC U.S. Executive Severance Program filed as an exhibit to the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82550</wp:posOffset>
            </wp:positionV>
            <wp:extent cx="5927725" cy="1016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5"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67</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Compensation Committee Report</w:t>
      </w:r>
    </w:p>
    <w:p>
      <w:pPr>
        <w:spacing w:after="0" w:line="150"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2020, as filed with the U.S. Securities and Exchange Commission on February 10, 2021.</w:t>
      </w:r>
    </w:p>
    <w:p>
      <w:pPr>
        <w:spacing w:after="0" w:line="199"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3E3935"/>
        </w:rPr>
        <w:t>Compensation Committee</w:t>
      </w:r>
    </w:p>
    <w:p>
      <w:pPr>
        <w:spacing w:after="0" w:line="112" w:lineRule="exact"/>
        <w:rPr>
          <w:sz w:val="20"/>
          <w:szCs w:val="20"/>
          <w:color w:val="auto"/>
        </w:rPr>
      </w:pPr>
    </w:p>
    <w:p>
      <w:pPr>
        <w:ind w:left="6620"/>
        <w:spacing w:after="0"/>
        <w:rPr>
          <w:sz w:val="20"/>
          <w:szCs w:val="20"/>
          <w:color w:val="auto"/>
        </w:rPr>
      </w:pPr>
      <w:r>
        <w:rPr>
          <w:rFonts w:ascii="Arial" w:cs="Arial" w:eastAsia="Arial" w:hAnsi="Arial"/>
          <w:sz w:val="20"/>
          <w:szCs w:val="20"/>
          <w:color w:val="3E3935"/>
        </w:rPr>
        <w:t>Carol M. Stephenson (Chair)</w:t>
      </w:r>
    </w:p>
    <w:p>
      <w:pPr>
        <w:ind w:left="6620"/>
        <w:spacing w:after="0" w:line="223" w:lineRule="auto"/>
        <w:rPr>
          <w:sz w:val="20"/>
          <w:szCs w:val="20"/>
          <w:color w:val="auto"/>
        </w:rPr>
      </w:pPr>
      <w:r>
        <w:rPr>
          <w:rFonts w:ascii="Arial" w:cs="Arial" w:eastAsia="Arial" w:hAnsi="Arial"/>
          <w:sz w:val="20"/>
          <w:szCs w:val="20"/>
          <w:color w:val="3E3935"/>
        </w:rPr>
        <w:t>Wesley G. Bush</w:t>
      </w:r>
    </w:p>
    <w:p>
      <w:pPr>
        <w:ind w:left="6620"/>
        <w:spacing w:after="0" w:line="223" w:lineRule="auto"/>
        <w:rPr>
          <w:sz w:val="20"/>
          <w:szCs w:val="20"/>
          <w:color w:val="auto"/>
        </w:rPr>
      </w:pPr>
      <w:r>
        <w:rPr>
          <w:rFonts w:ascii="Arial" w:cs="Arial" w:eastAsia="Arial" w:hAnsi="Arial"/>
          <w:sz w:val="20"/>
          <w:szCs w:val="20"/>
          <w:color w:val="3E3935"/>
        </w:rPr>
        <w:t>Joseph Jimenez</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20"/>
          <w:szCs w:val="20"/>
          <w:color w:val="3E3935"/>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93980</wp:posOffset>
            </wp:positionV>
            <wp:extent cx="5927725" cy="1016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68</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Executive Compensation Tables</w:t>
      </w:r>
    </w:p>
    <w:p>
      <w:pPr>
        <w:spacing w:after="0" w:line="155" w:lineRule="exact"/>
        <w:rPr>
          <w:sz w:val="20"/>
          <w:szCs w:val="20"/>
          <w:color w:val="auto"/>
        </w:rPr>
      </w:pPr>
    </w:p>
    <w:p>
      <w:pPr>
        <w:ind w:left="700" w:hanging="533"/>
        <w:spacing w:after="0"/>
        <w:tabs>
          <w:tab w:leader="none" w:pos="700" w:val="left"/>
        </w:tabs>
        <w:numPr>
          <w:ilvl w:val="0"/>
          <w:numId w:val="124"/>
        </w:numPr>
        <w:rPr>
          <w:rFonts w:ascii="Arial" w:cs="Arial" w:eastAsia="Arial" w:hAnsi="Arial"/>
          <w:sz w:val="21"/>
          <w:szCs w:val="21"/>
          <w:color w:val="0071CE"/>
        </w:rPr>
      </w:pPr>
      <w:r>
        <w:rPr>
          <w:rFonts w:ascii="Arial" w:cs="Arial" w:eastAsia="Arial" w:hAnsi="Arial"/>
          <w:sz w:val="25"/>
          <w:szCs w:val="25"/>
          <w:color w:val="3E3935"/>
        </w:rPr>
        <w:t>Summary Compensation Table</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440" w:type="dxa"/>
            <w:vAlign w:val="bottom"/>
            <w:tcBorders>
              <w:top w:val="single" w:sz="8" w:color="00C1DE"/>
            </w:tcBorders>
          </w:tcPr>
          <w:p>
            <w:pPr>
              <w:spacing w:after="0"/>
              <w:rPr>
                <w:sz w:val="14"/>
                <w:szCs w:val="14"/>
                <w:color w:val="auto"/>
              </w:rPr>
            </w:pPr>
          </w:p>
        </w:tc>
        <w:tc>
          <w:tcPr>
            <w:tcW w:w="540" w:type="dxa"/>
            <w:vAlign w:val="bottom"/>
            <w:tcBorders>
              <w:top w:val="single" w:sz="8" w:color="00C1DE"/>
            </w:tcBorders>
          </w:tcPr>
          <w:p>
            <w:pPr>
              <w:spacing w:after="0"/>
              <w:rPr>
                <w:sz w:val="14"/>
                <w:szCs w:val="14"/>
                <w:color w:val="auto"/>
              </w:rPr>
            </w:pPr>
          </w:p>
        </w:tc>
        <w:tc>
          <w:tcPr>
            <w:tcW w:w="800" w:type="dxa"/>
            <w:vAlign w:val="bottom"/>
            <w:tcBorders>
              <w:top w:val="single" w:sz="8" w:color="00C1DE"/>
            </w:tcBorders>
          </w:tcPr>
          <w:p>
            <w:pPr>
              <w:spacing w:after="0"/>
              <w:rPr>
                <w:sz w:val="14"/>
                <w:szCs w:val="14"/>
                <w:color w:val="auto"/>
              </w:rPr>
            </w:pPr>
          </w:p>
        </w:tc>
        <w:tc>
          <w:tcPr>
            <w:tcW w:w="620" w:type="dxa"/>
            <w:vAlign w:val="bottom"/>
            <w:tcBorders>
              <w:top w:val="single" w:sz="8" w:color="00C1DE"/>
            </w:tcBorders>
          </w:tcPr>
          <w:p>
            <w:pPr>
              <w:spacing w:after="0"/>
              <w:rPr>
                <w:sz w:val="14"/>
                <w:szCs w:val="14"/>
                <w:color w:val="auto"/>
              </w:rPr>
            </w:pPr>
          </w:p>
        </w:tc>
        <w:tc>
          <w:tcPr>
            <w:tcW w:w="880" w:type="dxa"/>
            <w:vAlign w:val="bottom"/>
            <w:tcBorders>
              <w:top w:val="single" w:sz="8" w:color="00C1DE"/>
            </w:tcBorders>
          </w:tcPr>
          <w:p>
            <w:pPr>
              <w:spacing w:after="0"/>
              <w:rPr>
                <w:sz w:val="14"/>
                <w:szCs w:val="14"/>
                <w:color w:val="auto"/>
              </w:rPr>
            </w:pPr>
          </w:p>
        </w:tc>
        <w:tc>
          <w:tcPr>
            <w:tcW w:w="840" w:type="dxa"/>
            <w:vAlign w:val="bottom"/>
            <w:tcBorders>
              <w:top w:val="single" w:sz="8" w:color="00C1DE"/>
            </w:tcBorders>
          </w:tcPr>
          <w:p>
            <w:pPr>
              <w:spacing w:after="0"/>
              <w:rPr>
                <w:sz w:val="14"/>
                <w:szCs w:val="14"/>
                <w:color w:val="auto"/>
              </w:rPr>
            </w:pPr>
          </w:p>
        </w:tc>
        <w:tc>
          <w:tcPr>
            <w:tcW w:w="1360" w:type="dxa"/>
            <w:vAlign w:val="bottom"/>
            <w:tcBorders>
              <w:top w:val="single" w:sz="8" w:color="00C1DE"/>
            </w:tcBorders>
          </w:tcPr>
          <w:p>
            <w:pPr>
              <w:spacing w:after="0"/>
              <w:rPr>
                <w:sz w:val="14"/>
                <w:szCs w:val="14"/>
                <w:color w:val="auto"/>
              </w:rPr>
            </w:pPr>
          </w:p>
        </w:tc>
        <w:tc>
          <w:tcPr>
            <w:tcW w:w="1200" w:type="dxa"/>
            <w:vAlign w:val="bottom"/>
            <w:tcBorders>
              <w:top w:val="single" w:sz="8" w:color="00C1DE"/>
            </w:tcBorders>
          </w:tcPr>
          <w:p>
            <w:pPr>
              <w:jc w:val="right"/>
              <w:ind w:right="7"/>
              <w:spacing w:after="0" w:line="166" w:lineRule="exact"/>
              <w:rPr>
                <w:sz w:val="20"/>
                <w:szCs w:val="20"/>
                <w:color w:val="auto"/>
              </w:rPr>
            </w:pPr>
            <w:r>
              <w:rPr>
                <w:rFonts w:ascii="Arial" w:cs="Arial" w:eastAsia="Arial" w:hAnsi="Arial"/>
                <w:sz w:val="15"/>
                <w:szCs w:val="15"/>
                <w:b w:val="1"/>
                <w:bCs w:val="1"/>
                <w:color w:val="00C1DE"/>
              </w:rPr>
              <w:t>Change in</w:t>
            </w:r>
          </w:p>
        </w:tc>
        <w:tc>
          <w:tcPr>
            <w:tcW w:w="1360" w:type="dxa"/>
            <w:vAlign w:val="bottom"/>
            <w:tcBorders>
              <w:top w:val="single" w:sz="8" w:color="00C1DE"/>
            </w:tcBorders>
          </w:tcPr>
          <w:p>
            <w:pPr>
              <w:spacing w:after="0"/>
              <w:rPr>
                <w:sz w:val="14"/>
                <w:szCs w:val="14"/>
                <w:color w:val="auto"/>
              </w:rPr>
            </w:pPr>
          </w:p>
        </w:tc>
        <w:tc>
          <w:tcPr>
            <w:tcW w:w="880" w:type="dxa"/>
            <w:vAlign w:val="bottom"/>
            <w:tcBorders>
              <w:top w:val="single" w:sz="8" w:color="00C1DE"/>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00C1DE"/>
              </w:rPr>
              <w:t>Pension</w:t>
            </w: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00C1DE"/>
              </w:rPr>
              <w:t>Value and</w:t>
            </w: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Nonequity</w:t>
            </w:r>
          </w:p>
        </w:tc>
        <w:tc>
          <w:tcPr>
            <w:tcW w:w="120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00C1DE"/>
              </w:rPr>
              <w:t>NQ Deferred</w:t>
            </w: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00"/>
              <w:spacing w:after="0" w:line="161" w:lineRule="exact"/>
              <w:rPr>
                <w:sz w:val="20"/>
                <w:szCs w:val="20"/>
                <w:color w:val="auto"/>
              </w:rPr>
            </w:pPr>
            <w:r>
              <w:rPr>
                <w:rFonts w:ascii="Arial" w:cs="Arial" w:eastAsia="Arial" w:hAnsi="Arial"/>
                <w:sz w:val="15"/>
                <w:szCs w:val="15"/>
                <w:b w:val="1"/>
                <w:bCs w:val="1"/>
                <w:color w:val="00C1DE"/>
              </w:rPr>
              <w:t>Name and</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Arial" w:cs="Arial" w:eastAsia="Arial" w:hAnsi="Arial"/>
                <w:sz w:val="15"/>
                <w:szCs w:val="15"/>
                <w:b w:val="1"/>
                <w:bCs w:val="1"/>
                <w:color w:val="00C1DE"/>
              </w:rPr>
              <w:t>Stock</w:t>
            </w:r>
          </w:p>
        </w:tc>
        <w:tc>
          <w:tcPr>
            <w:tcW w:w="840" w:type="dxa"/>
            <w:vAlign w:val="bottom"/>
          </w:tcPr>
          <w:p>
            <w:pPr>
              <w:jc w:val="right"/>
              <w:spacing w:after="0" w:line="161" w:lineRule="exact"/>
              <w:rPr>
                <w:sz w:val="20"/>
                <w:szCs w:val="20"/>
                <w:color w:val="auto"/>
              </w:rPr>
            </w:pPr>
            <w:r>
              <w:rPr>
                <w:rFonts w:ascii="Arial" w:cs="Arial" w:eastAsia="Arial" w:hAnsi="Arial"/>
                <w:sz w:val="15"/>
                <w:szCs w:val="15"/>
                <w:b w:val="1"/>
                <w:bCs w:val="1"/>
                <w:color w:val="00C1DE"/>
              </w:rPr>
              <w:t>Option</w:t>
            </w:r>
          </w:p>
        </w:tc>
        <w:tc>
          <w:tcPr>
            <w:tcW w:w="136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Incentive Plan</w:t>
            </w:r>
          </w:p>
        </w:tc>
        <w:tc>
          <w:tcPr>
            <w:tcW w:w="120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00C1DE"/>
              </w:rPr>
              <w:t>Compensation</w:t>
            </w:r>
          </w:p>
        </w:tc>
        <w:tc>
          <w:tcPr>
            <w:tcW w:w="136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00"/>
              <w:spacing w:after="0" w:line="161" w:lineRule="exact"/>
              <w:rPr>
                <w:sz w:val="20"/>
                <w:szCs w:val="20"/>
                <w:color w:val="auto"/>
              </w:rPr>
            </w:pPr>
            <w:r>
              <w:rPr>
                <w:rFonts w:ascii="Arial" w:cs="Arial" w:eastAsia="Arial" w:hAnsi="Arial"/>
                <w:sz w:val="15"/>
                <w:szCs w:val="15"/>
                <w:b w:val="1"/>
                <w:bCs w:val="1"/>
                <w:color w:val="00C1DE"/>
              </w:rPr>
              <w:t>Principal</w:t>
            </w:r>
          </w:p>
        </w:tc>
        <w:tc>
          <w:tcPr>
            <w:tcW w:w="540" w:type="dxa"/>
            <w:vAlign w:val="bottom"/>
          </w:tcPr>
          <w:p>
            <w:pPr>
              <w:spacing w:after="0"/>
              <w:rPr>
                <w:sz w:val="13"/>
                <w:szCs w:val="13"/>
                <w:color w:val="auto"/>
              </w:rPr>
            </w:pPr>
          </w:p>
        </w:tc>
        <w:tc>
          <w:tcPr>
            <w:tcW w:w="80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Salary</w:t>
            </w:r>
          </w:p>
        </w:tc>
        <w:tc>
          <w:tcPr>
            <w:tcW w:w="62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Bonus</w:t>
            </w:r>
          </w:p>
        </w:tc>
        <w:tc>
          <w:tcPr>
            <w:tcW w:w="880" w:type="dxa"/>
            <w:vAlign w:val="bottom"/>
          </w:tcPr>
          <w:p>
            <w:pPr>
              <w:jc w:val="right"/>
              <w:spacing w:after="0" w:line="161" w:lineRule="exact"/>
              <w:rPr>
                <w:sz w:val="20"/>
                <w:szCs w:val="20"/>
                <w:color w:val="auto"/>
              </w:rPr>
            </w:pPr>
            <w:r>
              <w:rPr>
                <w:rFonts w:ascii="Arial" w:cs="Arial" w:eastAsia="Arial" w:hAnsi="Arial"/>
                <w:sz w:val="15"/>
                <w:szCs w:val="15"/>
                <w:b w:val="1"/>
                <w:bCs w:val="1"/>
                <w:color w:val="00C1DE"/>
              </w:rPr>
              <w:t>Awards</w:t>
            </w:r>
            <w:r>
              <w:rPr>
                <w:rFonts w:ascii="Arial" w:cs="Arial" w:eastAsia="Arial" w:hAnsi="Arial"/>
                <w:sz w:val="12"/>
                <w:szCs w:val="12"/>
                <w:b w:val="1"/>
                <w:bCs w:val="1"/>
                <w:color w:val="00C1DE"/>
              </w:rPr>
              <w:t>(2)</w:t>
            </w:r>
          </w:p>
        </w:tc>
        <w:tc>
          <w:tcPr>
            <w:tcW w:w="840" w:type="dxa"/>
            <w:vAlign w:val="bottom"/>
          </w:tcPr>
          <w:p>
            <w:pPr>
              <w:jc w:val="right"/>
              <w:spacing w:after="0" w:line="161" w:lineRule="exact"/>
              <w:rPr>
                <w:sz w:val="20"/>
                <w:szCs w:val="20"/>
                <w:color w:val="auto"/>
              </w:rPr>
            </w:pPr>
            <w:r>
              <w:rPr>
                <w:rFonts w:ascii="Arial" w:cs="Arial" w:eastAsia="Arial" w:hAnsi="Arial"/>
                <w:sz w:val="15"/>
                <w:szCs w:val="15"/>
                <w:b w:val="1"/>
                <w:bCs w:val="1"/>
                <w:color w:val="00C1DE"/>
              </w:rPr>
              <w:t>Awards</w:t>
            </w:r>
            <w:r>
              <w:rPr>
                <w:rFonts w:ascii="Arial" w:cs="Arial" w:eastAsia="Arial" w:hAnsi="Arial"/>
                <w:sz w:val="12"/>
                <w:szCs w:val="12"/>
                <w:b w:val="1"/>
                <w:bCs w:val="1"/>
                <w:color w:val="00C1DE"/>
              </w:rPr>
              <w:t>(3)</w:t>
            </w:r>
          </w:p>
        </w:tc>
        <w:tc>
          <w:tcPr>
            <w:tcW w:w="136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Compensation</w:t>
            </w:r>
            <w:r>
              <w:rPr>
                <w:rFonts w:ascii="Arial" w:cs="Arial" w:eastAsia="Arial" w:hAnsi="Arial"/>
                <w:sz w:val="12"/>
                <w:szCs w:val="12"/>
                <w:b w:val="1"/>
                <w:bCs w:val="1"/>
                <w:color w:val="00C1DE"/>
              </w:rPr>
              <w:t>(4)</w:t>
            </w:r>
          </w:p>
        </w:tc>
        <w:tc>
          <w:tcPr>
            <w:tcW w:w="120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00C1DE"/>
              </w:rPr>
              <w:t>Earnings</w:t>
            </w:r>
            <w:r>
              <w:rPr>
                <w:rFonts w:ascii="Arial" w:cs="Arial" w:eastAsia="Arial" w:hAnsi="Arial"/>
                <w:sz w:val="12"/>
                <w:szCs w:val="12"/>
                <w:b w:val="1"/>
                <w:bCs w:val="1"/>
                <w:color w:val="00C1DE"/>
              </w:rPr>
              <w:t>(5)</w:t>
            </w:r>
          </w:p>
        </w:tc>
        <w:tc>
          <w:tcPr>
            <w:tcW w:w="1360" w:type="dxa"/>
            <w:vAlign w:val="bottom"/>
          </w:tcPr>
          <w:p>
            <w:pPr>
              <w:jc w:val="right"/>
              <w:ind w:right="8"/>
              <w:spacing w:after="0" w:line="161" w:lineRule="exact"/>
              <w:rPr>
                <w:sz w:val="20"/>
                <w:szCs w:val="20"/>
                <w:color w:val="auto"/>
              </w:rPr>
            </w:pPr>
            <w:r>
              <w:rPr>
                <w:rFonts w:ascii="Arial" w:cs="Arial" w:eastAsia="Arial" w:hAnsi="Arial"/>
                <w:sz w:val="15"/>
                <w:szCs w:val="15"/>
                <w:b w:val="1"/>
                <w:bCs w:val="1"/>
                <w:color w:val="00C1DE"/>
              </w:rPr>
              <w:t>Compensation</w:t>
            </w:r>
            <w:r>
              <w:rPr>
                <w:rFonts w:ascii="Arial" w:cs="Arial" w:eastAsia="Arial" w:hAnsi="Arial"/>
                <w:sz w:val="12"/>
                <w:szCs w:val="12"/>
                <w:b w:val="1"/>
                <w:bCs w:val="1"/>
                <w:color w:val="00C1DE"/>
              </w:rPr>
              <w:t>(6)</w:t>
            </w:r>
          </w:p>
        </w:tc>
        <w:tc>
          <w:tcPr>
            <w:tcW w:w="880" w:type="dxa"/>
            <w:vAlign w:val="bottom"/>
          </w:tcPr>
          <w:p>
            <w:pPr>
              <w:jc w:val="right"/>
              <w:ind w:right="28"/>
              <w:spacing w:after="0" w:line="161" w:lineRule="exact"/>
              <w:rPr>
                <w:sz w:val="20"/>
                <w:szCs w:val="20"/>
                <w:color w:val="auto"/>
              </w:rPr>
            </w:pPr>
            <w:r>
              <w:rPr>
                <w:rFonts w:ascii="Arial" w:cs="Arial" w:eastAsia="Arial" w:hAnsi="Arial"/>
                <w:sz w:val="15"/>
                <w:szCs w:val="15"/>
                <w:b w:val="1"/>
                <w:bCs w:val="1"/>
                <w:color w:val="00C1DE"/>
              </w:rPr>
              <w:t>Total</w:t>
            </w:r>
          </w:p>
        </w:tc>
        <w:tc>
          <w:tcPr>
            <w:tcW w:w="0" w:type="dxa"/>
            <w:vAlign w:val="bottom"/>
          </w:tcPr>
          <w:p>
            <w:pPr>
              <w:spacing w:after="0"/>
              <w:rPr>
                <w:sz w:val="1"/>
                <w:szCs w:val="1"/>
                <w:color w:val="auto"/>
              </w:rPr>
            </w:pPr>
          </w:p>
        </w:tc>
      </w:tr>
      <w:tr>
        <w:trPr>
          <w:trHeight w:val="217"/>
        </w:trPr>
        <w:tc>
          <w:tcPr>
            <w:tcW w:w="2440" w:type="dxa"/>
            <w:vAlign w:val="bottom"/>
            <w:tcBorders>
              <w:bottom w:val="single" w:sz="8" w:color="00C1DE"/>
            </w:tcBorders>
          </w:tcPr>
          <w:p>
            <w:pPr>
              <w:ind w:left="100"/>
              <w:spacing w:after="0"/>
              <w:rPr>
                <w:sz w:val="20"/>
                <w:szCs w:val="20"/>
                <w:color w:val="auto"/>
              </w:rPr>
            </w:pPr>
            <w:r>
              <w:rPr>
                <w:rFonts w:ascii="Arial" w:cs="Arial" w:eastAsia="Arial" w:hAnsi="Arial"/>
                <w:sz w:val="15"/>
                <w:szCs w:val="15"/>
                <w:b w:val="1"/>
                <w:bCs w:val="1"/>
                <w:color w:val="00C1DE"/>
              </w:rPr>
              <w:t>Position</w:t>
            </w:r>
            <w:r>
              <w:rPr>
                <w:rFonts w:ascii="Arial" w:cs="Arial" w:eastAsia="Arial" w:hAnsi="Arial"/>
                <w:sz w:val="12"/>
                <w:szCs w:val="12"/>
                <w:b w:val="1"/>
                <w:bCs w:val="1"/>
                <w:color w:val="00C1DE"/>
              </w:rPr>
              <w:t>(1)</w:t>
            </w:r>
          </w:p>
        </w:tc>
        <w:tc>
          <w:tcPr>
            <w:tcW w:w="540" w:type="dxa"/>
            <w:vAlign w:val="bottom"/>
            <w:tcBorders>
              <w:bottom w:val="single" w:sz="8" w:color="00C1DE"/>
            </w:tcBorders>
          </w:tcPr>
          <w:p>
            <w:pPr>
              <w:ind w:left="120"/>
              <w:spacing w:after="0"/>
              <w:rPr>
                <w:sz w:val="20"/>
                <w:szCs w:val="20"/>
                <w:color w:val="auto"/>
              </w:rPr>
            </w:pPr>
            <w:r>
              <w:rPr>
                <w:rFonts w:ascii="Arial" w:cs="Arial" w:eastAsia="Arial" w:hAnsi="Arial"/>
                <w:sz w:val="15"/>
                <w:szCs w:val="15"/>
                <w:b w:val="1"/>
                <w:bCs w:val="1"/>
                <w:color w:val="00C1DE"/>
              </w:rPr>
              <w:t>Year</w:t>
            </w:r>
          </w:p>
        </w:tc>
        <w:tc>
          <w:tcPr>
            <w:tcW w:w="800" w:type="dxa"/>
            <w:vAlign w:val="bottom"/>
            <w:tcBorders>
              <w:bottom w:val="single" w:sz="8" w:color="00C1DE"/>
            </w:tcBorders>
          </w:tcPr>
          <w:p>
            <w:pPr>
              <w:jc w:val="right"/>
              <w:ind w:right="8"/>
              <w:spacing w:after="0"/>
              <w:rPr>
                <w:sz w:val="20"/>
                <w:szCs w:val="20"/>
                <w:color w:val="auto"/>
              </w:rPr>
            </w:pPr>
            <w:r>
              <w:rPr>
                <w:rFonts w:ascii="Arial" w:cs="Arial" w:eastAsia="Arial" w:hAnsi="Arial"/>
                <w:sz w:val="15"/>
                <w:szCs w:val="15"/>
                <w:b w:val="1"/>
                <w:bCs w:val="1"/>
                <w:color w:val="00C1DE"/>
              </w:rPr>
              <w:t>($)</w:t>
            </w:r>
          </w:p>
        </w:tc>
        <w:tc>
          <w:tcPr>
            <w:tcW w:w="620" w:type="dxa"/>
            <w:vAlign w:val="bottom"/>
            <w:tcBorders>
              <w:bottom w:val="single" w:sz="8" w:color="00C1DE"/>
            </w:tcBorders>
          </w:tcPr>
          <w:p>
            <w:pPr>
              <w:jc w:val="right"/>
              <w:ind w:right="8"/>
              <w:spacing w:after="0"/>
              <w:rPr>
                <w:sz w:val="20"/>
                <w:szCs w:val="20"/>
                <w:color w:val="auto"/>
              </w:rPr>
            </w:pPr>
            <w:r>
              <w:rPr>
                <w:rFonts w:ascii="Arial" w:cs="Arial" w:eastAsia="Arial" w:hAnsi="Arial"/>
                <w:sz w:val="15"/>
                <w:szCs w:val="15"/>
                <w:b w:val="1"/>
                <w:bCs w:val="1"/>
                <w:color w:val="00C1DE"/>
              </w:rPr>
              <w:t>($)</w:t>
            </w:r>
          </w:p>
        </w:tc>
        <w:tc>
          <w:tcPr>
            <w:tcW w:w="880" w:type="dxa"/>
            <w:vAlign w:val="bottom"/>
            <w:tcBorders>
              <w:bottom w:val="single" w:sz="8" w:color="00C1DE"/>
            </w:tcBorders>
          </w:tcPr>
          <w:p>
            <w:pPr>
              <w:jc w:val="right"/>
              <w:spacing w:after="0"/>
              <w:rPr>
                <w:sz w:val="20"/>
                <w:szCs w:val="20"/>
                <w:color w:val="auto"/>
              </w:rPr>
            </w:pPr>
            <w:r>
              <w:rPr>
                <w:rFonts w:ascii="Arial" w:cs="Arial" w:eastAsia="Arial" w:hAnsi="Arial"/>
                <w:sz w:val="15"/>
                <w:szCs w:val="15"/>
                <w:b w:val="1"/>
                <w:bCs w:val="1"/>
                <w:color w:val="00C1DE"/>
              </w:rPr>
              <w:t>($)</w:t>
            </w:r>
          </w:p>
        </w:tc>
        <w:tc>
          <w:tcPr>
            <w:tcW w:w="840" w:type="dxa"/>
            <w:vAlign w:val="bottom"/>
            <w:tcBorders>
              <w:bottom w:val="single" w:sz="8" w:color="00C1DE"/>
            </w:tcBorders>
          </w:tcPr>
          <w:p>
            <w:pPr>
              <w:jc w:val="right"/>
              <w:spacing w:after="0"/>
              <w:rPr>
                <w:sz w:val="20"/>
                <w:szCs w:val="20"/>
                <w:color w:val="auto"/>
              </w:rPr>
            </w:pPr>
            <w:r>
              <w:rPr>
                <w:rFonts w:ascii="Arial" w:cs="Arial" w:eastAsia="Arial" w:hAnsi="Arial"/>
                <w:sz w:val="15"/>
                <w:szCs w:val="15"/>
                <w:b w:val="1"/>
                <w:bCs w:val="1"/>
                <w:color w:val="00C1DE"/>
              </w:rPr>
              <w:t>($)</w:t>
            </w:r>
          </w:p>
        </w:tc>
        <w:tc>
          <w:tcPr>
            <w:tcW w:w="1360" w:type="dxa"/>
            <w:vAlign w:val="bottom"/>
            <w:tcBorders>
              <w:bottom w:val="single" w:sz="8" w:color="00C1DE"/>
            </w:tcBorders>
          </w:tcPr>
          <w:p>
            <w:pPr>
              <w:jc w:val="right"/>
              <w:ind w:right="8"/>
              <w:spacing w:after="0"/>
              <w:rPr>
                <w:sz w:val="20"/>
                <w:szCs w:val="20"/>
                <w:color w:val="auto"/>
              </w:rPr>
            </w:pPr>
            <w:r>
              <w:rPr>
                <w:rFonts w:ascii="Arial" w:cs="Arial" w:eastAsia="Arial" w:hAnsi="Arial"/>
                <w:sz w:val="15"/>
                <w:szCs w:val="15"/>
                <w:b w:val="1"/>
                <w:bCs w:val="1"/>
                <w:color w:val="00C1DE"/>
              </w:rPr>
              <w:t>($)</w:t>
            </w:r>
          </w:p>
        </w:tc>
        <w:tc>
          <w:tcPr>
            <w:tcW w:w="1200" w:type="dxa"/>
            <w:vAlign w:val="bottom"/>
            <w:tcBorders>
              <w:bottom w:val="single" w:sz="8" w:color="00C1DE"/>
            </w:tcBorders>
          </w:tcPr>
          <w:p>
            <w:pPr>
              <w:jc w:val="right"/>
              <w:ind w:right="7"/>
              <w:spacing w:after="0"/>
              <w:rPr>
                <w:sz w:val="20"/>
                <w:szCs w:val="20"/>
                <w:color w:val="auto"/>
              </w:rPr>
            </w:pPr>
            <w:r>
              <w:rPr>
                <w:rFonts w:ascii="Arial" w:cs="Arial" w:eastAsia="Arial" w:hAnsi="Arial"/>
                <w:sz w:val="15"/>
                <w:szCs w:val="15"/>
                <w:b w:val="1"/>
                <w:bCs w:val="1"/>
                <w:color w:val="00C1DE"/>
              </w:rPr>
              <w:t>($)</w:t>
            </w:r>
          </w:p>
        </w:tc>
        <w:tc>
          <w:tcPr>
            <w:tcW w:w="1360" w:type="dxa"/>
            <w:vAlign w:val="bottom"/>
            <w:tcBorders>
              <w:bottom w:val="single" w:sz="8" w:color="00C1DE"/>
            </w:tcBorders>
          </w:tcPr>
          <w:p>
            <w:pPr>
              <w:jc w:val="right"/>
              <w:ind w:right="8"/>
              <w:spacing w:after="0"/>
              <w:rPr>
                <w:sz w:val="20"/>
                <w:szCs w:val="20"/>
                <w:color w:val="auto"/>
              </w:rPr>
            </w:pPr>
            <w:r>
              <w:rPr>
                <w:rFonts w:ascii="Arial" w:cs="Arial" w:eastAsia="Arial" w:hAnsi="Arial"/>
                <w:sz w:val="15"/>
                <w:szCs w:val="15"/>
                <w:b w:val="1"/>
                <w:bCs w:val="1"/>
                <w:color w:val="00C1DE"/>
              </w:rPr>
              <w:t>($)</w:t>
            </w:r>
          </w:p>
        </w:tc>
        <w:tc>
          <w:tcPr>
            <w:tcW w:w="880" w:type="dxa"/>
            <w:vAlign w:val="bottom"/>
            <w:tcBorders>
              <w:bottom w:val="single" w:sz="8" w:color="00C1DE"/>
            </w:tcBorders>
          </w:tcPr>
          <w:p>
            <w:pPr>
              <w:jc w:val="right"/>
              <w:ind w:right="28"/>
              <w:spacing w:after="0"/>
              <w:rPr>
                <w:sz w:val="20"/>
                <w:szCs w:val="20"/>
                <w:color w:val="auto"/>
              </w:rPr>
            </w:pPr>
            <w:r>
              <w:rPr>
                <w:rFonts w:ascii="Arial" w:cs="Arial" w:eastAsia="Arial" w:hAnsi="Arial"/>
                <w:sz w:val="15"/>
                <w:szCs w:val="15"/>
                <w:b w:val="1"/>
                <w:bCs w:val="1"/>
                <w:color w:val="00C1DE"/>
              </w:rPr>
              <w:t>($)</w:t>
            </w:r>
          </w:p>
        </w:tc>
        <w:tc>
          <w:tcPr>
            <w:tcW w:w="0" w:type="dxa"/>
            <w:vAlign w:val="bottom"/>
          </w:tcPr>
          <w:p>
            <w:pPr>
              <w:spacing w:after="0"/>
              <w:rPr>
                <w:sz w:val="1"/>
                <w:szCs w:val="1"/>
                <w:color w:val="auto"/>
              </w:rPr>
            </w:pPr>
          </w:p>
        </w:tc>
      </w:tr>
      <w:tr>
        <w:trPr>
          <w:trHeight w:val="212"/>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Mary T. Barra</w:t>
            </w:r>
          </w:p>
        </w:tc>
        <w:tc>
          <w:tcPr>
            <w:tcW w:w="540" w:type="dxa"/>
            <w:vAlign w:val="bottom"/>
            <w:tcBorders>
              <w:bottom w:val="single" w:sz="8" w:color="3E3935"/>
            </w:tcBorders>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1,995,000</w:t>
            </w:r>
          </w:p>
        </w:tc>
        <w:tc>
          <w:tcPr>
            <w:tcW w:w="62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13,093,722</w:t>
            </w:r>
          </w:p>
        </w:tc>
        <w:tc>
          <w:tcPr>
            <w:tcW w:w="84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3,750,002</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3,780,000</w:t>
            </w:r>
          </w:p>
        </w:tc>
        <w:tc>
          <w:tcPr>
            <w:tcW w:w="120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423,608</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615,655</w:t>
            </w:r>
          </w:p>
        </w:tc>
        <w:tc>
          <w:tcPr>
            <w:tcW w:w="88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23,657,987</w:t>
            </w:r>
          </w:p>
        </w:tc>
        <w:tc>
          <w:tcPr>
            <w:tcW w:w="0" w:type="dxa"/>
            <w:vAlign w:val="bottom"/>
          </w:tcPr>
          <w:p>
            <w:pPr>
              <w:spacing w:after="0"/>
              <w:rPr>
                <w:sz w:val="1"/>
                <w:szCs w:val="1"/>
                <w:color w:val="auto"/>
              </w:rPr>
            </w:pPr>
          </w:p>
        </w:tc>
      </w:tr>
      <w:tr>
        <w:trPr>
          <w:trHeight w:val="147"/>
        </w:trPr>
        <w:tc>
          <w:tcPr>
            <w:tcW w:w="2440" w:type="dxa"/>
            <w:vAlign w:val="bottom"/>
          </w:tcPr>
          <w:p>
            <w:pPr>
              <w:ind w:left="80"/>
              <w:spacing w:after="0" w:line="145" w:lineRule="exact"/>
              <w:rPr>
                <w:sz w:val="20"/>
                <w:szCs w:val="20"/>
                <w:color w:val="auto"/>
              </w:rPr>
            </w:pPr>
            <w:r>
              <w:rPr>
                <w:rFonts w:ascii="Arial" w:cs="Arial" w:eastAsia="Arial" w:hAnsi="Arial"/>
                <w:sz w:val="14"/>
                <w:szCs w:val="14"/>
                <w:color w:val="3E3935"/>
              </w:rPr>
              <w:t>Chairman and Chief</w:t>
            </w:r>
          </w:p>
        </w:tc>
        <w:tc>
          <w:tcPr>
            <w:tcW w:w="540" w:type="dxa"/>
            <w:vAlign w:val="bottom"/>
            <w:tcBorders>
              <w:bottom w:val="single" w:sz="8" w:color="3E3935"/>
            </w:tcBorders>
          </w:tcPr>
          <w:p>
            <w:pPr>
              <w:ind w:left="120"/>
              <w:spacing w:after="0" w:line="145" w:lineRule="exact"/>
              <w:rPr>
                <w:sz w:val="20"/>
                <w:szCs w:val="20"/>
                <w:color w:val="auto"/>
              </w:rPr>
            </w:pPr>
            <w:r>
              <w:rPr>
                <w:rFonts w:ascii="Arial" w:cs="Arial" w:eastAsia="Arial" w:hAnsi="Arial"/>
                <w:sz w:val="14"/>
                <w:szCs w:val="14"/>
                <w:color w:val="3E3935"/>
              </w:rPr>
              <w:t>2019</w:t>
            </w:r>
          </w:p>
        </w:tc>
        <w:tc>
          <w:tcPr>
            <w:tcW w:w="800" w:type="dxa"/>
            <w:vAlign w:val="bottom"/>
            <w:tcBorders>
              <w:bottom w:val="single" w:sz="8" w:color="3E3935"/>
            </w:tcBorders>
          </w:tcPr>
          <w:p>
            <w:pPr>
              <w:jc w:val="right"/>
              <w:ind w:right="8"/>
              <w:spacing w:after="0" w:line="145" w:lineRule="exact"/>
              <w:rPr>
                <w:sz w:val="20"/>
                <w:szCs w:val="20"/>
                <w:color w:val="auto"/>
              </w:rPr>
            </w:pPr>
            <w:r>
              <w:rPr>
                <w:rFonts w:ascii="Arial" w:cs="Arial" w:eastAsia="Arial" w:hAnsi="Arial"/>
                <w:sz w:val="14"/>
                <w:szCs w:val="14"/>
                <w:color w:val="3E3935"/>
              </w:rPr>
              <w:t>2,100,000</w:t>
            </w:r>
          </w:p>
        </w:tc>
        <w:tc>
          <w:tcPr>
            <w:tcW w:w="620" w:type="dxa"/>
            <w:vAlign w:val="bottom"/>
            <w:tcBorders>
              <w:bottom w:val="single" w:sz="8" w:color="3E3935"/>
            </w:tcBorders>
          </w:tcPr>
          <w:p>
            <w:pPr>
              <w:jc w:val="right"/>
              <w:ind w:right="8"/>
              <w:spacing w:after="0" w:line="145" w:lineRule="exact"/>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line="145" w:lineRule="exact"/>
              <w:rPr>
                <w:sz w:val="20"/>
                <w:szCs w:val="20"/>
                <w:color w:val="auto"/>
              </w:rPr>
            </w:pPr>
            <w:r>
              <w:rPr>
                <w:rFonts w:ascii="Arial" w:cs="Arial" w:eastAsia="Arial" w:hAnsi="Arial"/>
                <w:sz w:val="14"/>
                <w:szCs w:val="14"/>
                <w:color w:val="3E3935"/>
              </w:rPr>
              <w:t>12,141,801</w:t>
            </w:r>
          </w:p>
        </w:tc>
        <w:tc>
          <w:tcPr>
            <w:tcW w:w="840" w:type="dxa"/>
            <w:vAlign w:val="bottom"/>
            <w:tcBorders>
              <w:bottom w:val="single" w:sz="8" w:color="3E3935"/>
            </w:tcBorders>
          </w:tcPr>
          <w:p>
            <w:pPr>
              <w:jc w:val="right"/>
              <w:spacing w:after="0" w:line="145" w:lineRule="exact"/>
              <w:rPr>
                <w:sz w:val="20"/>
                <w:szCs w:val="20"/>
                <w:color w:val="auto"/>
              </w:rPr>
            </w:pPr>
            <w:r>
              <w:rPr>
                <w:rFonts w:ascii="Arial" w:cs="Arial" w:eastAsia="Arial" w:hAnsi="Arial"/>
                <w:sz w:val="14"/>
                <w:szCs w:val="14"/>
                <w:color w:val="3E3935"/>
              </w:rPr>
              <w:t>3,525,000</w:t>
            </w:r>
          </w:p>
        </w:tc>
        <w:tc>
          <w:tcPr>
            <w:tcW w:w="1360" w:type="dxa"/>
            <w:vAlign w:val="bottom"/>
            <w:tcBorders>
              <w:bottom w:val="single" w:sz="8" w:color="3E3935"/>
            </w:tcBorders>
          </w:tcPr>
          <w:p>
            <w:pPr>
              <w:jc w:val="right"/>
              <w:ind w:right="8"/>
              <w:spacing w:after="0" w:line="145" w:lineRule="exact"/>
              <w:rPr>
                <w:sz w:val="20"/>
                <w:szCs w:val="20"/>
                <w:color w:val="auto"/>
              </w:rPr>
            </w:pPr>
            <w:r>
              <w:rPr>
                <w:rFonts w:ascii="Arial" w:cs="Arial" w:eastAsia="Arial" w:hAnsi="Arial"/>
                <w:sz w:val="14"/>
                <w:szCs w:val="14"/>
                <w:color w:val="3E3935"/>
              </w:rPr>
              <w:t>2,730,000</w:t>
            </w:r>
          </w:p>
        </w:tc>
        <w:tc>
          <w:tcPr>
            <w:tcW w:w="1200" w:type="dxa"/>
            <w:vAlign w:val="bottom"/>
            <w:tcBorders>
              <w:bottom w:val="single" w:sz="8" w:color="3E3935"/>
            </w:tcBorders>
          </w:tcPr>
          <w:p>
            <w:pPr>
              <w:jc w:val="right"/>
              <w:ind w:right="7"/>
              <w:spacing w:after="0" w:line="145" w:lineRule="exact"/>
              <w:rPr>
                <w:sz w:val="20"/>
                <w:szCs w:val="20"/>
                <w:color w:val="auto"/>
              </w:rPr>
            </w:pPr>
            <w:r>
              <w:rPr>
                <w:rFonts w:ascii="Arial" w:cs="Arial" w:eastAsia="Arial" w:hAnsi="Arial"/>
                <w:sz w:val="14"/>
                <w:szCs w:val="14"/>
                <w:color w:val="3E3935"/>
              </w:rPr>
              <w:t>302,986</w:t>
            </w:r>
          </w:p>
        </w:tc>
        <w:tc>
          <w:tcPr>
            <w:tcW w:w="1360" w:type="dxa"/>
            <w:vAlign w:val="bottom"/>
            <w:tcBorders>
              <w:bottom w:val="single" w:sz="8" w:color="3E3935"/>
            </w:tcBorders>
          </w:tcPr>
          <w:p>
            <w:pPr>
              <w:jc w:val="right"/>
              <w:ind w:right="8"/>
              <w:spacing w:after="0" w:line="145" w:lineRule="exact"/>
              <w:rPr>
                <w:sz w:val="20"/>
                <w:szCs w:val="20"/>
                <w:color w:val="auto"/>
              </w:rPr>
            </w:pPr>
            <w:r>
              <w:rPr>
                <w:rFonts w:ascii="Arial" w:cs="Arial" w:eastAsia="Arial" w:hAnsi="Arial"/>
                <w:sz w:val="14"/>
                <w:szCs w:val="14"/>
                <w:color w:val="3E3935"/>
              </w:rPr>
              <w:t>831,080</w:t>
            </w:r>
          </w:p>
        </w:tc>
        <w:tc>
          <w:tcPr>
            <w:tcW w:w="880" w:type="dxa"/>
            <w:vAlign w:val="bottom"/>
            <w:tcBorders>
              <w:bottom w:val="single" w:sz="8" w:color="3E3935"/>
            </w:tcBorders>
          </w:tcPr>
          <w:p>
            <w:pPr>
              <w:jc w:val="right"/>
              <w:ind w:right="28"/>
              <w:spacing w:after="0" w:line="145" w:lineRule="exact"/>
              <w:rPr>
                <w:sz w:val="20"/>
                <w:szCs w:val="20"/>
                <w:color w:val="auto"/>
              </w:rPr>
            </w:pPr>
            <w:r>
              <w:rPr>
                <w:rFonts w:ascii="Arial" w:cs="Arial" w:eastAsia="Arial" w:hAnsi="Arial"/>
                <w:sz w:val="14"/>
                <w:szCs w:val="14"/>
                <w:color w:val="3E3935"/>
              </w:rPr>
              <w:t>21,630,867</w:t>
            </w:r>
          </w:p>
        </w:tc>
        <w:tc>
          <w:tcPr>
            <w:tcW w:w="0" w:type="dxa"/>
            <w:vAlign w:val="bottom"/>
          </w:tcPr>
          <w:p>
            <w:pPr>
              <w:spacing w:after="0"/>
              <w:rPr>
                <w:sz w:val="1"/>
                <w:szCs w:val="1"/>
                <w:color w:val="auto"/>
              </w:rPr>
            </w:pPr>
          </w:p>
        </w:tc>
      </w:tr>
      <w:tr>
        <w:trPr>
          <w:trHeight w:val="160"/>
        </w:trPr>
        <w:tc>
          <w:tcPr>
            <w:tcW w:w="2440" w:type="dxa"/>
            <w:vAlign w:val="bottom"/>
            <w:tcBorders>
              <w:bottom w:val="single" w:sz="8" w:color="3E3935"/>
            </w:tcBorders>
          </w:tcPr>
          <w:p>
            <w:pPr>
              <w:ind w:left="80"/>
              <w:spacing w:after="0" w:line="149" w:lineRule="exact"/>
              <w:rPr>
                <w:sz w:val="20"/>
                <w:szCs w:val="20"/>
                <w:color w:val="auto"/>
              </w:rPr>
            </w:pPr>
            <w:r>
              <w:rPr>
                <w:rFonts w:ascii="Arial" w:cs="Arial" w:eastAsia="Arial" w:hAnsi="Arial"/>
                <w:sz w:val="14"/>
                <w:szCs w:val="14"/>
                <w:color w:val="3E3935"/>
              </w:rPr>
              <w:t>Executive Officer</w:t>
            </w:r>
          </w:p>
        </w:tc>
        <w:tc>
          <w:tcPr>
            <w:tcW w:w="540" w:type="dxa"/>
            <w:vAlign w:val="bottom"/>
            <w:tcBorders>
              <w:bottom w:val="single" w:sz="8" w:color="3E3935"/>
            </w:tcBorders>
          </w:tcPr>
          <w:p>
            <w:pPr>
              <w:ind w:left="120"/>
              <w:spacing w:after="0"/>
              <w:rPr>
                <w:sz w:val="20"/>
                <w:szCs w:val="20"/>
                <w:color w:val="auto"/>
              </w:rPr>
            </w:pPr>
            <w:r>
              <w:rPr>
                <w:rFonts w:ascii="Arial" w:cs="Arial" w:eastAsia="Arial" w:hAnsi="Arial"/>
                <w:sz w:val="14"/>
                <w:szCs w:val="14"/>
                <w:color w:val="3E3935"/>
              </w:rPr>
              <w:t>2018</w:t>
            </w:r>
          </w:p>
        </w:tc>
        <w:tc>
          <w:tcPr>
            <w:tcW w:w="80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2,100,000</w:t>
            </w:r>
          </w:p>
        </w:tc>
        <w:tc>
          <w:tcPr>
            <w:tcW w:w="62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11,081,760</w:t>
            </w:r>
          </w:p>
        </w:tc>
        <w:tc>
          <w:tcPr>
            <w:tcW w:w="84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3,425,006</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4,452,000</w:t>
            </w:r>
          </w:p>
        </w:tc>
        <w:tc>
          <w:tcPr>
            <w:tcW w:w="120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811,684</w:t>
            </w:r>
          </w:p>
        </w:tc>
        <w:tc>
          <w:tcPr>
            <w:tcW w:w="88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21,870,450</w:t>
            </w:r>
          </w:p>
        </w:tc>
        <w:tc>
          <w:tcPr>
            <w:tcW w:w="0" w:type="dxa"/>
            <w:vAlign w:val="bottom"/>
          </w:tcPr>
          <w:p>
            <w:pPr>
              <w:spacing w:after="0"/>
              <w:rPr>
                <w:sz w:val="1"/>
                <w:szCs w:val="1"/>
                <w:color w:val="auto"/>
              </w:rPr>
            </w:pPr>
          </w:p>
        </w:tc>
      </w:tr>
      <w:tr>
        <w:trPr>
          <w:trHeight w:val="212"/>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Paul A. Jacobson</w:t>
            </w:r>
          </w:p>
        </w:tc>
        <w:tc>
          <w:tcPr>
            <w:tcW w:w="540" w:type="dxa"/>
            <w:vAlign w:val="bottom"/>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Pr>
          <w:p>
            <w:pPr>
              <w:jc w:val="right"/>
              <w:ind w:right="8"/>
              <w:spacing w:after="0"/>
              <w:rPr>
                <w:sz w:val="20"/>
                <w:szCs w:val="20"/>
                <w:color w:val="auto"/>
              </w:rPr>
            </w:pPr>
            <w:r>
              <w:rPr>
                <w:rFonts w:ascii="Arial" w:cs="Arial" w:eastAsia="Arial" w:hAnsi="Arial"/>
                <w:sz w:val="14"/>
                <w:szCs w:val="14"/>
                <w:color w:val="3E3935"/>
              </w:rPr>
              <w:t>83,333</w:t>
            </w:r>
          </w:p>
        </w:tc>
        <w:tc>
          <w:tcPr>
            <w:tcW w:w="62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Pr>
          <w:p>
            <w:pPr>
              <w:jc w:val="right"/>
              <w:spacing w:after="0"/>
              <w:rPr>
                <w:sz w:val="20"/>
                <w:szCs w:val="20"/>
                <w:color w:val="auto"/>
              </w:rPr>
            </w:pPr>
            <w:r>
              <w:rPr>
                <w:rFonts w:ascii="Arial" w:cs="Arial" w:eastAsia="Arial" w:hAnsi="Arial"/>
                <w:sz w:val="14"/>
                <w:szCs w:val="14"/>
                <w:color w:val="3E3935"/>
              </w:rPr>
              <w:t>4,475,128</w:t>
            </w:r>
          </w:p>
        </w:tc>
        <w:tc>
          <w:tcPr>
            <w:tcW w:w="840" w:type="dxa"/>
            <w:vAlign w:val="bottom"/>
          </w:tcPr>
          <w:p>
            <w:pPr>
              <w:jc w:val="right"/>
              <w:spacing w:after="0"/>
              <w:rPr>
                <w:sz w:val="20"/>
                <w:szCs w:val="20"/>
                <w:color w:val="auto"/>
              </w:rPr>
            </w:pPr>
            <w:r>
              <w:rPr>
                <w:rFonts w:ascii="Arial" w:cs="Arial" w:eastAsia="Arial" w:hAnsi="Arial"/>
                <w:sz w:val="14"/>
                <w:szCs w:val="14"/>
                <w:color w:val="3E3935"/>
              </w:rPr>
              <w:t>525,001</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88,600</w:t>
            </w:r>
          </w:p>
        </w:tc>
        <w:tc>
          <w:tcPr>
            <w:tcW w:w="1200" w:type="dxa"/>
            <w:vAlign w:val="bottom"/>
          </w:tcPr>
          <w:p>
            <w:pPr>
              <w:jc w:val="right"/>
              <w:ind w:right="7"/>
              <w:spacing w:after="0"/>
              <w:rPr>
                <w:sz w:val="20"/>
                <w:szCs w:val="20"/>
                <w:color w:val="auto"/>
              </w:rPr>
            </w:pPr>
            <w:r>
              <w:rPr>
                <w:rFonts w:ascii="Arial" w:cs="Arial" w:eastAsia="Arial" w:hAnsi="Arial"/>
                <w:sz w:val="14"/>
                <w:szCs w:val="14"/>
                <w:color w:val="3E3935"/>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7,610</w:t>
            </w:r>
          </w:p>
        </w:tc>
        <w:tc>
          <w:tcPr>
            <w:tcW w:w="880" w:type="dxa"/>
            <w:vAlign w:val="bottom"/>
          </w:tcPr>
          <w:p>
            <w:pPr>
              <w:jc w:val="right"/>
              <w:ind w:right="28"/>
              <w:spacing w:after="0"/>
              <w:rPr>
                <w:sz w:val="20"/>
                <w:szCs w:val="20"/>
                <w:color w:val="auto"/>
              </w:rPr>
            </w:pPr>
            <w:r>
              <w:rPr>
                <w:rFonts w:ascii="Arial" w:cs="Arial" w:eastAsia="Arial" w:hAnsi="Arial"/>
                <w:sz w:val="14"/>
                <w:szCs w:val="14"/>
                <w:color w:val="3E3935"/>
              </w:rPr>
              <w:t>5,179,672</w:t>
            </w: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Executive Vice President</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and Chief Financial Officer</w:t>
            </w:r>
          </w:p>
        </w:tc>
        <w:tc>
          <w:tcPr>
            <w:tcW w:w="540" w:type="dxa"/>
            <w:vAlign w:val="bottom"/>
            <w:tcBorders>
              <w:bottom w:val="single" w:sz="8" w:color="3E3935"/>
            </w:tcBorders>
          </w:tcPr>
          <w:p>
            <w:pPr>
              <w:spacing w:after="0"/>
              <w:rPr>
                <w:sz w:val="14"/>
                <w:szCs w:val="14"/>
                <w:color w:val="auto"/>
              </w:rPr>
            </w:pPr>
          </w:p>
        </w:tc>
        <w:tc>
          <w:tcPr>
            <w:tcW w:w="800" w:type="dxa"/>
            <w:vAlign w:val="bottom"/>
            <w:tcBorders>
              <w:bottom w:val="single" w:sz="8" w:color="3E3935"/>
            </w:tcBorders>
          </w:tcPr>
          <w:p>
            <w:pPr>
              <w:spacing w:after="0"/>
              <w:rPr>
                <w:sz w:val="14"/>
                <w:szCs w:val="14"/>
                <w:color w:val="auto"/>
              </w:rPr>
            </w:pPr>
          </w:p>
        </w:tc>
        <w:tc>
          <w:tcPr>
            <w:tcW w:w="62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84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120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Mark L. Reuss</w:t>
            </w:r>
          </w:p>
        </w:tc>
        <w:tc>
          <w:tcPr>
            <w:tcW w:w="540" w:type="dxa"/>
            <w:vAlign w:val="bottom"/>
            <w:tcBorders>
              <w:bottom w:val="single" w:sz="8" w:color="3E3935"/>
            </w:tcBorders>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1,235,000</w:t>
            </w:r>
          </w:p>
        </w:tc>
        <w:tc>
          <w:tcPr>
            <w:tcW w:w="62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5,217,207</w:t>
            </w:r>
          </w:p>
        </w:tc>
        <w:tc>
          <w:tcPr>
            <w:tcW w:w="84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1,487,501</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1,462,500</w:t>
            </w:r>
          </w:p>
        </w:tc>
        <w:tc>
          <w:tcPr>
            <w:tcW w:w="120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333,492</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227,702</w:t>
            </w:r>
          </w:p>
        </w:tc>
        <w:tc>
          <w:tcPr>
            <w:tcW w:w="88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9,963,402</w:t>
            </w:r>
          </w:p>
        </w:tc>
        <w:tc>
          <w:tcPr>
            <w:tcW w:w="0" w:type="dxa"/>
            <w:vAlign w:val="bottom"/>
          </w:tcPr>
          <w:p>
            <w:pPr>
              <w:spacing w:after="0"/>
              <w:rPr>
                <w:sz w:val="1"/>
                <w:szCs w:val="1"/>
                <w:color w:val="auto"/>
              </w:rPr>
            </w:pPr>
          </w:p>
        </w:tc>
      </w:tr>
      <w:tr>
        <w:trPr>
          <w:trHeight w:val="154"/>
        </w:trPr>
        <w:tc>
          <w:tcPr>
            <w:tcW w:w="2440" w:type="dxa"/>
            <w:vAlign w:val="bottom"/>
          </w:tcPr>
          <w:p>
            <w:pPr>
              <w:ind w:left="80"/>
              <w:spacing w:after="0" w:line="154" w:lineRule="exact"/>
              <w:rPr>
                <w:sz w:val="20"/>
                <w:szCs w:val="20"/>
                <w:color w:val="auto"/>
              </w:rPr>
            </w:pPr>
            <w:r>
              <w:rPr>
                <w:rFonts w:ascii="Arial" w:cs="Arial" w:eastAsia="Arial" w:hAnsi="Arial"/>
                <w:sz w:val="14"/>
                <w:szCs w:val="14"/>
                <w:color w:val="3E3935"/>
              </w:rPr>
              <w:t>President</w:t>
            </w:r>
          </w:p>
        </w:tc>
        <w:tc>
          <w:tcPr>
            <w:tcW w:w="540" w:type="dxa"/>
            <w:vAlign w:val="bottom"/>
            <w:tcBorders>
              <w:bottom w:val="single" w:sz="8" w:color="3E3935"/>
            </w:tcBorders>
          </w:tcPr>
          <w:p>
            <w:pPr>
              <w:ind w:left="120"/>
              <w:spacing w:after="0" w:line="154" w:lineRule="exact"/>
              <w:rPr>
                <w:sz w:val="20"/>
                <w:szCs w:val="20"/>
                <w:color w:val="auto"/>
              </w:rPr>
            </w:pPr>
            <w:r>
              <w:rPr>
                <w:rFonts w:ascii="Arial" w:cs="Arial" w:eastAsia="Arial" w:hAnsi="Arial"/>
                <w:sz w:val="14"/>
                <w:szCs w:val="14"/>
                <w:color w:val="3E3935"/>
              </w:rPr>
              <w:t>2019</w:t>
            </w:r>
          </w:p>
        </w:tc>
        <w:tc>
          <w:tcPr>
            <w:tcW w:w="80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1,200,000</w:t>
            </w:r>
          </w:p>
        </w:tc>
        <w:tc>
          <w:tcPr>
            <w:tcW w:w="62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line="154" w:lineRule="exact"/>
              <w:rPr>
                <w:sz w:val="20"/>
                <w:szCs w:val="20"/>
                <w:color w:val="auto"/>
              </w:rPr>
            </w:pPr>
            <w:r>
              <w:rPr>
                <w:rFonts w:ascii="Arial" w:cs="Arial" w:eastAsia="Arial" w:hAnsi="Arial"/>
                <w:sz w:val="14"/>
                <w:szCs w:val="14"/>
                <w:color w:val="3E3935"/>
              </w:rPr>
              <w:t>4,133,385</w:t>
            </w:r>
          </w:p>
        </w:tc>
        <w:tc>
          <w:tcPr>
            <w:tcW w:w="840" w:type="dxa"/>
            <w:vAlign w:val="bottom"/>
            <w:tcBorders>
              <w:bottom w:val="single" w:sz="8" w:color="3E3935"/>
            </w:tcBorders>
          </w:tcPr>
          <w:p>
            <w:pPr>
              <w:jc w:val="right"/>
              <w:spacing w:after="0" w:line="154" w:lineRule="exact"/>
              <w:rPr>
                <w:sz w:val="20"/>
                <w:szCs w:val="20"/>
                <w:color w:val="auto"/>
              </w:rPr>
            </w:pPr>
            <w:r>
              <w:rPr>
                <w:rFonts w:ascii="Arial" w:cs="Arial" w:eastAsia="Arial" w:hAnsi="Arial"/>
                <w:sz w:val="14"/>
                <w:szCs w:val="14"/>
                <w:color w:val="3E3935"/>
              </w:rPr>
              <w:t>1,200,000</w:t>
            </w:r>
          </w:p>
        </w:tc>
        <w:tc>
          <w:tcPr>
            <w:tcW w:w="136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1,050,000</w:t>
            </w:r>
          </w:p>
        </w:tc>
        <w:tc>
          <w:tcPr>
            <w:tcW w:w="1200" w:type="dxa"/>
            <w:vAlign w:val="bottom"/>
            <w:tcBorders>
              <w:bottom w:val="single" w:sz="8" w:color="3E3935"/>
            </w:tcBorders>
          </w:tcPr>
          <w:p>
            <w:pPr>
              <w:jc w:val="right"/>
              <w:ind w:right="7"/>
              <w:spacing w:after="0" w:line="154" w:lineRule="exact"/>
              <w:rPr>
                <w:sz w:val="20"/>
                <w:szCs w:val="20"/>
                <w:color w:val="auto"/>
              </w:rPr>
            </w:pPr>
            <w:r>
              <w:rPr>
                <w:rFonts w:ascii="Arial" w:cs="Arial" w:eastAsia="Arial" w:hAnsi="Arial"/>
                <w:sz w:val="14"/>
                <w:szCs w:val="14"/>
                <w:color w:val="3E3935"/>
              </w:rPr>
              <w:t>250,488</w:t>
            </w:r>
          </w:p>
        </w:tc>
        <w:tc>
          <w:tcPr>
            <w:tcW w:w="136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348,374</w:t>
            </w:r>
          </w:p>
        </w:tc>
        <w:tc>
          <w:tcPr>
            <w:tcW w:w="880" w:type="dxa"/>
            <w:vAlign w:val="bottom"/>
            <w:tcBorders>
              <w:bottom w:val="single" w:sz="8" w:color="3E3935"/>
            </w:tcBorders>
          </w:tcPr>
          <w:p>
            <w:pPr>
              <w:jc w:val="right"/>
              <w:ind w:right="28"/>
              <w:spacing w:after="0" w:line="154" w:lineRule="exact"/>
              <w:rPr>
                <w:sz w:val="20"/>
                <w:szCs w:val="20"/>
                <w:color w:val="auto"/>
              </w:rPr>
            </w:pPr>
            <w:r>
              <w:rPr>
                <w:rFonts w:ascii="Arial" w:cs="Arial" w:eastAsia="Arial" w:hAnsi="Arial"/>
                <w:sz w:val="14"/>
                <w:szCs w:val="14"/>
                <w:color w:val="3E3935"/>
              </w:rPr>
              <w:t>8,182,247</w:t>
            </w:r>
          </w:p>
        </w:tc>
        <w:tc>
          <w:tcPr>
            <w:tcW w:w="0" w:type="dxa"/>
            <w:vAlign w:val="bottom"/>
          </w:tcPr>
          <w:p>
            <w:pPr>
              <w:spacing w:after="0"/>
              <w:rPr>
                <w:sz w:val="1"/>
                <w:szCs w:val="1"/>
                <w:color w:val="auto"/>
              </w:rPr>
            </w:pPr>
          </w:p>
        </w:tc>
      </w:tr>
      <w:tr>
        <w:trPr>
          <w:trHeight w:val="154"/>
        </w:trPr>
        <w:tc>
          <w:tcPr>
            <w:tcW w:w="2440" w:type="dxa"/>
            <w:vAlign w:val="bottom"/>
            <w:tcBorders>
              <w:bottom w:val="single" w:sz="8" w:color="3E3935"/>
            </w:tcBorders>
          </w:tcPr>
          <w:p>
            <w:pPr>
              <w:spacing w:after="0"/>
              <w:rPr>
                <w:sz w:val="13"/>
                <w:szCs w:val="13"/>
                <w:color w:val="auto"/>
              </w:rPr>
            </w:pPr>
          </w:p>
        </w:tc>
        <w:tc>
          <w:tcPr>
            <w:tcW w:w="540" w:type="dxa"/>
            <w:vAlign w:val="bottom"/>
            <w:tcBorders>
              <w:bottom w:val="single" w:sz="8" w:color="3E3935"/>
            </w:tcBorders>
          </w:tcPr>
          <w:p>
            <w:pPr>
              <w:ind w:left="120"/>
              <w:spacing w:after="0" w:line="154" w:lineRule="exact"/>
              <w:rPr>
                <w:sz w:val="20"/>
                <w:szCs w:val="20"/>
                <w:color w:val="auto"/>
              </w:rPr>
            </w:pPr>
            <w:r>
              <w:rPr>
                <w:rFonts w:ascii="Arial" w:cs="Arial" w:eastAsia="Arial" w:hAnsi="Arial"/>
                <w:sz w:val="14"/>
                <w:szCs w:val="14"/>
                <w:color w:val="3E3935"/>
              </w:rPr>
              <w:t>2018</w:t>
            </w:r>
          </w:p>
        </w:tc>
        <w:tc>
          <w:tcPr>
            <w:tcW w:w="80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1,200,000</w:t>
            </w:r>
          </w:p>
        </w:tc>
        <w:tc>
          <w:tcPr>
            <w:tcW w:w="62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line="154" w:lineRule="exact"/>
              <w:rPr>
                <w:sz w:val="20"/>
                <w:szCs w:val="20"/>
                <w:color w:val="auto"/>
              </w:rPr>
            </w:pPr>
            <w:r>
              <w:rPr>
                <w:rFonts w:ascii="Arial" w:cs="Arial" w:eastAsia="Arial" w:hAnsi="Arial"/>
                <w:sz w:val="14"/>
                <w:szCs w:val="14"/>
                <w:color w:val="3E3935"/>
              </w:rPr>
              <w:t>3,276,007</w:t>
            </w:r>
          </w:p>
        </w:tc>
        <w:tc>
          <w:tcPr>
            <w:tcW w:w="840" w:type="dxa"/>
            <w:vAlign w:val="bottom"/>
            <w:tcBorders>
              <w:bottom w:val="single" w:sz="8" w:color="3E3935"/>
            </w:tcBorders>
          </w:tcPr>
          <w:p>
            <w:pPr>
              <w:jc w:val="right"/>
              <w:spacing w:after="0" w:line="154" w:lineRule="exact"/>
              <w:rPr>
                <w:sz w:val="20"/>
                <w:szCs w:val="20"/>
                <w:color w:val="auto"/>
              </w:rPr>
            </w:pPr>
            <w:r>
              <w:rPr>
                <w:rFonts w:ascii="Arial" w:cs="Arial" w:eastAsia="Arial" w:hAnsi="Arial"/>
                <w:sz w:val="14"/>
                <w:szCs w:val="14"/>
                <w:color w:val="3E3935"/>
              </w:rPr>
              <w:t>1,012,504</w:t>
            </w:r>
          </w:p>
        </w:tc>
        <w:tc>
          <w:tcPr>
            <w:tcW w:w="136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1,590,000</w:t>
            </w:r>
          </w:p>
        </w:tc>
        <w:tc>
          <w:tcPr>
            <w:tcW w:w="1200" w:type="dxa"/>
            <w:vAlign w:val="bottom"/>
            <w:tcBorders>
              <w:bottom w:val="single" w:sz="8" w:color="3E3935"/>
            </w:tcBorders>
          </w:tcPr>
          <w:p>
            <w:pPr>
              <w:jc w:val="right"/>
              <w:ind w:right="7"/>
              <w:spacing w:after="0" w:line="154" w:lineRule="exact"/>
              <w:rPr>
                <w:sz w:val="20"/>
                <w:szCs w:val="20"/>
                <w:color w:val="auto"/>
              </w:rPr>
            </w:pPr>
            <w:r>
              <w:rPr>
                <w:rFonts w:ascii="Arial" w:cs="Arial" w:eastAsia="Arial" w:hAnsi="Arial"/>
                <w:sz w:val="14"/>
                <w:szCs w:val="14"/>
                <w:color w:val="3E3935"/>
              </w:rPr>
              <w:t>—</w:t>
            </w:r>
          </w:p>
        </w:tc>
        <w:tc>
          <w:tcPr>
            <w:tcW w:w="1360" w:type="dxa"/>
            <w:vAlign w:val="bottom"/>
            <w:tcBorders>
              <w:bottom w:val="single" w:sz="8" w:color="3E3935"/>
            </w:tcBorders>
          </w:tcPr>
          <w:p>
            <w:pPr>
              <w:jc w:val="right"/>
              <w:ind w:right="8"/>
              <w:spacing w:after="0" w:line="154" w:lineRule="exact"/>
              <w:rPr>
                <w:sz w:val="20"/>
                <w:szCs w:val="20"/>
                <w:color w:val="auto"/>
              </w:rPr>
            </w:pPr>
            <w:r>
              <w:rPr>
                <w:rFonts w:ascii="Arial" w:cs="Arial" w:eastAsia="Arial" w:hAnsi="Arial"/>
                <w:sz w:val="14"/>
                <w:szCs w:val="14"/>
                <w:color w:val="3E3935"/>
              </w:rPr>
              <w:t>277,579</w:t>
            </w:r>
          </w:p>
        </w:tc>
        <w:tc>
          <w:tcPr>
            <w:tcW w:w="880" w:type="dxa"/>
            <w:vAlign w:val="bottom"/>
            <w:tcBorders>
              <w:bottom w:val="single" w:sz="8" w:color="3E3935"/>
            </w:tcBorders>
          </w:tcPr>
          <w:p>
            <w:pPr>
              <w:jc w:val="right"/>
              <w:ind w:right="28"/>
              <w:spacing w:after="0" w:line="154" w:lineRule="exact"/>
              <w:rPr>
                <w:sz w:val="20"/>
                <w:szCs w:val="20"/>
                <w:color w:val="auto"/>
              </w:rPr>
            </w:pPr>
            <w:r>
              <w:rPr>
                <w:rFonts w:ascii="Arial" w:cs="Arial" w:eastAsia="Arial" w:hAnsi="Arial"/>
                <w:sz w:val="14"/>
                <w:szCs w:val="14"/>
                <w:color w:val="3E3935"/>
              </w:rPr>
              <w:t>7,356,090</w:t>
            </w:r>
          </w:p>
        </w:tc>
        <w:tc>
          <w:tcPr>
            <w:tcW w:w="0" w:type="dxa"/>
            <w:vAlign w:val="bottom"/>
          </w:tcPr>
          <w:p>
            <w:pPr>
              <w:spacing w:after="0"/>
              <w:rPr>
                <w:sz w:val="1"/>
                <w:szCs w:val="1"/>
                <w:color w:val="auto"/>
              </w:rPr>
            </w:pPr>
          </w:p>
        </w:tc>
      </w:tr>
      <w:tr>
        <w:trPr>
          <w:trHeight w:val="212"/>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Douglas L. Parks</w:t>
            </w:r>
          </w:p>
        </w:tc>
        <w:tc>
          <w:tcPr>
            <w:tcW w:w="540" w:type="dxa"/>
            <w:vAlign w:val="bottom"/>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Pr>
          <w:p>
            <w:pPr>
              <w:jc w:val="right"/>
              <w:ind w:right="8"/>
              <w:spacing w:after="0"/>
              <w:rPr>
                <w:sz w:val="20"/>
                <w:szCs w:val="20"/>
                <w:color w:val="auto"/>
              </w:rPr>
            </w:pPr>
            <w:r>
              <w:rPr>
                <w:rFonts w:ascii="Arial" w:cs="Arial" w:eastAsia="Arial" w:hAnsi="Arial"/>
                <w:sz w:val="14"/>
                <w:szCs w:val="14"/>
                <w:color w:val="3E3935"/>
              </w:rPr>
              <w:t>767,500</w:t>
            </w:r>
          </w:p>
        </w:tc>
        <w:tc>
          <w:tcPr>
            <w:tcW w:w="62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Pr>
          <w:p>
            <w:pPr>
              <w:jc w:val="right"/>
              <w:spacing w:after="0"/>
              <w:rPr>
                <w:sz w:val="20"/>
                <w:szCs w:val="20"/>
                <w:color w:val="auto"/>
              </w:rPr>
            </w:pPr>
            <w:r>
              <w:rPr>
                <w:rFonts w:ascii="Arial" w:cs="Arial" w:eastAsia="Arial" w:hAnsi="Arial"/>
                <w:sz w:val="14"/>
                <w:szCs w:val="14"/>
                <w:color w:val="3E3935"/>
              </w:rPr>
              <w:t>3,543,682</w:t>
            </w:r>
          </w:p>
        </w:tc>
        <w:tc>
          <w:tcPr>
            <w:tcW w:w="840" w:type="dxa"/>
            <w:vAlign w:val="bottom"/>
          </w:tcPr>
          <w:p>
            <w:pPr>
              <w:jc w:val="right"/>
              <w:spacing w:after="0"/>
              <w:rPr>
                <w:sz w:val="20"/>
                <w:szCs w:val="20"/>
                <w:color w:val="auto"/>
              </w:rPr>
            </w:pPr>
            <w:r>
              <w:rPr>
                <w:rFonts w:ascii="Arial" w:cs="Arial" w:eastAsia="Arial" w:hAnsi="Arial"/>
                <w:sz w:val="14"/>
                <w:szCs w:val="14"/>
                <w:color w:val="3E3935"/>
              </w:rPr>
              <w:t>1,021,888</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977,500</w:t>
            </w:r>
          </w:p>
        </w:tc>
        <w:tc>
          <w:tcPr>
            <w:tcW w:w="1200" w:type="dxa"/>
            <w:vAlign w:val="bottom"/>
          </w:tcPr>
          <w:p>
            <w:pPr>
              <w:jc w:val="right"/>
              <w:ind w:right="7"/>
              <w:spacing w:after="0"/>
              <w:rPr>
                <w:sz w:val="20"/>
                <w:szCs w:val="20"/>
                <w:color w:val="auto"/>
              </w:rPr>
            </w:pPr>
            <w:r>
              <w:rPr>
                <w:rFonts w:ascii="Arial" w:cs="Arial" w:eastAsia="Arial" w:hAnsi="Arial"/>
                <w:sz w:val="14"/>
                <w:szCs w:val="14"/>
                <w:color w:val="3E3935"/>
              </w:rPr>
              <w:t>260,113</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163,025</w:t>
            </w:r>
          </w:p>
        </w:tc>
        <w:tc>
          <w:tcPr>
            <w:tcW w:w="880" w:type="dxa"/>
            <w:vAlign w:val="bottom"/>
          </w:tcPr>
          <w:p>
            <w:pPr>
              <w:jc w:val="right"/>
              <w:ind w:right="28"/>
              <w:spacing w:after="0"/>
              <w:rPr>
                <w:sz w:val="20"/>
                <w:szCs w:val="20"/>
                <w:color w:val="auto"/>
              </w:rPr>
            </w:pPr>
            <w:r>
              <w:rPr>
                <w:rFonts w:ascii="Arial" w:cs="Arial" w:eastAsia="Arial" w:hAnsi="Arial"/>
                <w:sz w:val="14"/>
                <w:szCs w:val="14"/>
                <w:color w:val="3E3935"/>
              </w:rPr>
              <w:t>6,733,708</w:t>
            </w: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Executive Vice President, Global</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Product Development, Purchasing</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and Supply Chain</w:t>
            </w:r>
          </w:p>
        </w:tc>
        <w:tc>
          <w:tcPr>
            <w:tcW w:w="540" w:type="dxa"/>
            <w:vAlign w:val="bottom"/>
            <w:tcBorders>
              <w:bottom w:val="single" w:sz="8" w:color="3E3935"/>
            </w:tcBorders>
          </w:tcPr>
          <w:p>
            <w:pPr>
              <w:spacing w:after="0"/>
              <w:rPr>
                <w:sz w:val="14"/>
                <w:szCs w:val="14"/>
                <w:color w:val="auto"/>
              </w:rPr>
            </w:pPr>
          </w:p>
        </w:tc>
        <w:tc>
          <w:tcPr>
            <w:tcW w:w="800" w:type="dxa"/>
            <w:vAlign w:val="bottom"/>
            <w:tcBorders>
              <w:bottom w:val="single" w:sz="8" w:color="3E3935"/>
            </w:tcBorders>
          </w:tcPr>
          <w:p>
            <w:pPr>
              <w:spacing w:after="0"/>
              <w:rPr>
                <w:sz w:val="14"/>
                <w:szCs w:val="14"/>
                <w:color w:val="auto"/>
              </w:rPr>
            </w:pPr>
          </w:p>
        </w:tc>
        <w:tc>
          <w:tcPr>
            <w:tcW w:w="62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84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120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Stephen K. Carlisle</w:t>
            </w:r>
          </w:p>
        </w:tc>
        <w:tc>
          <w:tcPr>
            <w:tcW w:w="540" w:type="dxa"/>
            <w:vAlign w:val="bottom"/>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Pr>
          <w:p>
            <w:pPr>
              <w:jc w:val="right"/>
              <w:ind w:right="8"/>
              <w:spacing w:after="0"/>
              <w:rPr>
                <w:sz w:val="20"/>
                <w:szCs w:val="20"/>
                <w:color w:val="auto"/>
              </w:rPr>
            </w:pPr>
            <w:r>
              <w:rPr>
                <w:rFonts w:ascii="Arial" w:cs="Arial" w:eastAsia="Arial" w:hAnsi="Arial"/>
                <w:sz w:val="14"/>
                <w:szCs w:val="14"/>
                <w:color w:val="3E3935"/>
              </w:rPr>
              <w:t>711,136</w:t>
            </w:r>
          </w:p>
        </w:tc>
        <w:tc>
          <w:tcPr>
            <w:tcW w:w="62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Pr>
          <w:p>
            <w:pPr>
              <w:jc w:val="right"/>
              <w:spacing w:after="0"/>
              <w:rPr>
                <w:sz w:val="20"/>
                <w:szCs w:val="20"/>
                <w:color w:val="auto"/>
              </w:rPr>
            </w:pPr>
            <w:r>
              <w:rPr>
                <w:rFonts w:ascii="Arial" w:cs="Arial" w:eastAsia="Arial" w:hAnsi="Arial"/>
                <w:sz w:val="14"/>
                <w:szCs w:val="14"/>
                <w:color w:val="3E3935"/>
              </w:rPr>
              <w:t>3,390,773</w:t>
            </w:r>
          </w:p>
        </w:tc>
        <w:tc>
          <w:tcPr>
            <w:tcW w:w="840" w:type="dxa"/>
            <w:vAlign w:val="bottom"/>
          </w:tcPr>
          <w:p>
            <w:pPr>
              <w:jc w:val="right"/>
              <w:spacing w:after="0"/>
              <w:rPr>
                <w:sz w:val="20"/>
                <w:szCs w:val="20"/>
                <w:color w:val="auto"/>
              </w:rPr>
            </w:pPr>
            <w:r>
              <w:rPr>
                <w:rFonts w:ascii="Arial" w:cs="Arial" w:eastAsia="Arial" w:hAnsi="Arial"/>
                <w:sz w:val="14"/>
                <w:szCs w:val="14"/>
                <w:color w:val="3E3935"/>
              </w:rPr>
              <w:t>875,009</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920,000</w:t>
            </w:r>
          </w:p>
        </w:tc>
        <w:tc>
          <w:tcPr>
            <w:tcW w:w="1200" w:type="dxa"/>
            <w:vAlign w:val="bottom"/>
          </w:tcPr>
          <w:p>
            <w:pPr>
              <w:jc w:val="right"/>
              <w:ind w:right="7"/>
              <w:spacing w:after="0"/>
              <w:rPr>
                <w:sz w:val="20"/>
                <w:szCs w:val="20"/>
                <w:color w:val="auto"/>
              </w:rPr>
            </w:pPr>
            <w:r>
              <w:rPr>
                <w:rFonts w:ascii="Arial" w:cs="Arial" w:eastAsia="Arial" w:hAnsi="Arial"/>
                <w:sz w:val="14"/>
                <w:szCs w:val="14"/>
                <w:color w:val="3E3935"/>
              </w:rPr>
              <w:t>232,390</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160,155</w:t>
            </w:r>
          </w:p>
        </w:tc>
        <w:tc>
          <w:tcPr>
            <w:tcW w:w="880" w:type="dxa"/>
            <w:vAlign w:val="bottom"/>
          </w:tcPr>
          <w:p>
            <w:pPr>
              <w:jc w:val="right"/>
              <w:ind w:right="28"/>
              <w:spacing w:after="0"/>
              <w:rPr>
                <w:sz w:val="20"/>
                <w:szCs w:val="20"/>
                <w:color w:val="auto"/>
              </w:rPr>
            </w:pPr>
            <w:r>
              <w:rPr>
                <w:rFonts w:ascii="Arial" w:cs="Arial" w:eastAsia="Arial" w:hAnsi="Arial"/>
                <w:sz w:val="14"/>
                <w:szCs w:val="14"/>
                <w:color w:val="3E3935"/>
              </w:rPr>
              <w:t>6,289,463</w:t>
            </w: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Executive Vice President and</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President, North America</w:t>
            </w:r>
          </w:p>
        </w:tc>
        <w:tc>
          <w:tcPr>
            <w:tcW w:w="540" w:type="dxa"/>
            <w:vAlign w:val="bottom"/>
            <w:tcBorders>
              <w:bottom w:val="single" w:sz="8" w:color="3E3935"/>
            </w:tcBorders>
          </w:tcPr>
          <w:p>
            <w:pPr>
              <w:spacing w:after="0"/>
              <w:rPr>
                <w:sz w:val="14"/>
                <w:szCs w:val="14"/>
                <w:color w:val="auto"/>
              </w:rPr>
            </w:pPr>
          </w:p>
        </w:tc>
        <w:tc>
          <w:tcPr>
            <w:tcW w:w="800" w:type="dxa"/>
            <w:vAlign w:val="bottom"/>
            <w:tcBorders>
              <w:bottom w:val="single" w:sz="8" w:color="3E3935"/>
            </w:tcBorders>
          </w:tcPr>
          <w:p>
            <w:pPr>
              <w:spacing w:after="0"/>
              <w:rPr>
                <w:sz w:val="14"/>
                <w:szCs w:val="14"/>
                <w:color w:val="auto"/>
              </w:rPr>
            </w:pPr>
          </w:p>
        </w:tc>
        <w:tc>
          <w:tcPr>
            <w:tcW w:w="62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84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120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Dhivya Suryadevara</w:t>
            </w:r>
          </w:p>
        </w:tc>
        <w:tc>
          <w:tcPr>
            <w:tcW w:w="540" w:type="dxa"/>
            <w:vAlign w:val="bottom"/>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Pr>
          <w:p>
            <w:pPr>
              <w:jc w:val="right"/>
              <w:ind w:right="8"/>
              <w:spacing w:after="0"/>
              <w:rPr>
                <w:sz w:val="20"/>
                <w:szCs w:val="20"/>
                <w:color w:val="auto"/>
              </w:rPr>
            </w:pPr>
            <w:r>
              <w:rPr>
                <w:rFonts w:ascii="Arial" w:cs="Arial" w:eastAsia="Arial" w:hAnsi="Arial"/>
                <w:sz w:val="14"/>
                <w:szCs w:val="14"/>
                <w:color w:val="3E3935"/>
              </w:rPr>
              <w:t>718,750</w:t>
            </w:r>
          </w:p>
        </w:tc>
        <w:tc>
          <w:tcPr>
            <w:tcW w:w="62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Pr>
          <w:p>
            <w:pPr>
              <w:jc w:val="right"/>
              <w:spacing w:after="0"/>
              <w:rPr>
                <w:sz w:val="20"/>
                <w:szCs w:val="20"/>
                <w:color w:val="auto"/>
              </w:rPr>
            </w:pPr>
            <w:r>
              <w:rPr>
                <w:rFonts w:ascii="Arial" w:cs="Arial" w:eastAsia="Arial" w:hAnsi="Arial"/>
                <w:sz w:val="14"/>
                <w:szCs w:val="14"/>
                <w:color w:val="3E3935"/>
              </w:rPr>
              <w:t>4,289,694</w:t>
            </w:r>
          </w:p>
        </w:tc>
        <w:tc>
          <w:tcPr>
            <w:tcW w:w="840" w:type="dxa"/>
            <w:vAlign w:val="bottom"/>
          </w:tcPr>
          <w:p>
            <w:pPr>
              <w:jc w:val="right"/>
              <w:spacing w:after="0"/>
              <w:rPr>
                <w:sz w:val="20"/>
                <w:szCs w:val="20"/>
                <w:color w:val="auto"/>
              </w:rPr>
            </w:pPr>
            <w:r>
              <w:rPr>
                <w:rFonts w:ascii="Arial" w:cs="Arial" w:eastAsia="Arial" w:hAnsi="Arial"/>
                <w:sz w:val="14"/>
                <w:szCs w:val="14"/>
                <w:color w:val="3E3935"/>
              </w:rPr>
              <w:t>1,221,878</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1200" w:type="dxa"/>
            <w:vAlign w:val="bottom"/>
          </w:tcPr>
          <w:p>
            <w:pPr>
              <w:jc w:val="right"/>
              <w:ind w:right="7"/>
              <w:spacing w:after="0"/>
              <w:rPr>
                <w:sz w:val="20"/>
                <w:szCs w:val="20"/>
                <w:color w:val="auto"/>
              </w:rPr>
            </w:pPr>
            <w:r>
              <w:rPr>
                <w:rFonts w:ascii="Arial" w:cs="Arial" w:eastAsia="Arial" w:hAnsi="Arial"/>
                <w:sz w:val="14"/>
                <w:szCs w:val="14"/>
                <w:color w:val="3E3935"/>
              </w:rPr>
              <w:t>995</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119,622</w:t>
            </w:r>
          </w:p>
        </w:tc>
        <w:tc>
          <w:tcPr>
            <w:tcW w:w="880" w:type="dxa"/>
            <w:vAlign w:val="bottom"/>
          </w:tcPr>
          <w:p>
            <w:pPr>
              <w:jc w:val="right"/>
              <w:ind w:right="28"/>
              <w:spacing w:after="0"/>
              <w:rPr>
                <w:sz w:val="20"/>
                <w:szCs w:val="20"/>
                <w:color w:val="auto"/>
              </w:rPr>
            </w:pPr>
            <w:r>
              <w:rPr>
                <w:rFonts w:ascii="Arial" w:cs="Arial" w:eastAsia="Arial" w:hAnsi="Arial"/>
                <w:sz w:val="14"/>
                <w:szCs w:val="14"/>
                <w:color w:val="3E3935"/>
              </w:rPr>
              <w:t>6,350,939</w:t>
            </w:r>
          </w:p>
        </w:tc>
        <w:tc>
          <w:tcPr>
            <w:tcW w:w="0" w:type="dxa"/>
            <w:vAlign w:val="bottom"/>
          </w:tcPr>
          <w:p>
            <w:pPr>
              <w:spacing w:after="0"/>
              <w:rPr>
                <w:sz w:val="1"/>
                <w:szCs w:val="1"/>
                <w:color w:val="auto"/>
              </w:rPr>
            </w:pPr>
          </w:p>
        </w:tc>
      </w:tr>
      <w:tr>
        <w:trPr>
          <w:trHeight w:val="27"/>
        </w:trPr>
        <w:tc>
          <w:tcPr>
            <w:tcW w:w="2440" w:type="dxa"/>
            <w:vAlign w:val="bottom"/>
            <w:vMerge w:val="restart"/>
          </w:tcPr>
          <w:p>
            <w:pPr>
              <w:ind w:left="80"/>
              <w:spacing w:after="0" w:line="152" w:lineRule="exact"/>
              <w:rPr>
                <w:sz w:val="20"/>
                <w:szCs w:val="20"/>
                <w:color w:val="auto"/>
              </w:rPr>
            </w:pPr>
            <w:r>
              <w:rPr>
                <w:rFonts w:ascii="Arial" w:cs="Arial" w:eastAsia="Arial" w:hAnsi="Arial"/>
                <w:sz w:val="14"/>
                <w:szCs w:val="14"/>
                <w:color w:val="3E3935"/>
              </w:rPr>
              <w:t>Former Executive Vice</w:t>
            </w:r>
          </w:p>
        </w:tc>
        <w:tc>
          <w:tcPr>
            <w:tcW w:w="540" w:type="dxa"/>
            <w:vAlign w:val="bottom"/>
            <w:tcBorders>
              <w:bottom w:val="single" w:sz="8" w:color="3E3935"/>
            </w:tcBorders>
          </w:tcPr>
          <w:p>
            <w:pPr>
              <w:spacing w:after="0"/>
              <w:rPr>
                <w:sz w:val="2"/>
                <w:szCs w:val="2"/>
                <w:color w:val="auto"/>
              </w:rPr>
            </w:pPr>
          </w:p>
        </w:tc>
        <w:tc>
          <w:tcPr>
            <w:tcW w:w="800" w:type="dxa"/>
            <w:vAlign w:val="bottom"/>
            <w:tcBorders>
              <w:bottom w:val="single" w:sz="8" w:color="3E3935"/>
            </w:tcBorders>
          </w:tcPr>
          <w:p>
            <w:pPr>
              <w:spacing w:after="0"/>
              <w:rPr>
                <w:sz w:val="2"/>
                <w:szCs w:val="2"/>
                <w:color w:val="auto"/>
              </w:rPr>
            </w:pPr>
          </w:p>
        </w:tc>
        <w:tc>
          <w:tcPr>
            <w:tcW w:w="620" w:type="dxa"/>
            <w:vAlign w:val="bottom"/>
            <w:tcBorders>
              <w:bottom w:val="single" w:sz="8" w:color="3E3935"/>
            </w:tcBorders>
          </w:tcPr>
          <w:p>
            <w:pPr>
              <w:spacing w:after="0"/>
              <w:rPr>
                <w:sz w:val="2"/>
                <w:szCs w:val="2"/>
                <w:color w:val="auto"/>
              </w:rPr>
            </w:pPr>
          </w:p>
        </w:tc>
        <w:tc>
          <w:tcPr>
            <w:tcW w:w="880" w:type="dxa"/>
            <w:vAlign w:val="bottom"/>
            <w:tcBorders>
              <w:bottom w:val="single" w:sz="8" w:color="3E3935"/>
            </w:tcBorders>
          </w:tcPr>
          <w:p>
            <w:pPr>
              <w:spacing w:after="0"/>
              <w:rPr>
                <w:sz w:val="2"/>
                <w:szCs w:val="2"/>
                <w:color w:val="auto"/>
              </w:rPr>
            </w:pPr>
          </w:p>
        </w:tc>
        <w:tc>
          <w:tcPr>
            <w:tcW w:w="840" w:type="dxa"/>
            <w:vAlign w:val="bottom"/>
            <w:tcBorders>
              <w:bottom w:val="single" w:sz="8" w:color="3E3935"/>
            </w:tcBorders>
          </w:tcPr>
          <w:p>
            <w:pPr>
              <w:spacing w:after="0"/>
              <w:rPr>
                <w:sz w:val="2"/>
                <w:szCs w:val="2"/>
                <w:color w:val="auto"/>
              </w:rPr>
            </w:pPr>
          </w:p>
        </w:tc>
        <w:tc>
          <w:tcPr>
            <w:tcW w:w="1360" w:type="dxa"/>
            <w:vAlign w:val="bottom"/>
            <w:tcBorders>
              <w:bottom w:val="single" w:sz="8" w:color="3E3935"/>
            </w:tcBorders>
          </w:tcPr>
          <w:p>
            <w:pPr>
              <w:spacing w:after="0"/>
              <w:rPr>
                <w:sz w:val="2"/>
                <w:szCs w:val="2"/>
                <w:color w:val="auto"/>
              </w:rPr>
            </w:pPr>
          </w:p>
        </w:tc>
        <w:tc>
          <w:tcPr>
            <w:tcW w:w="1200" w:type="dxa"/>
            <w:vAlign w:val="bottom"/>
            <w:tcBorders>
              <w:bottom w:val="single" w:sz="8" w:color="3E3935"/>
            </w:tcBorders>
          </w:tcPr>
          <w:p>
            <w:pPr>
              <w:spacing w:after="0"/>
              <w:rPr>
                <w:sz w:val="2"/>
                <w:szCs w:val="2"/>
                <w:color w:val="auto"/>
              </w:rPr>
            </w:pPr>
          </w:p>
        </w:tc>
        <w:tc>
          <w:tcPr>
            <w:tcW w:w="1360" w:type="dxa"/>
            <w:vAlign w:val="bottom"/>
            <w:tcBorders>
              <w:bottom w:val="single" w:sz="8" w:color="3E3935"/>
            </w:tcBorders>
          </w:tcPr>
          <w:p>
            <w:pPr>
              <w:spacing w:after="0"/>
              <w:rPr>
                <w:sz w:val="2"/>
                <w:szCs w:val="2"/>
                <w:color w:val="auto"/>
              </w:rPr>
            </w:pPr>
          </w:p>
        </w:tc>
        <w:tc>
          <w:tcPr>
            <w:tcW w:w="88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2440" w:type="dxa"/>
            <w:vAlign w:val="bottom"/>
            <w:vMerge w:val="continue"/>
          </w:tcPr>
          <w:p>
            <w:pPr>
              <w:spacing w:after="0"/>
              <w:rPr>
                <w:sz w:val="9"/>
                <w:szCs w:val="9"/>
                <w:color w:val="auto"/>
              </w:rPr>
            </w:pPr>
          </w:p>
        </w:tc>
        <w:tc>
          <w:tcPr>
            <w:tcW w:w="540" w:type="dxa"/>
            <w:vAlign w:val="bottom"/>
            <w:vMerge w:val="restart"/>
          </w:tcPr>
          <w:p>
            <w:pPr>
              <w:ind w:left="120"/>
              <w:spacing w:after="0"/>
              <w:rPr>
                <w:sz w:val="20"/>
                <w:szCs w:val="20"/>
                <w:color w:val="auto"/>
              </w:rPr>
            </w:pPr>
            <w:r>
              <w:rPr>
                <w:rFonts w:ascii="Arial" w:cs="Arial" w:eastAsia="Arial" w:hAnsi="Arial"/>
                <w:sz w:val="14"/>
                <w:szCs w:val="14"/>
                <w:color w:val="3E3935"/>
              </w:rPr>
              <w:t>2019</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3E3935"/>
              </w:rPr>
              <w:t>1,000,000</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3E3935"/>
              </w:rPr>
              <w:t>3,659,772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E3935"/>
              </w:rPr>
              <w:t>1,062,503</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3E3935"/>
              </w:rPr>
              <w:t>875,000</w:t>
            </w:r>
          </w:p>
        </w:tc>
        <w:tc>
          <w:tcPr>
            <w:tcW w:w="1200" w:type="dxa"/>
            <w:vAlign w:val="bottom"/>
            <w:vMerge w:val="restart"/>
          </w:tcPr>
          <w:p>
            <w:pPr>
              <w:jc w:val="right"/>
              <w:ind w:right="7"/>
              <w:spacing w:after="0"/>
              <w:rPr>
                <w:sz w:val="20"/>
                <w:szCs w:val="20"/>
                <w:color w:val="auto"/>
              </w:rPr>
            </w:pPr>
            <w:r>
              <w:rPr>
                <w:rFonts w:ascii="Arial" w:cs="Arial" w:eastAsia="Arial" w:hAnsi="Arial"/>
                <w:sz w:val="14"/>
                <w:szCs w:val="14"/>
                <w:color w:val="3E3935"/>
              </w:rPr>
              <w:t>2,890</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3E3935"/>
              </w:rPr>
              <w:t>167,392</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3E3935"/>
              </w:rPr>
              <w:t>6,767,557</w:t>
            </w:r>
          </w:p>
        </w:tc>
        <w:tc>
          <w:tcPr>
            <w:tcW w:w="0" w:type="dxa"/>
            <w:vAlign w:val="bottom"/>
          </w:tcPr>
          <w:p>
            <w:pPr>
              <w:spacing w:after="0"/>
              <w:rPr>
                <w:sz w:val="1"/>
                <w:szCs w:val="1"/>
                <w:color w:val="auto"/>
              </w:rPr>
            </w:pPr>
          </w:p>
        </w:tc>
      </w:tr>
      <w:tr>
        <w:trPr>
          <w:trHeight w:val="107"/>
        </w:trPr>
        <w:tc>
          <w:tcPr>
            <w:tcW w:w="2440" w:type="dxa"/>
            <w:vAlign w:val="bottom"/>
            <w:vMerge w:val="restart"/>
          </w:tcPr>
          <w:p>
            <w:pPr>
              <w:ind w:left="80"/>
              <w:spacing w:after="0"/>
              <w:rPr>
                <w:sz w:val="20"/>
                <w:szCs w:val="20"/>
                <w:color w:val="auto"/>
              </w:rPr>
            </w:pPr>
            <w:r>
              <w:rPr>
                <w:rFonts w:ascii="Arial" w:cs="Arial" w:eastAsia="Arial" w:hAnsi="Arial"/>
                <w:sz w:val="14"/>
                <w:szCs w:val="14"/>
                <w:color w:val="3E3935"/>
              </w:rPr>
              <w:t>President and Chief</w:t>
            </w:r>
          </w:p>
        </w:tc>
        <w:tc>
          <w:tcPr>
            <w:tcW w:w="540" w:type="dxa"/>
            <w:vAlign w:val="bottom"/>
            <w:tcBorders>
              <w:bottom w:val="single" w:sz="8" w:color="3E3935"/>
            </w:tcBorders>
            <w:vMerge w:val="continue"/>
          </w:tcPr>
          <w:p>
            <w:pPr>
              <w:spacing w:after="0"/>
              <w:rPr>
                <w:sz w:val="8"/>
                <w:szCs w:val="8"/>
                <w:color w:val="auto"/>
              </w:rPr>
            </w:pPr>
          </w:p>
        </w:tc>
        <w:tc>
          <w:tcPr>
            <w:tcW w:w="800" w:type="dxa"/>
            <w:vAlign w:val="bottom"/>
            <w:tcBorders>
              <w:bottom w:val="single" w:sz="8" w:color="3E3935"/>
            </w:tcBorders>
            <w:vMerge w:val="continue"/>
          </w:tcPr>
          <w:p>
            <w:pPr>
              <w:spacing w:after="0"/>
              <w:rPr>
                <w:sz w:val="8"/>
                <w:szCs w:val="8"/>
                <w:color w:val="auto"/>
              </w:rPr>
            </w:pPr>
          </w:p>
        </w:tc>
        <w:tc>
          <w:tcPr>
            <w:tcW w:w="620" w:type="dxa"/>
            <w:vAlign w:val="bottom"/>
            <w:tcBorders>
              <w:bottom w:val="single" w:sz="8" w:color="3E3935"/>
            </w:tcBorders>
            <w:vMerge w:val="continue"/>
          </w:tcPr>
          <w:p>
            <w:pPr>
              <w:spacing w:after="0"/>
              <w:rPr>
                <w:sz w:val="8"/>
                <w:szCs w:val="8"/>
                <w:color w:val="auto"/>
              </w:rPr>
            </w:pPr>
          </w:p>
        </w:tc>
        <w:tc>
          <w:tcPr>
            <w:tcW w:w="880" w:type="dxa"/>
            <w:vAlign w:val="bottom"/>
            <w:tcBorders>
              <w:bottom w:val="single" w:sz="8" w:color="3E3935"/>
            </w:tcBorders>
            <w:vMerge w:val="continue"/>
          </w:tcPr>
          <w:p>
            <w:pPr>
              <w:spacing w:after="0"/>
              <w:rPr>
                <w:sz w:val="8"/>
                <w:szCs w:val="8"/>
                <w:color w:val="auto"/>
              </w:rPr>
            </w:pPr>
          </w:p>
        </w:tc>
        <w:tc>
          <w:tcPr>
            <w:tcW w:w="840" w:type="dxa"/>
            <w:vAlign w:val="bottom"/>
            <w:tcBorders>
              <w:bottom w:val="single" w:sz="8" w:color="3E3935"/>
            </w:tcBorders>
            <w:vMerge w:val="continue"/>
          </w:tcPr>
          <w:p>
            <w:pPr>
              <w:spacing w:after="0"/>
              <w:rPr>
                <w:sz w:val="8"/>
                <w:szCs w:val="8"/>
                <w:color w:val="auto"/>
              </w:rPr>
            </w:pPr>
          </w:p>
        </w:tc>
        <w:tc>
          <w:tcPr>
            <w:tcW w:w="1360" w:type="dxa"/>
            <w:vAlign w:val="bottom"/>
            <w:tcBorders>
              <w:bottom w:val="single" w:sz="8" w:color="3E3935"/>
            </w:tcBorders>
            <w:vMerge w:val="continue"/>
          </w:tcPr>
          <w:p>
            <w:pPr>
              <w:spacing w:after="0"/>
              <w:rPr>
                <w:sz w:val="8"/>
                <w:szCs w:val="8"/>
                <w:color w:val="auto"/>
              </w:rPr>
            </w:pPr>
          </w:p>
        </w:tc>
        <w:tc>
          <w:tcPr>
            <w:tcW w:w="1200" w:type="dxa"/>
            <w:vAlign w:val="bottom"/>
            <w:tcBorders>
              <w:bottom w:val="single" w:sz="8" w:color="3E3935"/>
            </w:tcBorders>
            <w:vMerge w:val="continue"/>
          </w:tcPr>
          <w:p>
            <w:pPr>
              <w:spacing w:after="0"/>
              <w:rPr>
                <w:sz w:val="8"/>
                <w:szCs w:val="8"/>
                <w:color w:val="auto"/>
              </w:rPr>
            </w:pPr>
          </w:p>
        </w:tc>
        <w:tc>
          <w:tcPr>
            <w:tcW w:w="1360" w:type="dxa"/>
            <w:vAlign w:val="bottom"/>
            <w:tcBorders>
              <w:bottom w:val="single" w:sz="8" w:color="3E3935"/>
            </w:tcBorders>
            <w:vMerge w:val="continue"/>
          </w:tcPr>
          <w:p>
            <w:pPr>
              <w:spacing w:after="0"/>
              <w:rPr>
                <w:sz w:val="8"/>
                <w:szCs w:val="8"/>
                <w:color w:val="auto"/>
              </w:rPr>
            </w:pPr>
          </w:p>
        </w:tc>
        <w:tc>
          <w:tcPr>
            <w:tcW w:w="880" w:type="dxa"/>
            <w:vAlign w:val="bottom"/>
            <w:tcBorders>
              <w:bottom w:val="single" w:sz="8" w:color="3E393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4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Financial Officer</w:t>
            </w:r>
          </w:p>
        </w:tc>
        <w:tc>
          <w:tcPr>
            <w:tcW w:w="540" w:type="dxa"/>
            <w:vAlign w:val="bottom"/>
            <w:tcBorders>
              <w:bottom w:val="single" w:sz="8" w:color="3E3935"/>
            </w:tcBorders>
          </w:tcPr>
          <w:p>
            <w:pPr>
              <w:ind w:left="120"/>
              <w:spacing w:after="0"/>
              <w:rPr>
                <w:sz w:val="20"/>
                <w:szCs w:val="20"/>
                <w:color w:val="auto"/>
              </w:rPr>
            </w:pPr>
            <w:r>
              <w:rPr>
                <w:rFonts w:ascii="Arial" w:cs="Arial" w:eastAsia="Arial" w:hAnsi="Arial"/>
                <w:sz w:val="14"/>
                <w:szCs w:val="14"/>
                <w:color w:val="3E3935"/>
              </w:rPr>
              <w:t>2018</w:t>
            </w:r>
          </w:p>
        </w:tc>
        <w:tc>
          <w:tcPr>
            <w:tcW w:w="80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668,100</w:t>
            </w:r>
          </w:p>
        </w:tc>
        <w:tc>
          <w:tcPr>
            <w:tcW w:w="62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2,446,635</w:t>
            </w:r>
          </w:p>
        </w:tc>
        <w:tc>
          <w:tcPr>
            <w:tcW w:w="840" w:type="dxa"/>
            <w:vAlign w:val="bottom"/>
            <w:tcBorders>
              <w:bottom w:val="single" w:sz="8" w:color="3E3935"/>
            </w:tcBorders>
          </w:tcPr>
          <w:p>
            <w:pPr>
              <w:jc w:val="right"/>
              <w:spacing w:after="0"/>
              <w:rPr>
                <w:sz w:val="20"/>
                <w:szCs w:val="20"/>
                <w:color w:val="auto"/>
              </w:rPr>
            </w:pPr>
            <w:r>
              <w:rPr>
                <w:rFonts w:ascii="Arial" w:cs="Arial" w:eastAsia="Arial" w:hAnsi="Arial"/>
                <w:sz w:val="14"/>
                <w:szCs w:val="14"/>
                <w:color w:val="3E3935"/>
              </w:rPr>
              <w:t>796,263</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1,192,500</w:t>
            </w:r>
          </w:p>
        </w:tc>
        <w:tc>
          <w:tcPr>
            <w:tcW w:w="120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w:t>
            </w:r>
          </w:p>
        </w:tc>
        <w:tc>
          <w:tcPr>
            <w:tcW w:w="1360" w:type="dxa"/>
            <w:vAlign w:val="bottom"/>
            <w:tcBorders>
              <w:bottom w:val="single" w:sz="8" w:color="3E3935"/>
            </w:tcBorders>
          </w:tcPr>
          <w:p>
            <w:pPr>
              <w:jc w:val="right"/>
              <w:ind w:right="8"/>
              <w:spacing w:after="0"/>
              <w:rPr>
                <w:sz w:val="20"/>
                <w:szCs w:val="20"/>
                <w:color w:val="auto"/>
              </w:rPr>
            </w:pPr>
            <w:r>
              <w:rPr>
                <w:rFonts w:ascii="Arial" w:cs="Arial" w:eastAsia="Arial" w:hAnsi="Arial"/>
                <w:sz w:val="14"/>
                <w:szCs w:val="14"/>
                <w:color w:val="3E3935"/>
              </w:rPr>
              <w:t>402,592</w:t>
            </w:r>
          </w:p>
        </w:tc>
        <w:tc>
          <w:tcPr>
            <w:tcW w:w="88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5,506,090</w:t>
            </w:r>
          </w:p>
        </w:tc>
        <w:tc>
          <w:tcPr>
            <w:tcW w:w="0" w:type="dxa"/>
            <w:vAlign w:val="bottom"/>
          </w:tcPr>
          <w:p>
            <w:pPr>
              <w:spacing w:after="0"/>
              <w:rPr>
                <w:sz w:val="1"/>
                <w:szCs w:val="1"/>
                <w:color w:val="auto"/>
              </w:rPr>
            </w:pPr>
          </w:p>
        </w:tc>
      </w:tr>
      <w:tr>
        <w:trPr>
          <w:trHeight w:val="212"/>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John P. Stapleton</w:t>
            </w:r>
          </w:p>
        </w:tc>
        <w:tc>
          <w:tcPr>
            <w:tcW w:w="540" w:type="dxa"/>
            <w:vAlign w:val="bottom"/>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Pr>
          <w:p>
            <w:pPr>
              <w:jc w:val="right"/>
              <w:ind w:right="8"/>
              <w:spacing w:after="0"/>
              <w:rPr>
                <w:sz w:val="20"/>
                <w:szCs w:val="20"/>
                <w:color w:val="auto"/>
              </w:rPr>
            </w:pPr>
            <w:r>
              <w:rPr>
                <w:rFonts w:ascii="Arial" w:cs="Arial" w:eastAsia="Arial" w:hAnsi="Arial"/>
                <w:sz w:val="14"/>
                <w:szCs w:val="14"/>
                <w:color w:val="3E3935"/>
              </w:rPr>
              <w:t>556,320</w:t>
            </w:r>
          </w:p>
        </w:tc>
        <w:tc>
          <w:tcPr>
            <w:tcW w:w="62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Pr>
          <w:p>
            <w:pPr>
              <w:jc w:val="right"/>
              <w:spacing w:after="0"/>
              <w:rPr>
                <w:sz w:val="20"/>
                <w:szCs w:val="20"/>
                <w:color w:val="auto"/>
              </w:rPr>
            </w:pPr>
            <w:r>
              <w:rPr>
                <w:rFonts w:ascii="Arial" w:cs="Arial" w:eastAsia="Arial" w:hAnsi="Arial"/>
                <w:sz w:val="14"/>
                <w:szCs w:val="14"/>
                <w:color w:val="3E3935"/>
              </w:rPr>
              <w:t>1,927,506</w:t>
            </w:r>
          </w:p>
        </w:tc>
        <w:tc>
          <w:tcPr>
            <w:tcW w:w="840" w:type="dxa"/>
            <w:vAlign w:val="bottom"/>
          </w:tcPr>
          <w:p>
            <w:pPr>
              <w:jc w:val="right"/>
              <w:spacing w:after="0"/>
              <w:rPr>
                <w:sz w:val="20"/>
                <w:szCs w:val="20"/>
                <w:color w:val="auto"/>
              </w:rPr>
            </w:pPr>
            <w:r>
              <w:rPr>
                <w:rFonts w:ascii="Arial" w:cs="Arial" w:eastAsia="Arial" w:hAnsi="Arial"/>
                <w:sz w:val="14"/>
                <w:szCs w:val="14"/>
                <w:color w:val="3E3935"/>
              </w:rPr>
              <w:t>225,001</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742,200</w:t>
            </w:r>
          </w:p>
        </w:tc>
        <w:tc>
          <w:tcPr>
            <w:tcW w:w="1200" w:type="dxa"/>
            <w:vAlign w:val="bottom"/>
          </w:tcPr>
          <w:p>
            <w:pPr>
              <w:jc w:val="right"/>
              <w:ind w:right="7"/>
              <w:spacing w:after="0"/>
              <w:rPr>
                <w:sz w:val="20"/>
                <w:szCs w:val="20"/>
                <w:color w:val="auto"/>
              </w:rPr>
            </w:pPr>
            <w:r>
              <w:rPr>
                <w:rFonts w:ascii="Arial" w:cs="Arial" w:eastAsia="Arial" w:hAnsi="Arial"/>
                <w:sz w:val="14"/>
                <w:szCs w:val="14"/>
                <w:color w:val="3E3935"/>
              </w:rPr>
              <w:t>164,734</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131,040</w:t>
            </w:r>
          </w:p>
        </w:tc>
        <w:tc>
          <w:tcPr>
            <w:tcW w:w="880" w:type="dxa"/>
            <w:vAlign w:val="bottom"/>
          </w:tcPr>
          <w:p>
            <w:pPr>
              <w:jc w:val="right"/>
              <w:ind w:right="28"/>
              <w:spacing w:after="0"/>
              <w:rPr>
                <w:sz w:val="20"/>
                <w:szCs w:val="20"/>
                <w:color w:val="auto"/>
              </w:rPr>
            </w:pPr>
            <w:r>
              <w:rPr>
                <w:rFonts w:ascii="Arial" w:cs="Arial" w:eastAsia="Arial" w:hAnsi="Arial"/>
                <w:sz w:val="14"/>
                <w:szCs w:val="14"/>
                <w:color w:val="3E3935"/>
              </w:rPr>
              <w:t>3,746,801</w:t>
            </w: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Vice President and Chief Financial</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Officer, North America, and Former</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3E3935"/>
            </w:tcBorders>
          </w:tcPr>
          <w:p>
            <w:pPr>
              <w:ind w:left="80"/>
              <w:spacing w:after="0"/>
              <w:rPr>
                <w:sz w:val="20"/>
                <w:szCs w:val="20"/>
                <w:color w:val="auto"/>
              </w:rPr>
            </w:pPr>
            <w:r>
              <w:rPr>
                <w:rFonts w:ascii="Arial" w:cs="Arial" w:eastAsia="Arial" w:hAnsi="Arial"/>
                <w:sz w:val="14"/>
                <w:szCs w:val="14"/>
                <w:color w:val="3E3935"/>
              </w:rPr>
              <w:t>Acting Chief Financial Officer</w:t>
            </w:r>
          </w:p>
        </w:tc>
        <w:tc>
          <w:tcPr>
            <w:tcW w:w="540" w:type="dxa"/>
            <w:vAlign w:val="bottom"/>
            <w:tcBorders>
              <w:bottom w:val="single" w:sz="8" w:color="3E3935"/>
            </w:tcBorders>
          </w:tcPr>
          <w:p>
            <w:pPr>
              <w:spacing w:after="0"/>
              <w:rPr>
                <w:sz w:val="14"/>
                <w:szCs w:val="14"/>
                <w:color w:val="auto"/>
              </w:rPr>
            </w:pPr>
          </w:p>
        </w:tc>
        <w:tc>
          <w:tcPr>
            <w:tcW w:w="800" w:type="dxa"/>
            <w:vAlign w:val="bottom"/>
            <w:tcBorders>
              <w:bottom w:val="single" w:sz="8" w:color="3E3935"/>
            </w:tcBorders>
          </w:tcPr>
          <w:p>
            <w:pPr>
              <w:spacing w:after="0"/>
              <w:rPr>
                <w:sz w:val="14"/>
                <w:szCs w:val="14"/>
                <w:color w:val="auto"/>
              </w:rPr>
            </w:pPr>
          </w:p>
        </w:tc>
        <w:tc>
          <w:tcPr>
            <w:tcW w:w="62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84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1200" w:type="dxa"/>
            <w:vAlign w:val="bottom"/>
            <w:tcBorders>
              <w:bottom w:val="single" w:sz="8" w:color="3E3935"/>
            </w:tcBorders>
          </w:tcPr>
          <w:p>
            <w:pPr>
              <w:spacing w:after="0"/>
              <w:rPr>
                <w:sz w:val="14"/>
                <w:szCs w:val="14"/>
                <w:color w:val="auto"/>
              </w:rPr>
            </w:pPr>
          </w:p>
        </w:tc>
        <w:tc>
          <w:tcPr>
            <w:tcW w:w="1360" w:type="dxa"/>
            <w:vAlign w:val="bottom"/>
            <w:tcBorders>
              <w:bottom w:val="single" w:sz="8" w:color="3E3935"/>
            </w:tcBorders>
          </w:tcPr>
          <w:p>
            <w:pPr>
              <w:spacing w:after="0"/>
              <w:rPr>
                <w:sz w:val="14"/>
                <w:szCs w:val="14"/>
                <w:color w:val="auto"/>
              </w:rPr>
            </w:pPr>
          </w:p>
        </w:tc>
        <w:tc>
          <w:tcPr>
            <w:tcW w:w="880" w:type="dxa"/>
            <w:vAlign w:val="bottom"/>
            <w:tcBorders>
              <w:bottom w:val="single" w:sz="8" w:color="3E3935"/>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40" w:type="dxa"/>
            <w:vAlign w:val="bottom"/>
          </w:tcPr>
          <w:p>
            <w:pPr>
              <w:ind w:left="80"/>
              <w:spacing w:after="0"/>
              <w:rPr>
                <w:sz w:val="20"/>
                <w:szCs w:val="20"/>
                <w:color w:val="auto"/>
              </w:rPr>
            </w:pPr>
            <w:r>
              <w:rPr>
                <w:rFonts w:ascii="Arial" w:cs="Arial" w:eastAsia="Arial" w:hAnsi="Arial"/>
                <w:sz w:val="14"/>
                <w:szCs w:val="14"/>
                <w:b w:val="1"/>
                <w:bCs w:val="1"/>
                <w:color w:val="3E3935"/>
              </w:rPr>
              <w:t>Barry L. Engle II</w:t>
            </w:r>
          </w:p>
        </w:tc>
        <w:tc>
          <w:tcPr>
            <w:tcW w:w="540" w:type="dxa"/>
            <w:vAlign w:val="bottom"/>
          </w:tcPr>
          <w:p>
            <w:pPr>
              <w:ind w:left="120"/>
              <w:spacing w:after="0"/>
              <w:rPr>
                <w:sz w:val="20"/>
                <w:szCs w:val="20"/>
                <w:color w:val="auto"/>
              </w:rPr>
            </w:pPr>
            <w:r>
              <w:rPr>
                <w:rFonts w:ascii="Arial" w:cs="Arial" w:eastAsia="Arial" w:hAnsi="Arial"/>
                <w:sz w:val="14"/>
                <w:szCs w:val="14"/>
                <w:color w:val="3E3935"/>
              </w:rPr>
              <w:t>2020</w:t>
            </w:r>
          </w:p>
        </w:tc>
        <w:tc>
          <w:tcPr>
            <w:tcW w:w="800" w:type="dxa"/>
            <w:vAlign w:val="bottom"/>
          </w:tcPr>
          <w:p>
            <w:pPr>
              <w:jc w:val="right"/>
              <w:ind w:right="8"/>
              <w:spacing w:after="0"/>
              <w:rPr>
                <w:sz w:val="20"/>
                <w:szCs w:val="20"/>
                <w:color w:val="auto"/>
              </w:rPr>
            </w:pPr>
            <w:r>
              <w:rPr>
                <w:rFonts w:ascii="Arial" w:cs="Arial" w:eastAsia="Arial" w:hAnsi="Arial"/>
                <w:sz w:val="14"/>
                <w:szCs w:val="14"/>
                <w:color w:val="3E3935"/>
              </w:rPr>
              <w:t>531,251</w:t>
            </w:r>
          </w:p>
        </w:tc>
        <w:tc>
          <w:tcPr>
            <w:tcW w:w="62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tcPr>
          <w:p>
            <w:pPr>
              <w:jc w:val="right"/>
              <w:spacing w:after="0"/>
              <w:rPr>
                <w:sz w:val="20"/>
                <w:szCs w:val="20"/>
                <w:color w:val="auto"/>
              </w:rPr>
            </w:pPr>
            <w:r>
              <w:rPr>
                <w:rFonts w:ascii="Arial" w:cs="Arial" w:eastAsia="Arial" w:hAnsi="Arial"/>
                <w:sz w:val="14"/>
                <w:szCs w:val="14"/>
                <w:color w:val="3E3935"/>
              </w:rPr>
              <w:t>3,711,814</w:t>
            </w:r>
          </w:p>
        </w:tc>
        <w:tc>
          <w:tcPr>
            <w:tcW w:w="840" w:type="dxa"/>
            <w:vAlign w:val="bottom"/>
          </w:tcPr>
          <w:p>
            <w:pPr>
              <w:jc w:val="right"/>
              <w:spacing w:after="0"/>
              <w:rPr>
                <w:sz w:val="20"/>
                <w:szCs w:val="20"/>
                <w:color w:val="auto"/>
              </w:rPr>
            </w:pPr>
            <w:r>
              <w:rPr>
                <w:rFonts w:ascii="Arial" w:cs="Arial" w:eastAsia="Arial" w:hAnsi="Arial"/>
                <w:sz w:val="14"/>
                <w:szCs w:val="14"/>
                <w:color w:val="3E3935"/>
              </w:rPr>
              <w:t>1,464,369</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w:t>
            </w:r>
          </w:p>
        </w:tc>
        <w:tc>
          <w:tcPr>
            <w:tcW w:w="1200" w:type="dxa"/>
            <w:vAlign w:val="bottom"/>
          </w:tcPr>
          <w:p>
            <w:pPr>
              <w:jc w:val="right"/>
              <w:ind w:right="7"/>
              <w:spacing w:after="0"/>
              <w:rPr>
                <w:sz w:val="20"/>
                <w:szCs w:val="20"/>
                <w:color w:val="auto"/>
              </w:rPr>
            </w:pPr>
            <w:r>
              <w:rPr>
                <w:rFonts w:ascii="Arial" w:cs="Arial" w:eastAsia="Arial" w:hAnsi="Arial"/>
                <w:sz w:val="14"/>
                <w:szCs w:val="14"/>
                <w:color w:val="3E3935"/>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3E3935"/>
              </w:rPr>
              <w:t>2,458,665</w:t>
            </w:r>
          </w:p>
        </w:tc>
        <w:tc>
          <w:tcPr>
            <w:tcW w:w="880" w:type="dxa"/>
            <w:vAlign w:val="bottom"/>
          </w:tcPr>
          <w:p>
            <w:pPr>
              <w:jc w:val="right"/>
              <w:ind w:right="28"/>
              <w:spacing w:after="0"/>
              <w:rPr>
                <w:sz w:val="20"/>
                <w:szCs w:val="20"/>
                <w:color w:val="auto"/>
              </w:rPr>
            </w:pPr>
            <w:r>
              <w:rPr>
                <w:rFonts w:ascii="Arial" w:cs="Arial" w:eastAsia="Arial" w:hAnsi="Arial"/>
                <w:sz w:val="14"/>
                <w:szCs w:val="14"/>
                <w:color w:val="3E3935"/>
              </w:rPr>
              <w:t>8,166,099</w:t>
            </w:r>
          </w:p>
        </w:tc>
        <w:tc>
          <w:tcPr>
            <w:tcW w:w="0" w:type="dxa"/>
            <w:vAlign w:val="bottom"/>
          </w:tcPr>
          <w:p>
            <w:pPr>
              <w:spacing w:after="0"/>
              <w:rPr>
                <w:sz w:val="1"/>
                <w:szCs w:val="1"/>
                <w:color w:val="auto"/>
              </w:rPr>
            </w:pPr>
          </w:p>
        </w:tc>
      </w:tr>
      <w:tr>
        <w:trPr>
          <w:trHeight w:val="27"/>
        </w:trPr>
        <w:tc>
          <w:tcPr>
            <w:tcW w:w="2440" w:type="dxa"/>
            <w:vAlign w:val="bottom"/>
            <w:vMerge w:val="restart"/>
          </w:tcPr>
          <w:p>
            <w:pPr>
              <w:ind w:left="80"/>
              <w:spacing w:after="0" w:line="152" w:lineRule="exact"/>
              <w:rPr>
                <w:sz w:val="20"/>
                <w:szCs w:val="20"/>
                <w:color w:val="auto"/>
              </w:rPr>
            </w:pPr>
            <w:r>
              <w:rPr>
                <w:rFonts w:ascii="Arial" w:cs="Arial" w:eastAsia="Arial" w:hAnsi="Arial"/>
                <w:sz w:val="14"/>
                <w:szCs w:val="14"/>
                <w:color w:val="3E3935"/>
              </w:rPr>
              <w:t>Former Executive Vice</w:t>
            </w:r>
          </w:p>
        </w:tc>
        <w:tc>
          <w:tcPr>
            <w:tcW w:w="540" w:type="dxa"/>
            <w:vAlign w:val="bottom"/>
            <w:tcBorders>
              <w:bottom w:val="single" w:sz="8" w:color="3E3935"/>
            </w:tcBorders>
          </w:tcPr>
          <w:p>
            <w:pPr>
              <w:spacing w:after="0"/>
              <w:rPr>
                <w:sz w:val="2"/>
                <w:szCs w:val="2"/>
                <w:color w:val="auto"/>
              </w:rPr>
            </w:pPr>
          </w:p>
        </w:tc>
        <w:tc>
          <w:tcPr>
            <w:tcW w:w="800" w:type="dxa"/>
            <w:vAlign w:val="bottom"/>
            <w:tcBorders>
              <w:bottom w:val="single" w:sz="8" w:color="3E3935"/>
            </w:tcBorders>
          </w:tcPr>
          <w:p>
            <w:pPr>
              <w:spacing w:after="0"/>
              <w:rPr>
                <w:sz w:val="2"/>
                <w:szCs w:val="2"/>
                <w:color w:val="auto"/>
              </w:rPr>
            </w:pPr>
          </w:p>
        </w:tc>
        <w:tc>
          <w:tcPr>
            <w:tcW w:w="620" w:type="dxa"/>
            <w:vAlign w:val="bottom"/>
            <w:tcBorders>
              <w:bottom w:val="single" w:sz="8" w:color="3E3935"/>
            </w:tcBorders>
          </w:tcPr>
          <w:p>
            <w:pPr>
              <w:spacing w:after="0"/>
              <w:rPr>
                <w:sz w:val="2"/>
                <w:szCs w:val="2"/>
                <w:color w:val="auto"/>
              </w:rPr>
            </w:pPr>
          </w:p>
        </w:tc>
        <w:tc>
          <w:tcPr>
            <w:tcW w:w="880" w:type="dxa"/>
            <w:vAlign w:val="bottom"/>
            <w:tcBorders>
              <w:bottom w:val="single" w:sz="8" w:color="3E3935"/>
            </w:tcBorders>
          </w:tcPr>
          <w:p>
            <w:pPr>
              <w:spacing w:after="0"/>
              <w:rPr>
                <w:sz w:val="2"/>
                <w:szCs w:val="2"/>
                <w:color w:val="auto"/>
              </w:rPr>
            </w:pPr>
          </w:p>
        </w:tc>
        <w:tc>
          <w:tcPr>
            <w:tcW w:w="840" w:type="dxa"/>
            <w:vAlign w:val="bottom"/>
            <w:tcBorders>
              <w:bottom w:val="single" w:sz="8" w:color="3E3935"/>
            </w:tcBorders>
          </w:tcPr>
          <w:p>
            <w:pPr>
              <w:spacing w:after="0"/>
              <w:rPr>
                <w:sz w:val="2"/>
                <w:szCs w:val="2"/>
                <w:color w:val="auto"/>
              </w:rPr>
            </w:pPr>
          </w:p>
        </w:tc>
        <w:tc>
          <w:tcPr>
            <w:tcW w:w="1360" w:type="dxa"/>
            <w:vAlign w:val="bottom"/>
            <w:tcBorders>
              <w:bottom w:val="single" w:sz="8" w:color="3E3935"/>
            </w:tcBorders>
          </w:tcPr>
          <w:p>
            <w:pPr>
              <w:spacing w:after="0"/>
              <w:rPr>
                <w:sz w:val="2"/>
                <w:szCs w:val="2"/>
                <w:color w:val="auto"/>
              </w:rPr>
            </w:pPr>
          </w:p>
        </w:tc>
        <w:tc>
          <w:tcPr>
            <w:tcW w:w="1200" w:type="dxa"/>
            <w:vAlign w:val="bottom"/>
            <w:tcBorders>
              <w:bottom w:val="single" w:sz="8" w:color="3E3935"/>
            </w:tcBorders>
          </w:tcPr>
          <w:p>
            <w:pPr>
              <w:spacing w:after="0"/>
              <w:rPr>
                <w:sz w:val="2"/>
                <w:szCs w:val="2"/>
                <w:color w:val="auto"/>
              </w:rPr>
            </w:pPr>
          </w:p>
        </w:tc>
        <w:tc>
          <w:tcPr>
            <w:tcW w:w="1360" w:type="dxa"/>
            <w:vAlign w:val="bottom"/>
            <w:tcBorders>
              <w:bottom w:val="single" w:sz="8" w:color="3E3935"/>
            </w:tcBorders>
          </w:tcPr>
          <w:p>
            <w:pPr>
              <w:spacing w:after="0"/>
              <w:rPr>
                <w:sz w:val="2"/>
                <w:szCs w:val="2"/>
                <w:color w:val="auto"/>
              </w:rPr>
            </w:pPr>
          </w:p>
        </w:tc>
        <w:tc>
          <w:tcPr>
            <w:tcW w:w="88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2440" w:type="dxa"/>
            <w:vAlign w:val="bottom"/>
            <w:vMerge w:val="continue"/>
          </w:tcPr>
          <w:p>
            <w:pPr>
              <w:spacing w:after="0"/>
              <w:rPr>
                <w:sz w:val="9"/>
                <w:szCs w:val="9"/>
                <w:color w:val="auto"/>
              </w:rPr>
            </w:pPr>
          </w:p>
        </w:tc>
        <w:tc>
          <w:tcPr>
            <w:tcW w:w="540" w:type="dxa"/>
            <w:vAlign w:val="bottom"/>
            <w:vMerge w:val="restart"/>
          </w:tcPr>
          <w:p>
            <w:pPr>
              <w:ind w:left="120"/>
              <w:spacing w:after="0"/>
              <w:rPr>
                <w:sz w:val="20"/>
                <w:szCs w:val="20"/>
                <w:color w:val="auto"/>
              </w:rPr>
            </w:pPr>
            <w:r>
              <w:rPr>
                <w:rFonts w:ascii="Arial" w:cs="Arial" w:eastAsia="Arial" w:hAnsi="Arial"/>
                <w:sz w:val="14"/>
                <w:szCs w:val="14"/>
                <w:color w:val="3E3935"/>
              </w:rPr>
              <w:t>2019</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3E3935"/>
              </w:rPr>
              <w:t>800,000</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3E3935"/>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3E3935"/>
              </w:rPr>
              <w:t>2,747,276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3E3935"/>
              </w:rPr>
              <w:t>800,003</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3E3935"/>
              </w:rPr>
              <w:t>650,000</w:t>
            </w:r>
          </w:p>
        </w:tc>
        <w:tc>
          <w:tcPr>
            <w:tcW w:w="1200" w:type="dxa"/>
            <w:vAlign w:val="bottom"/>
            <w:vMerge w:val="restart"/>
          </w:tcPr>
          <w:p>
            <w:pPr>
              <w:jc w:val="right"/>
              <w:ind w:right="7"/>
              <w:spacing w:after="0"/>
              <w:rPr>
                <w:sz w:val="20"/>
                <w:szCs w:val="20"/>
                <w:color w:val="auto"/>
              </w:rPr>
            </w:pPr>
            <w:r>
              <w:rPr>
                <w:rFonts w:ascii="Arial" w:cs="Arial" w:eastAsia="Arial" w:hAnsi="Arial"/>
                <w:sz w:val="14"/>
                <w:szCs w:val="14"/>
                <w:color w:val="3E3935"/>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3E3935"/>
              </w:rPr>
              <w:t>149,005</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3E3935"/>
              </w:rPr>
              <w:t>5,146,284</w:t>
            </w:r>
          </w:p>
        </w:tc>
        <w:tc>
          <w:tcPr>
            <w:tcW w:w="0" w:type="dxa"/>
            <w:vAlign w:val="bottom"/>
          </w:tcPr>
          <w:p>
            <w:pPr>
              <w:spacing w:after="0"/>
              <w:rPr>
                <w:sz w:val="1"/>
                <w:szCs w:val="1"/>
                <w:color w:val="auto"/>
              </w:rPr>
            </w:pPr>
          </w:p>
        </w:tc>
      </w:tr>
      <w:tr>
        <w:trPr>
          <w:trHeight w:val="160"/>
        </w:trPr>
        <w:tc>
          <w:tcPr>
            <w:tcW w:w="2440" w:type="dxa"/>
            <w:vAlign w:val="bottom"/>
          </w:tcPr>
          <w:p>
            <w:pPr>
              <w:ind w:left="80"/>
              <w:spacing w:after="0"/>
              <w:rPr>
                <w:sz w:val="20"/>
                <w:szCs w:val="20"/>
                <w:color w:val="auto"/>
              </w:rPr>
            </w:pPr>
            <w:r>
              <w:rPr>
                <w:rFonts w:ascii="Arial" w:cs="Arial" w:eastAsia="Arial" w:hAnsi="Arial"/>
                <w:sz w:val="14"/>
                <w:szCs w:val="14"/>
                <w:color w:val="3E3935"/>
              </w:rPr>
              <w:t>President and President, North</w:t>
            </w: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4"/>
          <w:szCs w:val="14"/>
          <w:color w:val="3E3935"/>
        </w:rPr>
        <w:t>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wp:posOffset>
            </wp:positionV>
            <wp:extent cx="69297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3" w:lineRule="exact"/>
        <w:rPr>
          <w:sz w:val="20"/>
          <w:szCs w:val="20"/>
          <w:color w:val="auto"/>
        </w:rPr>
      </w:pPr>
    </w:p>
    <w:p>
      <w:pPr>
        <w:ind w:left="600" w:hanging="433"/>
        <w:spacing w:after="0" w:line="260" w:lineRule="auto"/>
        <w:tabs>
          <w:tab w:leader="none" w:pos="600" w:val="left"/>
        </w:tabs>
        <w:numPr>
          <w:ilvl w:val="0"/>
          <w:numId w:val="125"/>
        </w:numPr>
        <w:rPr>
          <w:rFonts w:ascii="Arial" w:cs="Arial" w:eastAsia="Arial" w:hAnsi="Arial"/>
          <w:sz w:val="18"/>
          <w:szCs w:val="18"/>
          <w:i w:val="1"/>
          <w:iCs w:val="1"/>
          <w:color w:val="3E3935"/>
        </w:rPr>
      </w:pPr>
      <w:r>
        <w:rPr>
          <w:rFonts w:ascii="Arial" w:cs="Arial" w:eastAsia="Arial" w:hAnsi="Arial"/>
          <w:sz w:val="18"/>
          <w:szCs w:val="18"/>
          <w:i w:val="1"/>
          <w:iCs w:val="1"/>
          <w:color w:val="3E3935"/>
        </w:rPr>
        <w:t>Titles reflect position as of December 31, 2020. Messrs. Jacobson, Parks, Carlisle, and Stapleton were not NEOs in 2018 or 2019. Mr. Engle was not an NEO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75565</wp:posOffset>
            </wp:positionV>
            <wp:extent cx="5927725" cy="1016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69</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600" w:hanging="433"/>
        <w:spacing w:after="0" w:line="239" w:lineRule="auto"/>
        <w:tabs>
          <w:tab w:leader="none" w:pos="600" w:val="left"/>
        </w:tabs>
        <w:numPr>
          <w:ilvl w:val="0"/>
          <w:numId w:val="126"/>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Awards displays the grant date fair value of PSUs and RSUs issued under the LTIP, computed in accordance with Financial Accounting Standards Board (“FASB”) Accounting Standards Codification (“ASC”) Topic 718. PSUs will vest based on GM’s performance against Relative ROIC-adjusted and Relative TSR. The maximum award for PSUs for the 2020–2022 performance period is 200% of PSUs granted. The assumptions used for the Monte Carlo valuation of the Relative TSR portion of the PSUs are summarized below:</w:t>
      </w:r>
    </w:p>
    <w:p>
      <w:pPr>
        <w:spacing w:after="0" w:line="232" w:lineRule="exact"/>
        <w:rPr>
          <w:sz w:val="20"/>
          <w:szCs w:val="20"/>
          <w:color w:val="auto"/>
        </w:rPr>
      </w:pPr>
    </w:p>
    <w:tbl>
      <w:tblPr>
        <w:tblLayout w:type="fixed"/>
        <w:tblInd w:w="600" w:type="dxa"/>
        <w:tblCellMar>
          <w:top w:w="0" w:type="dxa"/>
          <w:left w:w="0" w:type="dxa"/>
          <w:bottom w:w="0" w:type="dxa"/>
          <w:right w:w="0" w:type="dxa"/>
        </w:tblCellMar>
      </w:tblPr>
      <w:tr>
        <w:trPr>
          <w:trHeight w:val="165"/>
        </w:trPr>
        <w:tc>
          <w:tcPr>
            <w:tcW w:w="2220" w:type="dxa"/>
            <w:vAlign w:val="bottom"/>
            <w:tcBorders>
              <w:right w:val="single" w:sz="8" w:color="0071CE"/>
            </w:tcBorders>
          </w:tcPr>
          <w:p>
            <w:pPr>
              <w:spacing w:after="0"/>
              <w:rPr>
                <w:sz w:val="14"/>
                <w:szCs w:val="14"/>
                <w:color w:val="auto"/>
              </w:rPr>
            </w:pPr>
          </w:p>
        </w:tc>
        <w:tc>
          <w:tcPr>
            <w:tcW w:w="1680" w:type="dxa"/>
            <w:vAlign w:val="bottom"/>
            <w:tcBorders>
              <w:right w:val="single" w:sz="8" w:color="0071CE"/>
            </w:tcBorders>
          </w:tcPr>
          <w:p>
            <w:pPr>
              <w:spacing w:after="0"/>
              <w:rPr>
                <w:sz w:val="14"/>
                <w:szCs w:val="14"/>
                <w:color w:val="auto"/>
              </w:rPr>
            </w:pPr>
          </w:p>
        </w:tc>
        <w:tc>
          <w:tcPr>
            <w:tcW w:w="1660" w:type="dxa"/>
            <w:vAlign w:val="bottom"/>
            <w:tcBorders>
              <w:right w:val="single" w:sz="8" w:color="0071CE"/>
            </w:tcBorders>
          </w:tcPr>
          <w:p>
            <w:pPr>
              <w:spacing w:after="0"/>
              <w:rPr>
                <w:sz w:val="14"/>
                <w:szCs w:val="14"/>
                <w:color w:val="auto"/>
              </w:rPr>
            </w:pP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Risk-Free</w:t>
            </w:r>
          </w:p>
        </w:tc>
        <w:tc>
          <w:tcPr>
            <w:tcW w:w="1680" w:type="dxa"/>
            <w:vAlign w:val="bottom"/>
            <w:tcBorders>
              <w:right w:val="single" w:sz="8" w:color="0071CE"/>
            </w:tcBorders>
          </w:tcPr>
          <w:p>
            <w:pPr>
              <w:spacing w:after="0"/>
              <w:rPr>
                <w:sz w:val="14"/>
                <w:szCs w:val="14"/>
                <w:color w:val="auto"/>
              </w:rPr>
            </w:pPr>
          </w:p>
        </w:tc>
        <w:tc>
          <w:tcPr>
            <w:tcW w:w="1560" w:type="dxa"/>
            <w:vAlign w:val="bottom"/>
          </w:tcPr>
          <w:p>
            <w:pPr>
              <w:jc w:val="center"/>
              <w:ind w:left="29"/>
              <w:spacing w:after="0"/>
              <w:rPr>
                <w:sz w:val="20"/>
                <w:szCs w:val="20"/>
                <w:color w:val="auto"/>
              </w:rPr>
            </w:pPr>
            <w:r>
              <w:rPr>
                <w:rFonts w:ascii="Arial" w:cs="Arial" w:eastAsia="Arial" w:hAnsi="Arial"/>
                <w:sz w:val="14"/>
                <w:szCs w:val="14"/>
                <w:i w:val="1"/>
                <w:iCs w:val="1"/>
                <w:color w:val="3E3935"/>
              </w:rPr>
              <w:t>Valuation Price as a</w:t>
            </w:r>
          </w:p>
        </w:tc>
      </w:tr>
      <w:tr>
        <w:trPr>
          <w:trHeight w:val="204"/>
        </w:trPr>
        <w:tc>
          <w:tcPr>
            <w:tcW w:w="222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Grant Date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Stock Price</w:t>
            </w:r>
          </w:p>
        </w:tc>
        <w:tc>
          <w:tcPr>
            <w:tcW w:w="166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Implied Volatility</w:t>
            </w:r>
          </w:p>
        </w:tc>
        <w:tc>
          <w:tcPr>
            <w:tcW w:w="16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Interest Rate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Valuation Price</w:t>
            </w:r>
          </w:p>
        </w:tc>
        <w:tc>
          <w:tcPr>
            <w:tcW w:w="1560" w:type="dxa"/>
            <w:vAlign w:val="bottom"/>
            <w:tcBorders>
              <w:bottom w:val="single" w:sz="8" w:color="0071CE"/>
            </w:tcBorders>
          </w:tcPr>
          <w:p>
            <w:pPr>
              <w:jc w:val="center"/>
              <w:ind w:left="29"/>
              <w:spacing w:after="0"/>
              <w:rPr>
                <w:sz w:val="20"/>
                <w:szCs w:val="20"/>
                <w:color w:val="auto"/>
              </w:rPr>
            </w:pPr>
            <w:r>
              <w:rPr>
                <w:rFonts w:ascii="Arial" w:cs="Arial" w:eastAsia="Arial" w:hAnsi="Arial"/>
                <w:sz w:val="14"/>
                <w:szCs w:val="14"/>
                <w:i w:val="1"/>
                <w:iCs w:val="1"/>
                <w:color w:val="3E3935"/>
              </w:rPr>
              <w:t>Percent of Target</w:t>
            </w:r>
          </w:p>
        </w:tc>
      </w:tr>
      <w:tr>
        <w:trPr>
          <w:trHeight w:val="242"/>
        </w:trPr>
        <w:tc>
          <w:tcPr>
            <w:tcW w:w="222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2/12/2020</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7"/>
              </w:rPr>
              <w:t>$35.49</w:t>
            </w:r>
          </w:p>
        </w:tc>
        <w:tc>
          <w:tcPr>
            <w:tcW w:w="166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9"/>
              </w:rPr>
              <w:t>25%</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1.42%</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$46.46</w:t>
            </w:r>
          </w:p>
        </w:tc>
        <w:tc>
          <w:tcPr>
            <w:tcW w:w="1560" w:type="dxa"/>
            <w:vAlign w:val="bottom"/>
          </w:tcPr>
          <w:p>
            <w:pPr>
              <w:jc w:val="center"/>
              <w:ind w:left="29"/>
              <w:spacing w:after="0"/>
              <w:rPr>
                <w:sz w:val="20"/>
                <w:szCs w:val="20"/>
                <w:color w:val="auto"/>
              </w:rPr>
            </w:pPr>
            <w:r>
              <w:rPr>
                <w:rFonts w:ascii="Arial" w:cs="Arial" w:eastAsia="Arial" w:hAnsi="Arial"/>
                <w:sz w:val="14"/>
                <w:szCs w:val="14"/>
                <w:i w:val="1"/>
                <w:iCs w:val="1"/>
                <w:color w:val="3E3935"/>
              </w:rPr>
              <w:t>130.9%</w:t>
            </w:r>
          </w:p>
        </w:tc>
      </w:tr>
      <w:tr>
        <w:trPr>
          <w:trHeight w:val="321"/>
        </w:trPr>
        <w:tc>
          <w:tcPr>
            <w:tcW w:w="222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10/1/2020</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7"/>
              </w:rPr>
              <w:t>$30.38</w:t>
            </w:r>
          </w:p>
        </w:tc>
        <w:tc>
          <w:tcPr>
            <w:tcW w:w="166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9"/>
              </w:rPr>
              <w:t>45%</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0.15%</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$37.67</w:t>
            </w:r>
          </w:p>
        </w:tc>
        <w:tc>
          <w:tcPr>
            <w:tcW w:w="1560" w:type="dxa"/>
            <w:vAlign w:val="bottom"/>
          </w:tcPr>
          <w:p>
            <w:pPr>
              <w:jc w:val="center"/>
              <w:ind w:left="29"/>
              <w:spacing w:after="0"/>
              <w:rPr>
                <w:sz w:val="20"/>
                <w:szCs w:val="20"/>
                <w:color w:val="auto"/>
              </w:rPr>
            </w:pPr>
            <w:r>
              <w:rPr>
                <w:rFonts w:ascii="Arial" w:cs="Arial" w:eastAsia="Arial" w:hAnsi="Arial"/>
                <w:sz w:val="14"/>
                <w:szCs w:val="14"/>
                <w:i w:val="1"/>
                <w:iCs w:val="1"/>
                <w:color w:val="3E3935"/>
              </w:rPr>
              <w:t>124.0%</w:t>
            </w:r>
          </w:p>
        </w:tc>
      </w:tr>
      <w:tr>
        <w:trPr>
          <w:trHeight w:val="321"/>
        </w:trPr>
        <w:tc>
          <w:tcPr>
            <w:tcW w:w="222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12/1/2020</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7"/>
              </w:rPr>
              <w:t>$44.68</w:t>
            </w:r>
          </w:p>
        </w:tc>
        <w:tc>
          <w:tcPr>
            <w:tcW w:w="166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9"/>
              </w:rPr>
              <w:t>42%</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0.17%</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$67.38</w:t>
            </w:r>
          </w:p>
        </w:tc>
        <w:tc>
          <w:tcPr>
            <w:tcW w:w="1560" w:type="dxa"/>
            <w:vAlign w:val="bottom"/>
          </w:tcPr>
          <w:p>
            <w:pPr>
              <w:jc w:val="center"/>
              <w:ind w:left="29"/>
              <w:spacing w:after="0"/>
              <w:rPr>
                <w:sz w:val="20"/>
                <w:szCs w:val="20"/>
                <w:color w:val="auto"/>
              </w:rPr>
            </w:pPr>
            <w:r>
              <w:rPr>
                <w:rFonts w:ascii="Arial" w:cs="Arial" w:eastAsia="Arial" w:hAnsi="Arial"/>
                <w:sz w:val="14"/>
                <w:szCs w:val="14"/>
                <w:i w:val="1"/>
                <w:iCs w:val="1"/>
                <w:color w:val="3E3935"/>
              </w:rPr>
              <w:t>150.8%</w:t>
            </w:r>
          </w:p>
        </w:tc>
      </w:tr>
      <w:tr>
        <w:trPr>
          <w:trHeight w:val="65"/>
        </w:trPr>
        <w:tc>
          <w:tcPr>
            <w:tcW w:w="222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6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560" w:type="dxa"/>
            <w:vAlign w:val="bottom"/>
          </w:tcPr>
          <w:p>
            <w:pPr>
              <w:spacing w:after="0"/>
              <w:rPr>
                <w:sz w:val="5"/>
                <w:szCs w:val="5"/>
                <w:color w:val="auto"/>
              </w:rPr>
            </w:pPr>
          </w:p>
        </w:tc>
      </w:tr>
    </w:tbl>
    <w:p>
      <w:pPr>
        <w:spacing w:after="0" w:line="61" w:lineRule="exact"/>
        <w:rPr>
          <w:sz w:val="20"/>
          <w:szCs w:val="20"/>
          <w:color w:val="auto"/>
        </w:rPr>
      </w:pPr>
    </w:p>
    <w:p>
      <w:pPr>
        <w:jc w:val="both"/>
        <w:ind w:left="600"/>
        <w:spacing w:after="0" w:line="246" w:lineRule="auto"/>
        <w:rPr>
          <w:sz w:val="20"/>
          <w:szCs w:val="20"/>
          <w:color w:val="auto"/>
        </w:rPr>
      </w:pPr>
      <w:r>
        <w:rPr>
          <w:rFonts w:ascii="Arial" w:cs="Arial" w:eastAsia="Arial" w:hAnsi="Arial"/>
          <w:sz w:val="18"/>
          <w:szCs w:val="18"/>
          <w:i w:val="1"/>
          <w:iCs w:val="1"/>
          <w:color w:val="3E3935"/>
        </w:rPr>
        <w:t>There is no dividend yield as dividends are assumed to be reinvested for the TSR calculation. The table below shows the PSUs valued based on the closing stock price on the date of grant and the maximum grant value based on maximum performance. Upon their terminations, Ms. Suryadevara and Mr. Engle forfeited all PSUs and a portion of the Salary Reduction RSUs.</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27"/>
        </w:trPr>
        <w:tc>
          <w:tcPr>
            <w:tcW w:w="2260" w:type="dxa"/>
            <w:vAlign w:val="bottom"/>
            <w:tcBorders>
              <w:top w:val="single" w:sz="8" w:color="00C1DE"/>
            </w:tcBorders>
          </w:tcPr>
          <w:p>
            <w:pPr>
              <w:spacing w:after="0"/>
              <w:rPr>
                <w:sz w:val="19"/>
                <w:szCs w:val="19"/>
                <w:color w:val="auto"/>
              </w:rPr>
            </w:pPr>
          </w:p>
        </w:tc>
        <w:tc>
          <w:tcPr>
            <w:tcW w:w="6540" w:type="dxa"/>
            <w:vAlign w:val="bottom"/>
            <w:tcBorders>
              <w:top w:val="single" w:sz="8" w:color="00C1DE"/>
            </w:tcBorders>
          </w:tcPr>
          <w:p>
            <w:pPr>
              <w:jc w:val="right"/>
              <w:ind w:right="1280"/>
              <w:spacing w:after="0"/>
              <w:rPr>
                <w:sz w:val="20"/>
                <w:szCs w:val="20"/>
                <w:color w:val="auto"/>
              </w:rPr>
            </w:pPr>
            <w:r>
              <w:rPr>
                <w:rFonts w:ascii="Arial" w:cs="Arial" w:eastAsia="Arial" w:hAnsi="Arial"/>
                <w:sz w:val="16"/>
                <w:szCs w:val="16"/>
                <w:b w:val="1"/>
                <w:bCs w:val="1"/>
                <w:color w:val="00C1DE"/>
              </w:rPr>
              <w:t>Value of PSU Awards at Target and Maximum Performance</w:t>
            </w:r>
          </w:p>
        </w:tc>
        <w:tc>
          <w:tcPr>
            <w:tcW w:w="1680" w:type="dxa"/>
            <w:vAlign w:val="bottom"/>
            <w:tcBorders>
              <w:top w:val="single" w:sz="8" w:color="00C1DE"/>
            </w:tcBorders>
          </w:tcPr>
          <w:p>
            <w:pPr>
              <w:spacing w:after="0"/>
              <w:rPr>
                <w:sz w:val="19"/>
                <w:szCs w:val="19"/>
                <w:color w:val="auto"/>
              </w:rPr>
            </w:pPr>
          </w:p>
        </w:tc>
      </w:tr>
      <w:tr>
        <w:trPr>
          <w:trHeight w:val="250"/>
        </w:trPr>
        <w:tc>
          <w:tcPr>
            <w:tcW w:w="2260" w:type="dxa"/>
            <w:vAlign w:val="bottom"/>
          </w:tcPr>
          <w:p>
            <w:pPr>
              <w:spacing w:after="0"/>
              <w:rPr>
                <w:sz w:val="21"/>
                <w:szCs w:val="21"/>
                <w:color w:val="auto"/>
              </w:rPr>
            </w:pPr>
          </w:p>
        </w:tc>
        <w:tc>
          <w:tcPr>
            <w:tcW w:w="6540" w:type="dxa"/>
            <w:vAlign w:val="bottom"/>
          </w:tcPr>
          <w:p>
            <w:pPr>
              <w:jc w:val="right"/>
              <w:ind w:right="300"/>
              <w:spacing w:after="0"/>
              <w:rPr>
                <w:sz w:val="20"/>
                <w:szCs w:val="20"/>
                <w:color w:val="auto"/>
              </w:rPr>
            </w:pPr>
            <w:r>
              <w:rPr>
                <w:rFonts w:ascii="Arial" w:cs="Arial" w:eastAsia="Arial" w:hAnsi="Arial"/>
                <w:sz w:val="16"/>
                <w:szCs w:val="16"/>
                <w:b w:val="1"/>
                <w:bCs w:val="1"/>
                <w:color w:val="00C1DE"/>
              </w:rPr>
              <w:t>2020 Target</w:t>
            </w:r>
          </w:p>
        </w:tc>
        <w:tc>
          <w:tcPr>
            <w:tcW w:w="1680" w:type="dxa"/>
            <w:vAlign w:val="bottom"/>
          </w:tcPr>
          <w:p>
            <w:pPr>
              <w:jc w:val="right"/>
              <w:ind w:right="80"/>
              <w:spacing w:after="0"/>
              <w:rPr>
                <w:sz w:val="20"/>
                <w:szCs w:val="20"/>
                <w:color w:val="auto"/>
              </w:rPr>
            </w:pPr>
            <w:r>
              <w:rPr>
                <w:rFonts w:ascii="Arial" w:cs="Arial" w:eastAsia="Arial" w:hAnsi="Arial"/>
                <w:sz w:val="16"/>
                <w:szCs w:val="16"/>
                <w:b w:val="1"/>
                <w:bCs w:val="1"/>
                <w:color w:val="00C1DE"/>
              </w:rPr>
              <w:t>2020 Maximum</w:t>
            </w:r>
          </w:p>
        </w:tc>
      </w:tr>
      <w:tr>
        <w:trPr>
          <w:trHeight w:val="225"/>
        </w:trPr>
        <w:tc>
          <w:tcPr>
            <w:tcW w:w="2260" w:type="dxa"/>
            <w:vAlign w:val="bottom"/>
            <w:tcBorders>
              <w:bottom w:val="single" w:sz="8" w:color="00C1DE"/>
            </w:tcBorders>
          </w:tcPr>
          <w:p>
            <w:pPr>
              <w:spacing w:after="0"/>
              <w:rPr>
                <w:sz w:val="19"/>
                <w:szCs w:val="19"/>
                <w:color w:val="auto"/>
              </w:rPr>
            </w:pPr>
          </w:p>
        </w:tc>
        <w:tc>
          <w:tcPr>
            <w:tcW w:w="6540" w:type="dxa"/>
            <w:vAlign w:val="bottom"/>
            <w:tcBorders>
              <w:bottom w:val="single" w:sz="8" w:color="00C1DE"/>
            </w:tcBorders>
          </w:tcPr>
          <w:p>
            <w:pPr>
              <w:jc w:val="right"/>
              <w:ind w:right="300"/>
              <w:spacing w:after="0"/>
              <w:rPr>
                <w:sz w:val="20"/>
                <w:szCs w:val="20"/>
                <w:color w:val="auto"/>
              </w:rPr>
            </w:pPr>
            <w:r>
              <w:rPr>
                <w:rFonts w:ascii="Arial" w:cs="Arial" w:eastAsia="Arial" w:hAnsi="Arial"/>
                <w:sz w:val="16"/>
                <w:szCs w:val="16"/>
                <w:b w:val="1"/>
                <w:bCs w:val="1"/>
                <w:color w:val="00C1DE"/>
              </w:rPr>
              <w:t>($)</w:t>
            </w:r>
          </w:p>
        </w:tc>
        <w:tc>
          <w:tcPr>
            <w:tcW w:w="1680" w:type="dxa"/>
            <w:vAlign w:val="bottom"/>
            <w:tcBorders>
              <w:bottom w:val="single" w:sz="8" w:color="00C1DE"/>
            </w:tcBorders>
          </w:tcPr>
          <w:p>
            <w:pPr>
              <w:jc w:val="right"/>
              <w:ind w:right="80"/>
              <w:spacing w:after="0"/>
              <w:rPr>
                <w:sz w:val="20"/>
                <w:szCs w:val="20"/>
                <w:color w:val="auto"/>
              </w:rPr>
            </w:pPr>
            <w:r>
              <w:rPr>
                <w:rFonts w:ascii="Arial" w:cs="Arial" w:eastAsia="Arial" w:hAnsi="Arial"/>
                <w:sz w:val="16"/>
                <w:szCs w:val="16"/>
                <w:b w:val="1"/>
                <w:bCs w:val="1"/>
                <w:color w:val="00C1DE"/>
              </w:rPr>
              <w:t>($)</w:t>
            </w:r>
          </w:p>
        </w:tc>
      </w:tr>
      <w:tr>
        <w:trPr>
          <w:trHeight w:val="249"/>
        </w:trPr>
        <w:tc>
          <w:tcPr>
            <w:tcW w:w="2260" w:type="dxa"/>
            <w:vAlign w:val="bottom"/>
          </w:tcPr>
          <w:p>
            <w:pPr>
              <w:ind w:left="80"/>
              <w:spacing w:after="0"/>
              <w:rPr>
                <w:sz w:val="20"/>
                <w:szCs w:val="20"/>
                <w:color w:val="auto"/>
              </w:rPr>
            </w:pPr>
            <w:r>
              <w:rPr>
                <w:rFonts w:ascii="Arial" w:cs="Arial" w:eastAsia="Arial" w:hAnsi="Arial"/>
                <w:sz w:val="16"/>
                <w:szCs w:val="16"/>
                <w:color w:val="3E3935"/>
              </w:rPr>
              <w:t>Mary T. Barra</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11,250,011</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22,500,022</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Paul A. Jacobson</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1,575,015</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3,150,030</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Mark L. Reuss</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4,462,513</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8,925,026</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Douglas L. Parks</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3,065,650</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6,131,300</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Stephen K. Carlisle</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2,925,066</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5,850,132</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Dhivya Suryadevara</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3,665,656</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7,331,312</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John P. Stapleton</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1,675,038</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3,350,076</w:t>
            </w:r>
          </w:p>
        </w:tc>
      </w:tr>
      <w:tr>
        <w:trPr>
          <w:trHeight w:val="59"/>
        </w:trPr>
        <w:tc>
          <w:tcPr>
            <w:tcW w:w="2260" w:type="dxa"/>
            <w:vAlign w:val="bottom"/>
            <w:tcBorders>
              <w:bottom w:val="single" w:sz="8" w:color="3E3935"/>
            </w:tcBorders>
          </w:tcPr>
          <w:p>
            <w:pPr>
              <w:spacing w:after="0"/>
              <w:rPr>
                <w:sz w:val="5"/>
                <w:szCs w:val="5"/>
                <w:color w:val="auto"/>
              </w:rPr>
            </w:pPr>
          </w:p>
        </w:tc>
        <w:tc>
          <w:tcPr>
            <w:tcW w:w="654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42"/>
        </w:trPr>
        <w:tc>
          <w:tcPr>
            <w:tcW w:w="2260" w:type="dxa"/>
            <w:vAlign w:val="bottom"/>
          </w:tcPr>
          <w:p>
            <w:pPr>
              <w:ind w:left="80"/>
              <w:spacing w:after="0"/>
              <w:rPr>
                <w:sz w:val="20"/>
                <w:szCs w:val="20"/>
                <w:color w:val="auto"/>
              </w:rPr>
            </w:pPr>
            <w:r>
              <w:rPr>
                <w:rFonts w:ascii="Arial" w:cs="Arial" w:eastAsia="Arial" w:hAnsi="Arial"/>
                <w:sz w:val="16"/>
                <w:szCs w:val="16"/>
                <w:color w:val="3E3935"/>
              </w:rPr>
              <w:t>Barry L. Engle II</w:t>
            </w:r>
          </w:p>
        </w:tc>
        <w:tc>
          <w:tcPr>
            <w:tcW w:w="6540" w:type="dxa"/>
            <w:vAlign w:val="bottom"/>
          </w:tcPr>
          <w:p>
            <w:pPr>
              <w:jc w:val="right"/>
              <w:ind w:right="300"/>
              <w:spacing w:after="0"/>
              <w:rPr>
                <w:sz w:val="20"/>
                <w:szCs w:val="20"/>
                <w:color w:val="auto"/>
              </w:rPr>
            </w:pPr>
            <w:r>
              <w:rPr>
                <w:rFonts w:ascii="Arial" w:cs="Arial" w:eastAsia="Arial" w:hAnsi="Arial"/>
                <w:sz w:val="16"/>
                <w:szCs w:val="16"/>
                <w:color w:val="3E3935"/>
              </w:rPr>
              <w:t>3,178,130</w:t>
            </w:r>
          </w:p>
        </w:tc>
        <w:tc>
          <w:tcPr>
            <w:tcW w:w="1680" w:type="dxa"/>
            <w:vAlign w:val="bottom"/>
          </w:tcPr>
          <w:p>
            <w:pPr>
              <w:jc w:val="right"/>
              <w:ind w:right="80"/>
              <w:spacing w:after="0"/>
              <w:rPr>
                <w:sz w:val="20"/>
                <w:szCs w:val="20"/>
                <w:color w:val="auto"/>
              </w:rPr>
            </w:pPr>
            <w:r>
              <w:rPr>
                <w:rFonts w:ascii="Arial" w:cs="Arial" w:eastAsia="Arial" w:hAnsi="Arial"/>
                <w:sz w:val="16"/>
                <w:szCs w:val="16"/>
                <w:color w:val="3E3935"/>
              </w:rPr>
              <w:t>6,356,260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37465</wp:posOffset>
            </wp:positionV>
            <wp:extent cx="66497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114" w:lineRule="exact"/>
        <w:rPr>
          <w:sz w:val="20"/>
          <w:szCs w:val="20"/>
          <w:color w:val="auto"/>
        </w:rPr>
      </w:pPr>
    </w:p>
    <w:p>
      <w:pPr>
        <w:jc w:val="both"/>
        <w:ind w:left="600" w:hanging="433"/>
        <w:spacing w:after="0" w:line="246" w:lineRule="auto"/>
        <w:tabs>
          <w:tab w:leader="none" w:pos="60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Option Awards displays the grant date fair value of Stock Options issued under the LTIP, computed in accordance with FASB ASC Topic 718 using a Black-Scholes valuation. The assumptions used for the Black-Scholes valuation of the Stock Options are summarized below:</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200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w w:val="99"/>
              </w:rPr>
              <w:t>Grant Date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Dividend Yield</w:t>
            </w:r>
          </w:p>
        </w:tc>
        <w:tc>
          <w:tcPr>
            <w:tcW w:w="16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Implied Volatility</w:t>
            </w:r>
          </w:p>
        </w:tc>
        <w:tc>
          <w:tcPr>
            <w:tcW w:w="17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Risk-Free Interest Rate</w:t>
            </w:r>
          </w:p>
        </w:tc>
        <w:tc>
          <w:tcPr>
            <w:tcW w:w="1680" w:type="dxa"/>
            <w:vAlign w:val="bottom"/>
            <w:tcBorders>
              <w:bottom w:val="single" w:sz="8" w:color="0071CE"/>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Expected Option Life</w:t>
            </w:r>
          </w:p>
        </w:tc>
        <w:tc>
          <w:tcPr>
            <w:tcW w:w="1660" w:type="dxa"/>
            <w:vAlign w:val="bottom"/>
            <w:tcBorders>
              <w:bottom w:val="single" w:sz="8" w:color="0071CE"/>
            </w:tcBorders>
          </w:tcPr>
          <w:p>
            <w:pPr>
              <w:ind w:left="180"/>
              <w:spacing w:after="0"/>
              <w:rPr>
                <w:sz w:val="20"/>
                <w:szCs w:val="20"/>
                <w:color w:val="auto"/>
              </w:rPr>
            </w:pPr>
            <w:r>
              <w:rPr>
                <w:rFonts w:ascii="Arial" w:cs="Arial" w:eastAsia="Arial" w:hAnsi="Arial"/>
                <w:sz w:val="14"/>
                <w:szCs w:val="14"/>
                <w:i w:val="1"/>
                <w:iCs w:val="1"/>
                <w:color w:val="3E3935"/>
              </w:rPr>
              <w:t>Grant Date Fair Value</w:t>
            </w:r>
          </w:p>
        </w:tc>
      </w:tr>
      <w:tr>
        <w:trPr>
          <w:trHeight w:val="236"/>
        </w:trPr>
        <w:tc>
          <w:tcPr>
            <w:tcW w:w="200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2/12/2020</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4.28%</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25%</w:t>
            </w:r>
          </w:p>
        </w:tc>
        <w:tc>
          <w:tcPr>
            <w:tcW w:w="17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1.50%</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6.00 years</w:t>
            </w:r>
          </w:p>
        </w:tc>
        <w:tc>
          <w:tcPr>
            <w:tcW w:w="1660" w:type="dxa"/>
            <w:vAlign w:val="bottom"/>
          </w:tcPr>
          <w:p>
            <w:pPr>
              <w:jc w:val="center"/>
              <w:ind w:left="29"/>
              <w:spacing w:after="0"/>
              <w:rPr>
                <w:sz w:val="20"/>
                <w:szCs w:val="20"/>
                <w:color w:val="auto"/>
              </w:rPr>
            </w:pPr>
            <w:r>
              <w:rPr>
                <w:rFonts w:ascii="Arial" w:cs="Arial" w:eastAsia="Arial" w:hAnsi="Arial"/>
                <w:sz w:val="14"/>
                <w:szCs w:val="14"/>
                <w:i w:val="1"/>
                <w:iCs w:val="1"/>
                <w:color w:val="3E3935"/>
              </w:rPr>
              <w:t>$5.04</w:t>
            </w:r>
          </w:p>
        </w:tc>
      </w:tr>
      <w:tr>
        <w:trPr>
          <w:trHeight w:val="321"/>
        </w:trPr>
        <w:tc>
          <w:tcPr>
            <w:tcW w:w="200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10/1/2020</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1.94%</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44%</w:t>
            </w:r>
          </w:p>
        </w:tc>
        <w:tc>
          <w:tcPr>
            <w:tcW w:w="17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0.30%</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5.37 years</w:t>
            </w:r>
          </w:p>
        </w:tc>
        <w:tc>
          <w:tcPr>
            <w:tcW w:w="1660" w:type="dxa"/>
            <w:vAlign w:val="bottom"/>
          </w:tcPr>
          <w:p>
            <w:pPr>
              <w:jc w:val="center"/>
              <w:ind w:left="29"/>
              <w:spacing w:after="0"/>
              <w:rPr>
                <w:sz w:val="20"/>
                <w:szCs w:val="20"/>
                <w:color w:val="auto"/>
              </w:rPr>
            </w:pPr>
            <w:r>
              <w:rPr>
                <w:rFonts w:ascii="Arial" w:cs="Arial" w:eastAsia="Arial" w:hAnsi="Arial"/>
                <w:sz w:val="14"/>
                <w:szCs w:val="14"/>
                <w:i w:val="1"/>
                <w:iCs w:val="1"/>
                <w:color w:val="3E3935"/>
              </w:rPr>
              <w:t>$9.96</w:t>
            </w:r>
          </w:p>
        </w:tc>
      </w:tr>
      <w:tr>
        <w:trPr>
          <w:trHeight w:val="321"/>
        </w:trPr>
        <w:tc>
          <w:tcPr>
            <w:tcW w:w="200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12/1/2020</w:t>
            </w:r>
          </w:p>
        </w:tc>
        <w:tc>
          <w:tcPr>
            <w:tcW w:w="1680" w:type="dxa"/>
            <w:vAlign w:val="bottom"/>
            <w:tcBorders>
              <w:right w:val="single" w:sz="8" w:color="0071CE"/>
            </w:tcBorders>
          </w:tcPr>
          <w:p>
            <w:pPr>
              <w:jc w:val="center"/>
              <w:ind w:left="9"/>
              <w:spacing w:after="0"/>
              <w:rPr>
                <w:sz w:val="20"/>
                <w:szCs w:val="20"/>
                <w:color w:val="auto"/>
              </w:rPr>
            </w:pPr>
            <w:r>
              <w:rPr>
                <w:rFonts w:ascii="Arial" w:cs="Arial" w:eastAsia="Arial" w:hAnsi="Arial"/>
                <w:sz w:val="14"/>
                <w:szCs w:val="14"/>
                <w:i w:val="1"/>
                <w:iCs w:val="1"/>
                <w:color w:val="3E3935"/>
              </w:rPr>
              <w:t>2.00%</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42%</w:t>
            </w:r>
          </w:p>
        </w:tc>
        <w:tc>
          <w:tcPr>
            <w:tcW w:w="17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0.45%</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5.20 years</w:t>
            </w:r>
          </w:p>
        </w:tc>
        <w:tc>
          <w:tcPr>
            <w:tcW w:w="1660" w:type="dxa"/>
            <w:vAlign w:val="bottom"/>
          </w:tcPr>
          <w:p>
            <w:pPr>
              <w:jc w:val="center"/>
              <w:ind w:left="29"/>
              <w:spacing w:after="0"/>
              <w:rPr>
                <w:sz w:val="20"/>
                <w:szCs w:val="20"/>
                <w:color w:val="auto"/>
              </w:rPr>
            </w:pPr>
            <w:r>
              <w:rPr>
                <w:rFonts w:ascii="Arial" w:cs="Arial" w:eastAsia="Arial" w:hAnsi="Arial"/>
                <w:sz w:val="14"/>
                <w:szCs w:val="14"/>
                <w:i w:val="1"/>
                <w:iCs w:val="1"/>
                <w:color w:val="3E3935"/>
              </w:rPr>
              <w:t>$13.83</w:t>
            </w:r>
          </w:p>
        </w:tc>
      </w:tr>
      <w:tr>
        <w:trPr>
          <w:trHeight w:val="65"/>
        </w:trPr>
        <w:tc>
          <w:tcPr>
            <w:tcW w:w="200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78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660" w:type="dxa"/>
            <w:vAlign w:val="bottom"/>
          </w:tcPr>
          <w:p>
            <w:pPr>
              <w:spacing w:after="0"/>
              <w:rPr>
                <w:sz w:val="5"/>
                <w:szCs w:val="5"/>
                <w:color w:val="auto"/>
              </w:rPr>
            </w:pPr>
          </w:p>
        </w:tc>
      </w:tr>
    </w:tbl>
    <w:p>
      <w:pPr>
        <w:spacing w:after="0" w:line="61" w:lineRule="exact"/>
        <w:rPr>
          <w:sz w:val="20"/>
          <w:szCs w:val="20"/>
          <w:color w:val="auto"/>
        </w:rPr>
      </w:pPr>
    </w:p>
    <w:p>
      <w:pPr>
        <w:jc w:val="both"/>
        <w:ind w:left="600"/>
        <w:spacing w:after="0" w:line="246" w:lineRule="auto"/>
        <w:rPr>
          <w:sz w:val="20"/>
          <w:szCs w:val="20"/>
          <w:color w:val="auto"/>
        </w:rPr>
      </w:pPr>
      <w:r>
        <w:rPr>
          <w:rFonts w:ascii="Arial" w:cs="Arial" w:eastAsia="Arial" w:hAnsi="Arial"/>
          <w:sz w:val="18"/>
          <w:szCs w:val="18"/>
          <w:i w:val="1"/>
          <w:iCs w:val="1"/>
          <w:color w:val="3E3935"/>
        </w:rPr>
        <w:t>For Mr. Engle, the amount also reflects the incremental fair value computed in accordance with FASB ASC Topic 718 as of July 6, 2020, associated with modifications made to certain option awards in connection with the separation agreement, totaling $404,991. Upon their terminations, Ms. Suryadevara forfeited all Stock Options, and Mr. Engle forfeited a portion of the Stock Options.</w:t>
      </w:r>
    </w:p>
    <w:p>
      <w:pPr>
        <w:spacing w:after="0" w:line="46" w:lineRule="exact"/>
        <w:rPr>
          <w:sz w:val="20"/>
          <w:szCs w:val="20"/>
          <w:color w:val="auto"/>
        </w:rPr>
      </w:pPr>
    </w:p>
    <w:p>
      <w:pPr>
        <w:jc w:val="both"/>
        <w:ind w:left="600" w:hanging="433"/>
        <w:spacing w:after="0" w:line="239" w:lineRule="auto"/>
        <w:tabs>
          <w:tab w:leader="none" w:pos="60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All NEOs were eligible for a payment under the STIP for 2020 performance based on the Company’s achievement of annual performance goals and individual performance. Individual performance decisions for each NEO are determined by the Compensation Committee; results are discussed beginning on page 57 of this Proxy Statement. Mr. Jacobson received a prorated STIP award based on the number of months he was with the Company in 2020. Ms. Suryadevara and Mr. Engle did not receive a STIP payout due to their departures from the Company.</w:t>
      </w:r>
    </w:p>
    <w:p>
      <w:pPr>
        <w:spacing w:after="0" w:line="52" w:lineRule="exact"/>
        <w:rPr>
          <w:rFonts w:ascii="Arial" w:cs="Arial" w:eastAsia="Arial" w:hAnsi="Arial"/>
          <w:sz w:val="18"/>
          <w:szCs w:val="18"/>
          <w:i w:val="1"/>
          <w:iCs w:val="1"/>
          <w:color w:val="3E3935"/>
        </w:rPr>
      </w:pPr>
    </w:p>
    <w:p>
      <w:pPr>
        <w:jc w:val="both"/>
        <w:ind w:left="600" w:hanging="433"/>
        <w:spacing w:after="0" w:line="239" w:lineRule="auto"/>
        <w:tabs>
          <w:tab w:leader="none" w:pos="60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represent the actuarial change in the present value of the NEO’s accrued benefit for 2020 attributed to year-over-year variances in applicable discount rates, lump sum interest rates, mortality rates, and employer contributions to tax-qualified and non-tax-qualified plans, as described in “Pension Benefits” on page 76 of this Proxy Statement. The Company does not credit interest at above-market rates to any deferred retirement accounts, and no interest amounts are included in these totals. Mr. Jacobson and Mr. Engle are not eligible for DB pension plans.</w:t>
      </w:r>
    </w:p>
    <w:p>
      <w:pPr>
        <w:spacing w:after="0" w:line="52"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included as All Other Compensation are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101600</wp:posOffset>
            </wp:positionV>
            <wp:extent cx="5927725" cy="1016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4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70</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All Other Compensation</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6"/>
        </w:trPr>
        <w:tc>
          <w:tcPr>
            <w:tcW w:w="2700" w:type="dxa"/>
            <w:vAlign w:val="bottom"/>
            <w:tcBorders>
              <w:top w:val="single" w:sz="8" w:color="00C1DE"/>
            </w:tcBorders>
          </w:tcPr>
          <w:p>
            <w:pPr>
              <w:spacing w:after="0"/>
              <w:rPr>
                <w:sz w:val="17"/>
                <w:szCs w:val="17"/>
                <w:color w:val="auto"/>
              </w:rPr>
            </w:pPr>
          </w:p>
        </w:tc>
        <w:tc>
          <w:tcPr>
            <w:tcW w:w="160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M. T.</w:t>
            </w:r>
          </w:p>
        </w:tc>
        <w:tc>
          <w:tcPr>
            <w:tcW w:w="940" w:type="dxa"/>
            <w:vAlign w:val="bottom"/>
            <w:tcBorders>
              <w:top w:val="single" w:sz="8" w:color="00C1DE"/>
            </w:tcBorders>
          </w:tcPr>
          <w:p>
            <w:pPr>
              <w:jc w:val="right"/>
              <w:ind w:right="20"/>
              <w:spacing w:after="0"/>
              <w:rPr>
                <w:sz w:val="20"/>
                <w:szCs w:val="20"/>
                <w:color w:val="auto"/>
              </w:rPr>
            </w:pPr>
            <w:r>
              <w:rPr>
                <w:rFonts w:ascii="Arial" w:cs="Arial" w:eastAsia="Arial" w:hAnsi="Arial"/>
                <w:sz w:val="16"/>
                <w:szCs w:val="16"/>
                <w:b w:val="1"/>
                <w:bCs w:val="1"/>
                <w:color w:val="00C1DE"/>
              </w:rPr>
              <w:t>P. A.</w:t>
            </w:r>
          </w:p>
        </w:tc>
        <w:tc>
          <w:tcPr>
            <w:tcW w:w="780" w:type="dxa"/>
            <w:vAlign w:val="bottom"/>
            <w:tcBorders>
              <w:top w:val="single" w:sz="8" w:color="00C1DE"/>
            </w:tcBorders>
          </w:tcPr>
          <w:p>
            <w:pPr>
              <w:jc w:val="right"/>
              <w:ind w:right="20"/>
              <w:spacing w:after="0"/>
              <w:rPr>
                <w:sz w:val="20"/>
                <w:szCs w:val="20"/>
                <w:color w:val="auto"/>
              </w:rPr>
            </w:pPr>
            <w:r>
              <w:rPr>
                <w:rFonts w:ascii="Arial" w:cs="Arial" w:eastAsia="Arial" w:hAnsi="Arial"/>
                <w:sz w:val="16"/>
                <w:szCs w:val="16"/>
                <w:b w:val="1"/>
                <w:bCs w:val="1"/>
                <w:color w:val="00C1DE"/>
              </w:rPr>
              <w:t>M. L.</w:t>
            </w:r>
          </w:p>
        </w:tc>
        <w:tc>
          <w:tcPr>
            <w:tcW w:w="800" w:type="dxa"/>
            <w:vAlign w:val="bottom"/>
            <w:tcBorders>
              <w:top w:val="single" w:sz="8" w:color="00C1DE"/>
            </w:tcBorders>
          </w:tcPr>
          <w:p>
            <w:pPr>
              <w:jc w:val="right"/>
              <w:ind w:right="40"/>
              <w:spacing w:after="0"/>
              <w:rPr>
                <w:sz w:val="20"/>
                <w:szCs w:val="20"/>
                <w:color w:val="auto"/>
              </w:rPr>
            </w:pPr>
            <w:r>
              <w:rPr>
                <w:rFonts w:ascii="Arial" w:cs="Arial" w:eastAsia="Arial" w:hAnsi="Arial"/>
                <w:sz w:val="16"/>
                <w:szCs w:val="16"/>
                <w:b w:val="1"/>
                <w:bCs w:val="1"/>
                <w:color w:val="00C1DE"/>
              </w:rPr>
              <w:t>D. L.</w:t>
            </w:r>
          </w:p>
        </w:tc>
        <w:tc>
          <w:tcPr>
            <w:tcW w:w="76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S. K.</w:t>
            </w:r>
          </w:p>
        </w:tc>
        <w:tc>
          <w:tcPr>
            <w:tcW w:w="112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D.</w:t>
            </w:r>
          </w:p>
        </w:tc>
        <w:tc>
          <w:tcPr>
            <w:tcW w:w="900" w:type="dxa"/>
            <w:vAlign w:val="bottom"/>
            <w:tcBorders>
              <w:top w:val="single" w:sz="8" w:color="00C1DE"/>
            </w:tcBorders>
          </w:tcPr>
          <w:p>
            <w:pPr>
              <w:jc w:val="right"/>
              <w:ind w:right="20"/>
              <w:spacing w:after="0"/>
              <w:rPr>
                <w:sz w:val="20"/>
                <w:szCs w:val="20"/>
                <w:color w:val="auto"/>
              </w:rPr>
            </w:pPr>
            <w:r>
              <w:rPr>
                <w:rFonts w:ascii="Arial" w:cs="Arial" w:eastAsia="Arial" w:hAnsi="Arial"/>
                <w:sz w:val="16"/>
                <w:szCs w:val="16"/>
                <w:b w:val="1"/>
                <w:bCs w:val="1"/>
                <w:color w:val="00C1DE"/>
              </w:rPr>
              <w:t>J. P.</w:t>
            </w:r>
          </w:p>
        </w:tc>
        <w:tc>
          <w:tcPr>
            <w:tcW w:w="88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B. L.</w:t>
            </w:r>
          </w:p>
        </w:tc>
      </w:tr>
      <w:tr>
        <w:trPr>
          <w:trHeight w:val="187"/>
        </w:trPr>
        <w:tc>
          <w:tcPr>
            <w:tcW w:w="27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00C1DE"/>
              </w:rPr>
              <w:t>Barra</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C1DE"/>
              </w:rPr>
              <w:t>Jacobson</w:t>
            </w: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00C1DE"/>
              </w:rPr>
              <w:t>Reuss</w:t>
            </w: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00C1DE"/>
              </w:rPr>
              <w:t>Parks</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00C1DE"/>
              </w:rPr>
              <w:t>Carlisle</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00C1DE"/>
              </w:rPr>
              <w:t>Suryadevara</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00C1DE"/>
              </w:rPr>
              <w:t>Stapleton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C1DE"/>
              </w:rPr>
              <w:t>Engle</w:t>
            </w:r>
          </w:p>
        </w:tc>
      </w:tr>
      <w:tr>
        <w:trPr>
          <w:trHeight w:val="213"/>
        </w:trPr>
        <w:tc>
          <w:tcPr>
            <w:tcW w:w="27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00C1DE"/>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0C1DE"/>
              </w:rPr>
              <w:t>($)</w:t>
            </w: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00C1DE"/>
              </w:rPr>
              <w:t>($)</w:t>
            </w: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00C1DE"/>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00C1DE"/>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00C1DE"/>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00C1DE"/>
              </w:rPr>
              <w:t>($)</w:t>
            </w:r>
          </w:p>
        </w:tc>
      </w:tr>
      <w:tr>
        <w:trPr>
          <w:trHeight w:val="32"/>
        </w:trPr>
        <w:tc>
          <w:tcPr>
            <w:tcW w:w="2700" w:type="dxa"/>
            <w:vAlign w:val="bottom"/>
            <w:tcBorders>
              <w:bottom w:val="single" w:sz="8" w:color="00C1DE"/>
            </w:tcBorders>
          </w:tcPr>
          <w:p>
            <w:pPr>
              <w:spacing w:after="0"/>
              <w:rPr>
                <w:sz w:val="2"/>
                <w:szCs w:val="2"/>
                <w:color w:val="auto"/>
              </w:rPr>
            </w:pPr>
          </w:p>
        </w:tc>
        <w:tc>
          <w:tcPr>
            <w:tcW w:w="1600" w:type="dxa"/>
            <w:vAlign w:val="bottom"/>
            <w:tcBorders>
              <w:bottom w:val="single" w:sz="8" w:color="00C1DE"/>
            </w:tcBorders>
          </w:tcPr>
          <w:p>
            <w:pPr>
              <w:spacing w:after="0"/>
              <w:rPr>
                <w:sz w:val="2"/>
                <w:szCs w:val="2"/>
                <w:color w:val="auto"/>
              </w:rPr>
            </w:pPr>
          </w:p>
        </w:tc>
        <w:tc>
          <w:tcPr>
            <w:tcW w:w="940" w:type="dxa"/>
            <w:vAlign w:val="bottom"/>
            <w:tcBorders>
              <w:bottom w:val="single" w:sz="8" w:color="00C1DE"/>
            </w:tcBorders>
          </w:tcPr>
          <w:p>
            <w:pPr>
              <w:spacing w:after="0"/>
              <w:rPr>
                <w:sz w:val="2"/>
                <w:szCs w:val="2"/>
                <w:color w:val="auto"/>
              </w:rPr>
            </w:pPr>
          </w:p>
        </w:tc>
        <w:tc>
          <w:tcPr>
            <w:tcW w:w="780" w:type="dxa"/>
            <w:vAlign w:val="bottom"/>
            <w:tcBorders>
              <w:bottom w:val="single" w:sz="8" w:color="00C1DE"/>
            </w:tcBorders>
          </w:tcPr>
          <w:p>
            <w:pPr>
              <w:spacing w:after="0"/>
              <w:rPr>
                <w:sz w:val="2"/>
                <w:szCs w:val="2"/>
                <w:color w:val="auto"/>
              </w:rPr>
            </w:pPr>
          </w:p>
        </w:tc>
        <w:tc>
          <w:tcPr>
            <w:tcW w:w="800" w:type="dxa"/>
            <w:vAlign w:val="bottom"/>
            <w:tcBorders>
              <w:bottom w:val="single" w:sz="8" w:color="00C1DE"/>
            </w:tcBorders>
          </w:tcPr>
          <w:p>
            <w:pPr>
              <w:spacing w:after="0"/>
              <w:rPr>
                <w:sz w:val="2"/>
                <w:szCs w:val="2"/>
                <w:color w:val="auto"/>
              </w:rPr>
            </w:pPr>
          </w:p>
        </w:tc>
        <w:tc>
          <w:tcPr>
            <w:tcW w:w="760" w:type="dxa"/>
            <w:vAlign w:val="bottom"/>
            <w:tcBorders>
              <w:bottom w:val="single" w:sz="8" w:color="00C1DE"/>
            </w:tcBorders>
          </w:tcPr>
          <w:p>
            <w:pPr>
              <w:spacing w:after="0"/>
              <w:rPr>
                <w:sz w:val="2"/>
                <w:szCs w:val="2"/>
                <w:color w:val="auto"/>
              </w:rPr>
            </w:pPr>
          </w:p>
        </w:tc>
        <w:tc>
          <w:tcPr>
            <w:tcW w:w="1120" w:type="dxa"/>
            <w:vAlign w:val="bottom"/>
            <w:tcBorders>
              <w:bottom w:val="single" w:sz="8" w:color="00C1DE"/>
            </w:tcBorders>
          </w:tcPr>
          <w:p>
            <w:pPr>
              <w:spacing w:after="0"/>
              <w:rPr>
                <w:sz w:val="2"/>
                <w:szCs w:val="2"/>
                <w:color w:val="auto"/>
              </w:rPr>
            </w:pPr>
          </w:p>
        </w:tc>
        <w:tc>
          <w:tcPr>
            <w:tcW w:w="900" w:type="dxa"/>
            <w:vAlign w:val="bottom"/>
            <w:tcBorders>
              <w:bottom w:val="single" w:sz="8" w:color="00C1DE"/>
            </w:tcBorders>
          </w:tcPr>
          <w:p>
            <w:pPr>
              <w:spacing w:after="0"/>
              <w:rPr>
                <w:sz w:val="2"/>
                <w:szCs w:val="2"/>
                <w:color w:val="auto"/>
              </w:rPr>
            </w:pPr>
          </w:p>
        </w:tc>
        <w:tc>
          <w:tcPr>
            <w:tcW w:w="880" w:type="dxa"/>
            <w:vAlign w:val="bottom"/>
            <w:tcBorders>
              <w:bottom w:val="single" w:sz="8" w:color="00C1DE"/>
            </w:tcBorders>
          </w:tcPr>
          <w:p>
            <w:pPr>
              <w:spacing w:after="0"/>
              <w:rPr>
                <w:sz w:val="2"/>
                <w:szCs w:val="2"/>
                <w:color w:val="auto"/>
              </w:rPr>
            </w:pPr>
          </w:p>
        </w:tc>
      </w:tr>
      <w:tr>
        <w:trPr>
          <w:trHeight w:val="231"/>
        </w:trPr>
        <w:tc>
          <w:tcPr>
            <w:tcW w:w="2700" w:type="dxa"/>
            <w:vAlign w:val="bottom"/>
          </w:tcPr>
          <w:p>
            <w:pPr>
              <w:ind w:left="100"/>
              <w:spacing w:after="0"/>
              <w:rPr>
                <w:sz w:val="20"/>
                <w:szCs w:val="20"/>
                <w:color w:val="auto"/>
              </w:rPr>
            </w:pPr>
            <w:r>
              <w:rPr>
                <w:rFonts w:ascii="Arial" w:cs="Arial" w:eastAsia="Arial" w:hAnsi="Arial"/>
                <w:sz w:val="16"/>
                <w:szCs w:val="16"/>
                <w:color w:val="3E3935"/>
              </w:rPr>
              <w:t>Perquisites and Other</w:t>
            </w: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1"/>
        </w:trPr>
        <w:tc>
          <w:tcPr>
            <w:tcW w:w="2700" w:type="dxa"/>
            <w:vAlign w:val="bottom"/>
            <w:tcBorders>
              <w:bottom w:val="single" w:sz="8" w:color="3E3935"/>
            </w:tcBorders>
          </w:tcPr>
          <w:p>
            <w:pPr>
              <w:ind w:left="100"/>
              <w:spacing w:after="0" w:line="271" w:lineRule="exact"/>
              <w:rPr>
                <w:sz w:val="20"/>
                <w:szCs w:val="20"/>
                <w:color w:val="auto"/>
              </w:rPr>
            </w:pPr>
            <w:r>
              <w:rPr>
                <w:rFonts w:ascii="Arial" w:cs="Arial" w:eastAsia="Arial" w:hAnsi="Arial"/>
                <w:sz w:val="16"/>
                <w:szCs w:val="16"/>
                <w:color w:val="3E3935"/>
              </w:rPr>
              <w:t>Personal Benefits</w:t>
            </w:r>
            <w:r>
              <w:rPr>
                <w:rFonts w:ascii="Arial" w:cs="Arial" w:eastAsia="Arial" w:hAnsi="Arial"/>
                <w:sz w:val="27"/>
                <w:szCs w:val="27"/>
                <w:color w:val="3E3935"/>
                <w:vertAlign w:val="superscript"/>
              </w:rPr>
              <w:t>(1)</w:t>
            </w:r>
          </w:p>
        </w:tc>
        <w:tc>
          <w:tcPr>
            <w:tcW w:w="16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235,587</w:t>
            </w:r>
          </w:p>
        </w:tc>
        <w:tc>
          <w:tcPr>
            <w:tcW w:w="94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943</w:t>
            </w:r>
          </w:p>
        </w:tc>
        <w:tc>
          <w:tcPr>
            <w:tcW w:w="7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31,077</w:t>
            </w:r>
          </w:p>
        </w:tc>
        <w:tc>
          <w:tcPr>
            <w:tcW w:w="8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27,212</w:t>
            </w:r>
          </w:p>
        </w:tc>
        <w:tc>
          <w:tcPr>
            <w:tcW w:w="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20,435</w:t>
            </w:r>
          </w:p>
        </w:tc>
        <w:tc>
          <w:tcPr>
            <w:tcW w:w="112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24,458</w:t>
            </w:r>
          </w:p>
        </w:tc>
        <w:tc>
          <w:tcPr>
            <w:tcW w:w="90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27,007</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29,894</w:t>
            </w:r>
          </w:p>
        </w:tc>
      </w:tr>
      <w:tr>
        <w:trPr>
          <w:trHeight w:val="231"/>
        </w:trPr>
        <w:tc>
          <w:tcPr>
            <w:tcW w:w="2700" w:type="dxa"/>
            <w:vAlign w:val="bottom"/>
          </w:tcPr>
          <w:p>
            <w:pPr>
              <w:ind w:left="100"/>
              <w:spacing w:after="0"/>
              <w:rPr>
                <w:sz w:val="20"/>
                <w:szCs w:val="20"/>
                <w:color w:val="auto"/>
              </w:rPr>
            </w:pPr>
            <w:r>
              <w:rPr>
                <w:rFonts w:ascii="Arial" w:cs="Arial" w:eastAsia="Arial" w:hAnsi="Arial"/>
                <w:sz w:val="16"/>
                <w:szCs w:val="16"/>
                <w:color w:val="3E3935"/>
              </w:rPr>
              <w:t>Employer Contributions</w:t>
            </w: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1"/>
        </w:trPr>
        <w:tc>
          <w:tcPr>
            <w:tcW w:w="2700" w:type="dxa"/>
            <w:vAlign w:val="bottom"/>
            <w:tcBorders>
              <w:bottom w:val="single" w:sz="8" w:color="3E3935"/>
            </w:tcBorders>
          </w:tcPr>
          <w:p>
            <w:pPr>
              <w:ind w:left="100"/>
              <w:spacing w:after="0" w:line="271" w:lineRule="exact"/>
              <w:rPr>
                <w:sz w:val="20"/>
                <w:szCs w:val="20"/>
                <w:color w:val="auto"/>
              </w:rPr>
            </w:pPr>
            <w:r>
              <w:rPr>
                <w:rFonts w:ascii="Arial" w:cs="Arial" w:eastAsia="Arial" w:hAnsi="Arial"/>
                <w:sz w:val="16"/>
                <w:szCs w:val="16"/>
                <w:color w:val="3E3935"/>
              </w:rPr>
              <w:t>to Savings Plans</w:t>
            </w:r>
            <w:r>
              <w:rPr>
                <w:rFonts w:ascii="Arial" w:cs="Arial" w:eastAsia="Arial" w:hAnsi="Arial"/>
                <w:sz w:val="27"/>
                <w:szCs w:val="27"/>
                <w:color w:val="3E3935"/>
                <w:vertAlign w:val="superscript"/>
              </w:rPr>
              <w:t>(2)</w:t>
            </w:r>
          </w:p>
        </w:tc>
        <w:tc>
          <w:tcPr>
            <w:tcW w:w="16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363,300</w:t>
            </w:r>
          </w:p>
        </w:tc>
        <w:tc>
          <w:tcPr>
            <w:tcW w:w="94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6,667</w:t>
            </w:r>
          </w:p>
        </w:tc>
        <w:tc>
          <w:tcPr>
            <w:tcW w:w="7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186,500</w:t>
            </w:r>
          </w:p>
        </w:tc>
        <w:tc>
          <w:tcPr>
            <w:tcW w:w="8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129,700</w:t>
            </w:r>
          </w:p>
        </w:tc>
        <w:tc>
          <w:tcPr>
            <w:tcW w:w="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134,114</w:t>
            </w:r>
          </w:p>
        </w:tc>
        <w:tc>
          <w:tcPr>
            <w:tcW w:w="112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92,500</w:t>
            </w:r>
          </w:p>
        </w:tc>
        <w:tc>
          <w:tcPr>
            <w:tcW w:w="90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100,356</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68,500</w:t>
            </w:r>
          </w:p>
        </w:tc>
      </w:tr>
      <w:tr>
        <w:trPr>
          <w:trHeight w:val="231"/>
        </w:trPr>
        <w:tc>
          <w:tcPr>
            <w:tcW w:w="2700" w:type="dxa"/>
            <w:vAlign w:val="bottom"/>
          </w:tcPr>
          <w:p>
            <w:pPr>
              <w:ind w:left="100"/>
              <w:spacing w:after="0"/>
              <w:rPr>
                <w:sz w:val="20"/>
                <w:szCs w:val="20"/>
                <w:color w:val="auto"/>
              </w:rPr>
            </w:pPr>
            <w:r>
              <w:rPr>
                <w:rFonts w:ascii="Arial" w:cs="Arial" w:eastAsia="Arial" w:hAnsi="Arial"/>
                <w:sz w:val="16"/>
                <w:szCs w:val="16"/>
                <w:color w:val="3E3935"/>
              </w:rPr>
              <w:t>Life and Other</w:t>
            </w: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1"/>
        </w:trPr>
        <w:tc>
          <w:tcPr>
            <w:tcW w:w="2700" w:type="dxa"/>
            <w:vAlign w:val="bottom"/>
            <w:tcBorders>
              <w:bottom w:val="single" w:sz="8" w:color="3E3935"/>
            </w:tcBorders>
          </w:tcPr>
          <w:p>
            <w:pPr>
              <w:ind w:left="100"/>
              <w:spacing w:after="0" w:line="271" w:lineRule="exact"/>
              <w:rPr>
                <w:sz w:val="20"/>
                <w:szCs w:val="20"/>
                <w:color w:val="auto"/>
              </w:rPr>
            </w:pPr>
            <w:r>
              <w:rPr>
                <w:rFonts w:ascii="Arial" w:cs="Arial" w:eastAsia="Arial" w:hAnsi="Arial"/>
                <w:sz w:val="16"/>
                <w:szCs w:val="16"/>
                <w:color w:val="3E3935"/>
              </w:rPr>
              <w:t>Insurance Benefits</w:t>
            </w:r>
            <w:r>
              <w:rPr>
                <w:rFonts w:ascii="Arial" w:cs="Arial" w:eastAsia="Arial" w:hAnsi="Arial"/>
                <w:sz w:val="27"/>
                <w:szCs w:val="27"/>
                <w:color w:val="3E3935"/>
                <w:vertAlign w:val="superscript"/>
              </w:rPr>
              <w:t>(3)</w:t>
            </w:r>
          </w:p>
        </w:tc>
        <w:tc>
          <w:tcPr>
            <w:tcW w:w="16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13,735</w:t>
            </w:r>
          </w:p>
        </w:tc>
        <w:tc>
          <w:tcPr>
            <w:tcW w:w="94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w:t>
            </w:r>
          </w:p>
        </w:tc>
        <w:tc>
          <w:tcPr>
            <w:tcW w:w="78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8,247</w:t>
            </w:r>
          </w:p>
        </w:tc>
        <w:tc>
          <w:tcPr>
            <w:tcW w:w="8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4,994</w:t>
            </w:r>
          </w:p>
        </w:tc>
        <w:tc>
          <w:tcPr>
            <w:tcW w:w="76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4,584</w:t>
            </w:r>
          </w:p>
        </w:tc>
        <w:tc>
          <w:tcPr>
            <w:tcW w:w="112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1,578</w:t>
            </w:r>
          </w:p>
        </w:tc>
        <w:tc>
          <w:tcPr>
            <w:tcW w:w="900" w:type="dxa"/>
            <w:vAlign w:val="bottom"/>
            <w:tcBorders>
              <w:bottom w:val="single" w:sz="8" w:color="3E3935"/>
            </w:tcBorders>
          </w:tcPr>
          <w:p>
            <w:pPr>
              <w:jc w:val="right"/>
              <w:ind w:right="20"/>
              <w:spacing w:after="0"/>
              <w:rPr>
                <w:sz w:val="20"/>
                <w:szCs w:val="20"/>
                <w:color w:val="auto"/>
              </w:rPr>
            </w:pPr>
            <w:r>
              <w:rPr>
                <w:rFonts w:ascii="Arial" w:cs="Arial" w:eastAsia="Arial" w:hAnsi="Arial"/>
                <w:sz w:val="16"/>
                <w:szCs w:val="16"/>
                <w:color w:val="3E3935"/>
              </w:rPr>
              <w:t>2,864</w:t>
            </w:r>
          </w:p>
        </w:tc>
        <w:tc>
          <w:tcPr>
            <w:tcW w:w="8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3,588</w:t>
            </w:r>
          </w:p>
        </w:tc>
      </w:tr>
      <w:tr>
        <w:trPr>
          <w:trHeight w:val="242"/>
        </w:trPr>
        <w:tc>
          <w:tcPr>
            <w:tcW w:w="2700" w:type="dxa"/>
            <w:vAlign w:val="bottom"/>
          </w:tcPr>
          <w:p>
            <w:pPr>
              <w:ind w:left="100"/>
              <w:spacing w:after="0"/>
              <w:rPr>
                <w:sz w:val="20"/>
                <w:szCs w:val="20"/>
                <w:color w:val="auto"/>
              </w:rPr>
            </w:pPr>
            <w:r>
              <w:rPr>
                <w:rFonts w:ascii="Arial" w:cs="Arial" w:eastAsia="Arial" w:hAnsi="Arial"/>
                <w:sz w:val="16"/>
                <w:szCs w:val="16"/>
                <w:color w:val="3E3935"/>
              </w:rPr>
              <w:t>Other</w:t>
            </w:r>
            <w:r>
              <w:rPr>
                <w:rFonts w:ascii="Arial" w:cs="Arial" w:eastAsia="Arial" w:hAnsi="Arial"/>
                <w:sz w:val="13"/>
                <w:szCs w:val="13"/>
                <w:color w:val="3E3935"/>
              </w:rPr>
              <w:t>(4)(5)</w:t>
            </w:r>
          </w:p>
        </w:tc>
        <w:tc>
          <w:tcPr>
            <w:tcW w:w="1600" w:type="dxa"/>
            <w:vAlign w:val="bottom"/>
          </w:tcPr>
          <w:p>
            <w:pPr>
              <w:jc w:val="right"/>
              <w:spacing w:after="0"/>
              <w:rPr>
                <w:sz w:val="20"/>
                <w:szCs w:val="20"/>
                <w:color w:val="auto"/>
              </w:rPr>
            </w:pPr>
            <w:r>
              <w:rPr>
                <w:rFonts w:ascii="Arial" w:cs="Arial" w:eastAsia="Arial" w:hAnsi="Arial"/>
                <w:sz w:val="16"/>
                <w:szCs w:val="16"/>
                <w:color w:val="3E3935"/>
              </w:rPr>
              <w:t>3,033</w:t>
            </w:r>
          </w:p>
        </w:tc>
        <w:tc>
          <w:tcPr>
            <w:tcW w:w="940" w:type="dxa"/>
            <w:vAlign w:val="bottom"/>
          </w:tcPr>
          <w:p>
            <w:pPr>
              <w:jc w:val="right"/>
              <w:ind w:right="20"/>
              <w:spacing w:after="0"/>
              <w:rPr>
                <w:sz w:val="20"/>
                <w:szCs w:val="20"/>
                <w:color w:val="auto"/>
              </w:rPr>
            </w:pPr>
            <w:r>
              <w:rPr>
                <w:rFonts w:ascii="Arial" w:cs="Arial" w:eastAsia="Arial" w:hAnsi="Arial"/>
                <w:sz w:val="16"/>
                <w:szCs w:val="16"/>
                <w:color w:val="3E3935"/>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3E3935"/>
              </w:rPr>
              <w:t>1,878</w:t>
            </w:r>
          </w:p>
        </w:tc>
        <w:tc>
          <w:tcPr>
            <w:tcW w:w="800" w:type="dxa"/>
            <w:vAlign w:val="bottom"/>
          </w:tcPr>
          <w:p>
            <w:pPr>
              <w:jc w:val="right"/>
              <w:ind w:right="40"/>
              <w:spacing w:after="0"/>
              <w:rPr>
                <w:sz w:val="20"/>
                <w:szCs w:val="20"/>
                <w:color w:val="auto"/>
              </w:rPr>
            </w:pPr>
            <w:r>
              <w:rPr>
                <w:rFonts w:ascii="Arial" w:cs="Arial" w:eastAsia="Arial" w:hAnsi="Arial"/>
                <w:sz w:val="16"/>
                <w:szCs w:val="16"/>
                <w:color w:val="3E3935"/>
              </w:rPr>
              <w:t>1,119</w:t>
            </w:r>
          </w:p>
        </w:tc>
        <w:tc>
          <w:tcPr>
            <w:tcW w:w="760" w:type="dxa"/>
            <w:vAlign w:val="bottom"/>
          </w:tcPr>
          <w:p>
            <w:pPr>
              <w:jc w:val="right"/>
              <w:spacing w:after="0"/>
              <w:rPr>
                <w:sz w:val="20"/>
                <w:szCs w:val="20"/>
                <w:color w:val="auto"/>
              </w:rPr>
            </w:pPr>
            <w:r>
              <w:rPr>
                <w:rFonts w:ascii="Arial" w:cs="Arial" w:eastAsia="Arial" w:hAnsi="Arial"/>
                <w:sz w:val="16"/>
                <w:szCs w:val="16"/>
                <w:color w:val="3E3935"/>
              </w:rPr>
              <w:t>1,022</w:t>
            </w:r>
          </w:p>
        </w:tc>
        <w:tc>
          <w:tcPr>
            <w:tcW w:w="1120" w:type="dxa"/>
            <w:vAlign w:val="bottom"/>
          </w:tcPr>
          <w:p>
            <w:pPr>
              <w:jc w:val="right"/>
              <w:spacing w:after="0"/>
              <w:rPr>
                <w:sz w:val="20"/>
                <w:szCs w:val="20"/>
                <w:color w:val="auto"/>
              </w:rPr>
            </w:pPr>
            <w:r>
              <w:rPr>
                <w:rFonts w:ascii="Arial" w:cs="Arial" w:eastAsia="Arial" w:hAnsi="Arial"/>
                <w:sz w:val="16"/>
                <w:szCs w:val="16"/>
                <w:color w:val="3E3935"/>
              </w:rPr>
              <w:t>1,086</w:t>
            </w:r>
          </w:p>
        </w:tc>
        <w:tc>
          <w:tcPr>
            <w:tcW w:w="900" w:type="dxa"/>
            <w:vAlign w:val="bottom"/>
          </w:tcPr>
          <w:p>
            <w:pPr>
              <w:jc w:val="right"/>
              <w:ind w:right="20"/>
              <w:spacing w:after="0"/>
              <w:rPr>
                <w:sz w:val="20"/>
                <w:szCs w:val="20"/>
                <w:color w:val="auto"/>
              </w:rPr>
            </w:pPr>
            <w:r>
              <w:rPr>
                <w:rFonts w:ascii="Arial" w:cs="Arial" w:eastAsia="Arial" w:hAnsi="Arial"/>
                <w:sz w:val="16"/>
                <w:szCs w:val="16"/>
                <w:color w:val="3E3935"/>
              </w:rPr>
              <w:t>813</w:t>
            </w:r>
          </w:p>
        </w:tc>
        <w:tc>
          <w:tcPr>
            <w:tcW w:w="880" w:type="dxa"/>
            <w:vAlign w:val="bottom"/>
          </w:tcPr>
          <w:p>
            <w:pPr>
              <w:jc w:val="right"/>
              <w:spacing w:after="0"/>
              <w:rPr>
                <w:sz w:val="20"/>
                <w:szCs w:val="20"/>
                <w:color w:val="auto"/>
              </w:rPr>
            </w:pPr>
            <w:r>
              <w:rPr>
                <w:rFonts w:ascii="Arial" w:cs="Arial" w:eastAsia="Arial" w:hAnsi="Arial"/>
                <w:sz w:val="16"/>
                <w:szCs w:val="16"/>
                <w:color w:val="3E3935"/>
              </w:rPr>
              <w:t>2,356,683</w:t>
            </w:r>
          </w:p>
        </w:tc>
      </w:tr>
      <w:tr>
        <w:trPr>
          <w:trHeight w:val="59"/>
        </w:trPr>
        <w:tc>
          <w:tcPr>
            <w:tcW w:w="27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00" w:type="dxa"/>
            <w:vAlign w:val="bottom"/>
            <w:tcBorders>
              <w:bottom w:val="single" w:sz="8" w:color="3E3935"/>
            </w:tcBorders>
          </w:tcPr>
          <w:p>
            <w:pPr>
              <w:spacing w:after="0"/>
              <w:rPr>
                <w:sz w:val="5"/>
                <w:szCs w:val="5"/>
                <w:color w:val="auto"/>
              </w:rPr>
            </w:pPr>
          </w:p>
        </w:tc>
        <w:tc>
          <w:tcPr>
            <w:tcW w:w="880" w:type="dxa"/>
            <w:vAlign w:val="bottom"/>
            <w:tcBorders>
              <w:bottom w:val="single" w:sz="8" w:color="3E3935"/>
            </w:tcBorders>
          </w:tcPr>
          <w:p>
            <w:pPr>
              <w:spacing w:after="0"/>
              <w:rPr>
                <w:sz w:val="5"/>
                <w:szCs w:val="5"/>
                <w:color w:val="auto"/>
              </w:rPr>
            </w:pPr>
          </w:p>
        </w:tc>
      </w:tr>
      <w:tr>
        <w:trPr>
          <w:trHeight w:val="242"/>
        </w:trPr>
        <w:tc>
          <w:tcPr>
            <w:tcW w:w="2700" w:type="dxa"/>
            <w:vAlign w:val="bottom"/>
          </w:tcPr>
          <w:p>
            <w:pPr>
              <w:ind w:left="100"/>
              <w:spacing w:after="0"/>
              <w:rPr>
                <w:sz w:val="20"/>
                <w:szCs w:val="20"/>
                <w:color w:val="auto"/>
              </w:rPr>
            </w:pPr>
            <w:r>
              <w:rPr>
                <w:rFonts w:ascii="Arial" w:cs="Arial" w:eastAsia="Arial" w:hAnsi="Arial"/>
                <w:sz w:val="16"/>
                <w:szCs w:val="16"/>
                <w:b w:val="1"/>
                <w:bCs w:val="1"/>
                <w:color w:val="3E3935"/>
              </w:rPr>
              <w:t>TOTAL</w:t>
            </w:r>
          </w:p>
        </w:tc>
        <w:tc>
          <w:tcPr>
            <w:tcW w:w="1600" w:type="dxa"/>
            <w:vAlign w:val="bottom"/>
          </w:tcPr>
          <w:p>
            <w:pPr>
              <w:jc w:val="right"/>
              <w:spacing w:after="0"/>
              <w:rPr>
                <w:sz w:val="20"/>
                <w:szCs w:val="20"/>
                <w:color w:val="auto"/>
              </w:rPr>
            </w:pPr>
            <w:r>
              <w:rPr>
                <w:rFonts w:ascii="Arial" w:cs="Arial" w:eastAsia="Arial" w:hAnsi="Arial"/>
                <w:sz w:val="16"/>
                <w:szCs w:val="16"/>
                <w:color w:val="3E3935"/>
              </w:rPr>
              <w:t>615,655</w:t>
            </w:r>
          </w:p>
        </w:tc>
        <w:tc>
          <w:tcPr>
            <w:tcW w:w="940" w:type="dxa"/>
            <w:vAlign w:val="bottom"/>
          </w:tcPr>
          <w:p>
            <w:pPr>
              <w:jc w:val="right"/>
              <w:ind w:right="20"/>
              <w:spacing w:after="0"/>
              <w:rPr>
                <w:sz w:val="20"/>
                <w:szCs w:val="20"/>
                <w:color w:val="auto"/>
              </w:rPr>
            </w:pPr>
            <w:r>
              <w:rPr>
                <w:rFonts w:ascii="Arial" w:cs="Arial" w:eastAsia="Arial" w:hAnsi="Arial"/>
                <w:sz w:val="16"/>
                <w:szCs w:val="16"/>
                <w:color w:val="3E3935"/>
              </w:rPr>
              <w:t>7,610</w:t>
            </w:r>
          </w:p>
        </w:tc>
        <w:tc>
          <w:tcPr>
            <w:tcW w:w="780" w:type="dxa"/>
            <w:vAlign w:val="bottom"/>
          </w:tcPr>
          <w:p>
            <w:pPr>
              <w:jc w:val="right"/>
              <w:ind w:right="20"/>
              <w:spacing w:after="0"/>
              <w:rPr>
                <w:sz w:val="20"/>
                <w:szCs w:val="20"/>
                <w:color w:val="auto"/>
              </w:rPr>
            </w:pPr>
            <w:r>
              <w:rPr>
                <w:rFonts w:ascii="Arial" w:cs="Arial" w:eastAsia="Arial" w:hAnsi="Arial"/>
                <w:sz w:val="16"/>
                <w:szCs w:val="16"/>
                <w:color w:val="3E3935"/>
              </w:rPr>
              <w:t>227,702</w:t>
            </w:r>
          </w:p>
        </w:tc>
        <w:tc>
          <w:tcPr>
            <w:tcW w:w="800" w:type="dxa"/>
            <w:vAlign w:val="bottom"/>
          </w:tcPr>
          <w:p>
            <w:pPr>
              <w:jc w:val="right"/>
              <w:ind w:right="40"/>
              <w:spacing w:after="0"/>
              <w:rPr>
                <w:sz w:val="20"/>
                <w:szCs w:val="20"/>
                <w:color w:val="auto"/>
              </w:rPr>
            </w:pPr>
            <w:r>
              <w:rPr>
                <w:rFonts w:ascii="Arial" w:cs="Arial" w:eastAsia="Arial" w:hAnsi="Arial"/>
                <w:sz w:val="16"/>
                <w:szCs w:val="16"/>
                <w:color w:val="3E3935"/>
              </w:rPr>
              <w:t>163,025</w:t>
            </w:r>
          </w:p>
        </w:tc>
        <w:tc>
          <w:tcPr>
            <w:tcW w:w="760" w:type="dxa"/>
            <w:vAlign w:val="bottom"/>
          </w:tcPr>
          <w:p>
            <w:pPr>
              <w:jc w:val="right"/>
              <w:spacing w:after="0"/>
              <w:rPr>
                <w:sz w:val="20"/>
                <w:szCs w:val="20"/>
                <w:color w:val="auto"/>
              </w:rPr>
            </w:pPr>
            <w:r>
              <w:rPr>
                <w:rFonts w:ascii="Arial" w:cs="Arial" w:eastAsia="Arial" w:hAnsi="Arial"/>
                <w:sz w:val="16"/>
                <w:szCs w:val="16"/>
                <w:color w:val="3E3935"/>
              </w:rPr>
              <w:t>160,155</w:t>
            </w:r>
          </w:p>
        </w:tc>
        <w:tc>
          <w:tcPr>
            <w:tcW w:w="1120" w:type="dxa"/>
            <w:vAlign w:val="bottom"/>
          </w:tcPr>
          <w:p>
            <w:pPr>
              <w:jc w:val="right"/>
              <w:spacing w:after="0"/>
              <w:rPr>
                <w:sz w:val="20"/>
                <w:szCs w:val="20"/>
                <w:color w:val="auto"/>
              </w:rPr>
            </w:pPr>
            <w:r>
              <w:rPr>
                <w:rFonts w:ascii="Arial" w:cs="Arial" w:eastAsia="Arial" w:hAnsi="Arial"/>
                <w:sz w:val="16"/>
                <w:szCs w:val="16"/>
                <w:color w:val="3E3935"/>
              </w:rPr>
              <w:t>119,622</w:t>
            </w:r>
          </w:p>
        </w:tc>
        <w:tc>
          <w:tcPr>
            <w:tcW w:w="900" w:type="dxa"/>
            <w:vAlign w:val="bottom"/>
          </w:tcPr>
          <w:p>
            <w:pPr>
              <w:jc w:val="right"/>
              <w:ind w:right="20"/>
              <w:spacing w:after="0"/>
              <w:rPr>
                <w:sz w:val="20"/>
                <w:szCs w:val="20"/>
                <w:color w:val="auto"/>
              </w:rPr>
            </w:pPr>
            <w:r>
              <w:rPr>
                <w:rFonts w:ascii="Arial" w:cs="Arial" w:eastAsia="Arial" w:hAnsi="Arial"/>
                <w:sz w:val="16"/>
                <w:szCs w:val="16"/>
                <w:color w:val="3E3935"/>
              </w:rPr>
              <w:t>131,040</w:t>
            </w:r>
          </w:p>
        </w:tc>
        <w:tc>
          <w:tcPr>
            <w:tcW w:w="880" w:type="dxa"/>
            <w:vAlign w:val="bottom"/>
          </w:tcPr>
          <w:p>
            <w:pPr>
              <w:jc w:val="right"/>
              <w:spacing w:after="0"/>
              <w:rPr>
                <w:sz w:val="20"/>
                <w:szCs w:val="20"/>
                <w:color w:val="auto"/>
              </w:rPr>
            </w:pPr>
            <w:r>
              <w:rPr>
                <w:rFonts w:ascii="Arial" w:cs="Arial" w:eastAsia="Arial" w:hAnsi="Arial"/>
                <w:sz w:val="16"/>
                <w:szCs w:val="16"/>
                <w:color w:val="3E3935"/>
              </w:rPr>
              <w:t>2,458,665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37465</wp:posOffset>
            </wp:positionV>
            <wp:extent cx="66497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114" w:lineRule="exact"/>
        <w:rPr>
          <w:sz w:val="20"/>
          <w:szCs w:val="20"/>
          <w:color w:val="auto"/>
        </w:rPr>
      </w:pPr>
    </w:p>
    <w:p>
      <w:pPr>
        <w:ind w:left="1140" w:hanging="545"/>
        <w:spacing w:after="0"/>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included as Perquisites and Other Personal Benefits are described in the table below.</w:t>
      </w:r>
    </w:p>
    <w:p>
      <w:pPr>
        <w:spacing w:after="0" w:line="73" w:lineRule="exact"/>
        <w:rPr>
          <w:rFonts w:ascii="Arial" w:cs="Arial" w:eastAsia="Arial" w:hAnsi="Arial"/>
          <w:sz w:val="18"/>
          <w:szCs w:val="18"/>
          <w:i w:val="1"/>
          <w:iCs w:val="1"/>
          <w:color w:val="3E3935"/>
        </w:rPr>
      </w:pPr>
    </w:p>
    <w:p>
      <w:pPr>
        <w:ind w:left="1140" w:hanging="545"/>
        <w:spacing w:after="0"/>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employer contributions to tax-qualified and non-tax-qualified savings and retirement plans during 2020.</w:t>
      </w:r>
    </w:p>
    <w:p>
      <w:pPr>
        <w:spacing w:after="0" w:line="73" w:lineRule="exact"/>
        <w:rPr>
          <w:rFonts w:ascii="Arial" w:cs="Arial" w:eastAsia="Arial" w:hAnsi="Arial"/>
          <w:sz w:val="18"/>
          <w:szCs w:val="18"/>
          <w:i w:val="1"/>
          <w:iCs w:val="1"/>
          <w:color w:val="3E3935"/>
        </w:rPr>
      </w:pPr>
    </w:p>
    <w:p>
      <w:pPr>
        <w:jc w:val="both"/>
        <w:ind w:left="1140" w:hanging="545"/>
        <w:spacing w:after="0" w:line="246" w:lineRule="auto"/>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premiums paid by the Company for Group Variable Universal Life insurance for executives. Executives are responsible for any ordinary income taxes resulting from the cost of the GM-paid premiums. For Ms. Barra, amounts also include the Company’s cost of premiums for providing personal accident insurance for members of the Board.</w:t>
      </w:r>
    </w:p>
    <w:p>
      <w:pPr>
        <w:spacing w:after="0" w:line="45" w:lineRule="exact"/>
        <w:rPr>
          <w:rFonts w:ascii="Arial" w:cs="Arial" w:eastAsia="Arial" w:hAnsi="Arial"/>
          <w:sz w:val="18"/>
          <w:szCs w:val="18"/>
          <w:i w:val="1"/>
          <w:iCs w:val="1"/>
          <w:color w:val="3E3935"/>
        </w:rPr>
      </w:pPr>
    </w:p>
    <w:p>
      <w:pPr>
        <w:ind w:left="1140" w:hanging="545"/>
        <w:spacing w:after="0"/>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interest paid on repayment of the salary deferral discussed on page 55 of this Proxy Statement.</w:t>
      </w:r>
    </w:p>
    <w:p>
      <w:pPr>
        <w:spacing w:after="0" w:line="73" w:lineRule="exact"/>
        <w:rPr>
          <w:rFonts w:ascii="Arial" w:cs="Arial" w:eastAsia="Arial" w:hAnsi="Arial"/>
          <w:sz w:val="18"/>
          <w:szCs w:val="18"/>
          <w:i w:val="1"/>
          <w:iCs w:val="1"/>
          <w:color w:val="3E3935"/>
        </w:rPr>
      </w:pPr>
    </w:p>
    <w:p>
      <w:pPr>
        <w:ind w:left="1140" w:hanging="545"/>
        <w:spacing w:after="0" w:line="260" w:lineRule="auto"/>
        <w:tabs>
          <w:tab w:leader="none" w:pos="1140" w:val="left"/>
        </w:tabs>
        <w:numPr>
          <w:ilvl w:val="0"/>
          <w:numId w:val="129"/>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Mr. Engle’s payment upon separation pursuant to the terms of the Executive Severance Program. For additional details, see page 79 of this Proxy Statement.</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Perquisites and Other Personal Benefits</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6"/>
        </w:trPr>
        <w:tc>
          <w:tcPr>
            <w:tcW w:w="2900" w:type="dxa"/>
            <w:vAlign w:val="bottom"/>
            <w:tcBorders>
              <w:top w:val="single" w:sz="8" w:color="00C1DE"/>
            </w:tcBorders>
          </w:tcPr>
          <w:p>
            <w:pPr>
              <w:spacing w:after="0"/>
              <w:rPr>
                <w:sz w:val="17"/>
                <w:szCs w:val="17"/>
                <w:color w:val="auto"/>
              </w:rPr>
            </w:pPr>
          </w:p>
        </w:tc>
        <w:tc>
          <w:tcPr>
            <w:tcW w:w="1340" w:type="dxa"/>
            <w:vAlign w:val="bottom"/>
            <w:tcBorders>
              <w:top w:val="single" w:sz="8" w:color="00C1DE"/>
            </w:tcBorders>
          </w:tcPr>
          <w:p>
            <w:pPr>
              <w:jc w:val="right"/>
              <w:ind w:right="40"/>
              <w:spacing w:after="0"/>
              <w:rPr>
                <w:sz w:val="20"/>
                <w:szCs w:val="20"/>
                <w:color w:val="auto"/>
              </w:rPr>
            </w:pPr>
            <w:r>
              <w:rPr>
                <w:rFonts w:ascii="Arial" w:cs="Arial" w:eastAsia="Arial" w:hAnsi="Arial"/>
                <w:sz w:val="16"/>
                <w:szCs w:val="16"/>
                <w:b w:val="1"/>
                <w:bCs w:val="1"/>
                <w:color w:val="00C1DE"/>
              </w:rPr>
              <w:t>M. T.</w:t>
            </w:r>
          </w:p>
        </w:tc>
        <w:tc>
          <w:tcPr>
            <w:tcW w:w="1020" w:type="dxa"/>
            <w:vAlign w:val="bottom"/>
            <w:tcBorders>
              <w:top w:val="single" w:sz="8" w:color="00C1DE"/>
            </w:tcBorders>
          </w:tcPr>
          <w:p>
            <w:pPr>
              <w:jc w:val="right"/>
              <w:ind w:right="60"/>
              <w:spacing w:after="0"/>
              <w:rPr>
                <w:sz w:val="20"/>
                <w:szCs w:val="20"/>
                <w:color w:val="auto"/>
              </w:rPr>
            </w:pPr>
            <w:r>
              <w:rPr>
                <w:rFonts w:ascii="Arial" w:cs="Arial" w:eastAsia="Arial" w:hAnsi="Arial"/>
                <w:sz w:val="16"/>
                <w:szCs w:val="16"/>
                <w:b w:val="1"/>
                <w:bCs w:val="1"/>
                <w:color w:val="00C1DE"/>
              </w:rPr>
              <w:t>P. A.</w:t>
            </w:r>
          </w:p>
        </w:tc>
        <w:tc>
          <w:tcPr>
            <w:tcW w:w="780" w:type="dxa"/>
            <w:vAlign w:val="bottom"/>
            <w:tcBorders>
              <w:top w:val="single" w:sz="8" w:color="00C1DE"/>
            </w:tcBorders>
          </w:tcPr>
          <w:p>
            <w:pPr>
              <w:jc w:val="right"/>
              <w:ind w:right="60"/>
              <w:spacing w:after="0"/>
              <w:rPr>
                <w:sz w:val="20"/>
                <w:szCs w:val="20"/>
                <w:color w:val="auto"/>
              </w:rPr>
            </w:pPr>
            <w:r>
              <w:rPr>
                <w:rFonts w:ascii="Arial" w:cs="Arial" w:eastAsia="Arial" w:hAnsi="Arial"/>
                <w:sz w:val="16"/>
                <w:szCs w:val="16"/>
                <w:b w:val="1"/>
                <w:bCs w:val="1"/>
                <w:color w:val="00C1DE"/>
              </w:rPr>
              <w:t>M. L.</w:t>
            </w:r>
          </w:p>
        </w:tc>
        <w:tc>
          <w:tcPr>
            <w:tcW w:w="740" w:type="dxa"/>
            <w:vAlign w:val="bottom"/>
            <w:tcBorders>
              <w:top w:val="single" w:sz="8" w:color="00C1DE"/>
            </w:tcBorders>
          </w:tcPr>
          <w:p>
            <w:pPr>
              <w:jc w:val="right"/>
              <w:ind w:right="40"/>
              <w:spacing w:after="0"/>
              <w:rPr>
                <w:sz w:val="20"/>
                <w:szCs w:val="20"/>
                <w:color w:val="auto"/>
              </w:rPr>
            </w:pPr>
            <w:r>
              <w:rPr>
                <w:rFonts w:ascii="Arial" w:cs="Arial" w:eastAsia="Arial" w:hAnsi="Arial"/>
                <w:sz w:val="16"/>
                <w:szCs w:val="16"/>
                <w:b w:val="1"/>
                <w:bCs w:val="1"/>
                <w:color w:val="00C1DE"/>
              </w:rPr>
              <w:t>D. L.</w:t>
            </w:r>
          </w:p>
        </w:tc>
        <w:tc>
          <w:tcPr>
            <w:tcW w:w="820" w:type="dxa"/>
            <w:vAlign w:val="bottom"/>
            <w:tcBorders>
              <w:top w:val="single" w:sz="8" w:color="00C1DE"/>
            </w:tcBorders>
          </w:tcPr>
          <w:p>
            <w:pPr>
              <w:jc w:val="right"/>
              <w:ind w:right="40"/>
              <w:spacing w:after="0"/>
              <w:rPr>
                <w:sz w:val="20"/>
                <w:szCs w:val="20"/>
                <w:color w:val="auto"/>
              </w:rPr>
            </w:pPr>
            <w:r>
              <w:rPr>
                <w:rFonts w:ascii="Arial" w:cs="Arial" w:eastAsia="Arial" w:hAnsi="Arial"/>
                <w:sz w:val="16"/>
                <w:szCs w:val="16"/>
                <w:b w:val="1"/>
                <w:bCs w:val="1"/>
                <w:color w:val="00C1DE"/>
              </w:rPr>
              <w:t>S. K.</w:t>
            </w:r>
          </w:p>
        </w:tc>
        <w:tc>
          <w:tcPr>
            <w:tcW w:w="1200" w:type="dxa"/>
            <w:vAlign w:val="bottom"/>
            <w:tcBorders>
              <w:top w:val="single" w:sz="8" w:color="00C1DE"/>
            </w:tcBorders>
          </w:tcPr>
          <w:p>
            <w:pPr>
              <w:jc w:val="right"/>
              <w:ind w:right="40"/>
              <w:spacing w:after="0"/>
              <w:rPr>
                <w:sz w:val="20"/>
                <w:szCs w:val="20"/>
                <w:color w:val="auto"/>
              </w:rPr>
            </w:pPr>
            <w:r>
              <w:rPr>
                <w:rFonts w:ascii="Arial" w:cs="Arial" w:eastAsia="Arial" w:hAnsi="Arial"/>
                <w:sz w:val="16"/>
                <w:szCs w:val="16"/>
                <w:b w:val="1"/>
                <w:bCs w:val="1"/>
                <w:color w:val="00C1DE"/>
              </w:rPr>
              <w:t>D.</w:t>
            </w:r>
          </w:p>
        </w:tc>
        <w:tc>
          <w:tcPr>
            <w:tcW w:w="1000" w:type="dxa"/>
            <w:vAlign w:val="bottom"/>
            <w:tcBorders>
              <w:top w:val="single" w:sz="8" w:color="00C1DE"/>
            </w:tcBorders>
          </w:tcPr>
          <w:p>
            <w:pPr>
              <w:jc w:val="right"/>
              <w:ind w:right="60"/>
              <w:spacing w:after="0"/>
              <w:rPr>
                <w:sz w:val="20"/>
                <w:szCs w:val="20"/>
                <w:color w:val="auto"/>
              </w:rPr>
            </w:pPr>
            <w:r>
              <w:rPr>
                <w:rFonts w:ascii="Arial" w:cs="Arial" w:eastAsia="Arial" w:hAnsi="Arial"/>
                <w:sz w:val="16"/>
                <w:szCs w:val="16"/>
                <w:b w:val="1"/>
                <w:bCs w:val="1"/>
                <w:color w:val="00C1DE"/>
              </w:rPr>
              <w:t>J. P.</w:t>
            </w:r>
          </w:p>
        </w:tc>
        <w:tc>
          <w:tcPr>
            <w:tcW w:w="680" w:type="dxa"/>
            <w:vAlign w:val="bottom"/>
            <w:tcBorders>
              <w:top w:val="single" w:sz="8" w:color="00C1DE"/>
            </w:tcBorders>
          </w:tcPr>
          <w:p>
            <w:pPr>
              <w:jc w:val="right"/>
              <w:spacing w:after="0"/>
              <w:rPr>
                <w:sz w:val="20"/>
                <w:szCs w:val="20"/>
                <w:color w:val="auto"/>
              </w:rPr>
            </w:pPr>
            <w:r>
              <w:rPr>
                <w:rFonts w:ascii="Arial" w:cs="Arial" w:eastAsia="Arial" w:hAnsi="Arial"/>
                <w:sz w:val="16"/>
                <w:szCs w:val="16"/>
                <w:b w:val="1"/>
                <w:bCs w:val="1"/>
                <w:color w:val="00C1DE"/>
              </w:rPr>
              <w:t>B. L.</w:t>
            </w:r>
          </w:p>
        </w:tc>
      </w:tr>
      <w:tr>
        <w:trPr>
          <w:trHeight w:val="187"/>
        </w:trPr>
        <w:tc>
          <w:tcPr>
            <w:tcW w:w="2900" w:type="dxa"/>
            <w:vAlign w:val="bottom"/>
          </w:tcPr>
          <w:p>
            <w:pPr>
              <w:spacing w:after="0"/>
              <w:rPr>
                <w:sz w:val="16"/>
                <w:szCs w:val="16"/>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b w:val="1"/>
                <w:bCs w:val="1"/>
                <w:color w:val="00C1DE"/>
              </w:rPr>
              <w:t>Barra</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00C1DE"/>
              </w:rPr>
              <w:t>Jacobson</w:t>
            </w: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00C1DE"/>
              </w:rPr>
              <w:t>Reuss</w:t>
            </w:r>
          </w:p>
        </w:tc>
        <w:tc>
          <w:tcPr>
            <w:tcW w:w="740" w:type="dxa"/>
            <w:vAlign w:val="bottom"/>
          </w:tcPr>
          <w:p>
            <w:pPr>
              <w:jc w:val="right"/>
              <w:ind w:right="40"/>
              <w:spacing w:after="0"/>
              <w:rPr>
                <w:sz w:val="20"/>
                <w:szCs w:val="20"/>
                <w:color w:val="auto"/>
              </w:rPr>
            </w:pPr>
            <w:r>
              <w:rPr>
                <w:rFonts w:ascii="Arial" w:cs="Arial" w:eastAsia="Arial" w:hAnsi="Arial"/>
                <w:sz w:val="16"/>
                <w:szCs w:val="16"/>
                <w:b w:val="1"/>
                <w:bCs w:val="1"/>
                <w:color w:val="00C1DE"/>
              </w:rPr>
              <w:t>Parks</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00C1DE"/>
              </w:rPr>
              <w:t>Carlisle</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00C1DE"/>
              </w:rPr>
              <w:t>Suryadevara</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C1DE"/>
              </w:rPr>
              <w:t>Stapleton</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00C1DE"/>
              </w:rPr>
              <w:t>Engle</w:t>
            </w:r>
          </w:p>
        </w:tc>
      </w:tr>
      <w:tr>
        <w:trPr>
          <w:trHeight w:val="213"/>
        </w:trPr>
        <w:tc>
          <w:tcPr>
            <w:tcW w:w="290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00C1DE"/>
              </w:rPr>
              <w:t>($)</w:t>
            </w:r>
          </w:p>
        </w:tc>
        <w:tc>
          <w:tcPr>
            <w:tcW w:w="780" w:type="dxa"/>
            <w:vAlign w:val="bottom"/>
          </w:tcPr>
          <w:p>
            <w:pPr>
              <w:jc w:val="right"/>
              <w:ind w:right="60"/>
              <w:spacing w:after="0"/>
              <w:rPr>
                <w:sz w:val="20"/>
                <w:szCs w:val="20"/>
                <w:color w:val="auto"/>
              </w:rPr>
            </w:pPr>
            <w:r>
              <w:rPr>
                <w:rFonts w:ascii="Arial" w:cs="Arial" w:eastAsia="Arial" w:hAnsi="Arial"/>
                <w:sz w:val="16"/>
                <w:szCs w:val="16"/>
                <w:b w:val="1"/>
                <w:bCs w:val="1"/>
                <w:color w:val="00C1DE"/>
              </w:rPr>
              <w:t>($)</w:t>
            </w:r>
          </w:p>
        </w:tc>
        <w:tc>
          <w:tcPr>
            <w:tcW w:w="74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00C1DE"/>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00C1DE"/>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00C1DE"/>
              </w:rPr>
              <w:t>($)</w:t>
            </w:r>
          </w:p>
        </w:tc>
      </w:tr>
      <w:tr>
        <w:trPr>
          <w:trHeight w:val="32"/>
        </w:trPr>
        <w:tc>
          <w:tcPr>
            <w:tcW w:w="2900" w:type="dxa"/>
            <w:vAlign w:val="bottom"/>
            <w:tcBorders>
              <w:bottom w:val="single" w:sz="8" w:color="00C1DE"/>
            </w:tcBorders>
          </w:tcPr>
          <w:p>
            <w:pPr>
              <w:spacing w:after="0"/>
              <w:rPr>
                <w:sz w:val="2"/>
                <w:szCs w:val="2"/>
                <w:color w:val="auto"/>
              </w:rPr>
            </w:pPr>
          </w:p>
        </w:tc>
        <w:tc>
          <w:tcPr>
            <w:tcW w:w="1340" w:type="dxa"/>
            <w:vAlign w:val="bottom"/>
            <w:tcBorders>
              <w:bottom w:val="single" w:sz="8" w:color="00C1DE"/>
            </w:tcBorders>
          </w:tcPr>
          <w:p>
            <w:pPr>
              <w:spacing w:after="0"/>
              <w:rPr>
                <w:sz w:val="2"/>
                <w:szCs w:val="2"/>
                <w:color w:val="auto"/>
              </w:rPr>
            </w:pPr>
          </w:p>
        </w:tc>
        <w:tc>
          <w:tcPr>
            <w:tcW w:w="1020" w:type="dxa"/>
            <w:vAlign w:val="bottom"/>
            <w:tcBorders>
              <w:bottom w:val="single" w:sz="8" w:color="00C1DE"/>
            </w:tcBorders>
          </w:tcPr>
          <w:p>
            <w:pPr>
              <w:spacing w:after="0"/>
              <w:rPr>
                <w:sz w:val="2"/>
                <w:szCs w:val="2"/>
                <w:color w:val="auto"/>
              </w:rPr>
            </w:pPr>
          </w:p>
        </w:tc>
        <w:tc>
          <w:tcPr>
            <w:tcW w:w="780" w:type="dxa"/>
            <w:vAlign w:val="bottom"/>
            <w:tcBorders>
              <w:bottom w:val="single" w:sz="8" w:color="00C1DE"/>
            </w:tcBorders>
          </w:tcPr>
          <w:p>
            <w:pPr>
              <w:spacing w:after="0"/>
              <w:rPr>
                <w:sz w:val="2"/>
                <w:szCs w:val="2"/>
                <w:color w:val="auto"/>
              </w:rPr>
            </w:pPr>
          </w:p>
        </w:tc>
        <w:tc>
          <w:tcPr>
            <w:tcW w:w="740" w:type="dxa"/>
            <w:vAlign w:val="bottom"/>
            <w:tcBorders>
              <w:bottom w:val="single" w:sz="8" w:color="00C1DE"/>
            </w:tcBorders>
          </w:tcPr>
          <w:p>
            <w:pPr>
              <w:spacing w:after="0"/>
              <w:rPr>
                <w:sz w:val="2"/>
                <w:szCs w:val="2"/>
                <w:color w:val="auto"/>
              </w:rPr>
            </w:pPr>
          </w:p>
        </w:tc>
        <w:tc>
          <w:tcPr>
            <w:tcW w:w="820" w:type="dxa"/>
            <w:vAlign w:val="bottom"/>
            <w:tcBorders>
              <w:bottom w:val="single" w:sz="8" w:color="00C1DE"/>
            </w:tcBorders>
          </w:tcPr>
          <w:p>
            <w:pPr>
              <w:spacing w:after="0"/>
              <w:rPr>
                <w:sz w:val="2"/>
                <w:szCs w:val="2"/>
                <w:color w:val="auto"/>
              </w:rPr>
            </w:pPr>
          </w:p>
        </w:tc>
        <w:tc>
          <w:tcPr>
            <w:tcW w:w="1200" w:type="dxa"/>
            <w:vAlign w:val="bottom"/>
            <w:tcBorders>
              <w:bottom w:val="single" w:sz="8" w:color="00C1DE"/>
            </w:tcBorders>
          </w:tcPr>
          <w:p>
            <w:pPr>
              <w:spacing w:after="0"/>
              <w:rPr>
                <w:sz w:val="2"/>
                <w:szCs w:val="2"/>
                <w:color w:val="auto"/>
              </w:rPr>
            </w:pPr>
          </w:p>
        </w:tc>
        <w:tc>
          <w:tcPr>
            <w:tcW w:w="1000" w:type="dxa"/>
            <w:vAlign w:val="bottom"/>
            <w:tcBorders>
              <w:bottom w:val="single" w:sz="8" w:color="00C1DE"/>
            </w:tcBorders>
          </w:tcPr>
          <w:p>
            <w:pPr>
              <w:spacing w:after="0"/>
              <w:rPr>
                <w:sz w:val="2"/>
                <w:szCs w:val="2"/>
                <w:color w:val="auto"/>
              </w:rPr>
            </w:pPr>
          </w:p>
        </w:tc>
        <w:tc>
          <w:tcPr>
            <w:tcW w:w="680" w:type="dxa"/>
            <w:vAlign w:val="bottom"/>
            <w:tcBorders>
              <w:bottom w:val="single" w:sz="8" w:color="00C1DE"/>
            </w:tcBorders>
          </w:tcPr>
          <w:p>
            <w:pPr>
              <w:spacing w:after="0"/>
              <w:rPr>
                <w:sz w:val="2"/>
                <w:szCs w:val="2"/>
                <w:color w:val="auto"/>
              </w:rPr>
            </w:pPr>
          </w:p>
        </w:tc>
      </w:tr>
      <w:tr>
        <w:trPr>
          <w:trHeight w:val="328"/>
        </w:trPr>
        <w:tc>
          <w:tcPr>
            <w:tcW w:w="290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Personal Travel</w:t>
            </w:r>
            <w:r>
              <w:rPr>
                <w:rFonts w:ascii="Arial" w:cs="Arial" w:eastAsia="Arial" w:hAnsi="Arial"/>
                <w:sz w:val="27"/>
                <w:szCs w:val="27"/>
                <w:color w:val="3E3935"/>
                <w:vertAlign w:val="superscript"/>
              </w:rPr>
              <w:t>(1)</w:t>
            </w:r>
          </w:p>
        </w:tc>
        <w:tc>
          <w:tcPr>
            <w:tcW w:w="13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158,199</w:t>
            </w:r>
          </w:p>
        </w:tc>
        <w:tc>
          <w:tcPr>
            <w:tcW w:w="102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8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00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6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328"/>
        </w:trPr>
        <w:tc>
          <w:tcPr>
            <w:tcW w:w="290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Security</w:t>
            </w:r>
            <w:r>
              <w:rPr>
                <w:rFonts w:ascii="Arial" w:cs="Arial" w:eastAsia="Arial" w:hAnsi="Arial"/>
                <w:sz w:val="27"/>
                <w:szCs w:val="27"/>
                <w:color w:val="3E3935"/>
                <w:vertAlign w:val="superscript"/>
              </w:rPr>
              <w:t>(2)</w:t>
            </w:r>
          </w:p>
        </w:tc>
        <w:tc>
          <w:tcPr>
            <w:tcW w:w="13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39,767</w:t>
            </w:r>
          </w:p>
        </w:tc>
        <w:tc>
          <w:tcPr>
            <w:tcW w:w="102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8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2,694</w:t>
            </w:r>
          </w:p>
        </w:tc>
        <w:tc>
          <w:tcPr>
            <w:tcW w:w="7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00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6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328"/>
        </w:trPr>
        <w:tc>
          <w:tcPr>
            <w:tcW w:w="290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Company Vehicle Programs</w:t>
            </w:r>
            <w:r>
              <w:rPr>
                <w:rFonts w:ascii="Arial" w:cs="Arial" w:eastAsia="Arial" w:hAnsi="Arial"/>
                <w:sz w:val="27"/>
                <w:szCs w:val="27"/>
                <w:color w:val="3E3935"/>
                <w:vertAlign w:val="superscript"/>
              </w:rPr>
              <w:t>(3)</w:t>
            </w:r>
          </w:p>
        </w:tc>
        <w:tc>
          <w:tcPr>
            <w:tcW w:w="13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23,650</w:t>
            </w:r>
          </w:p>
        </w:tc>
        <w:tc>
          <w:tcPr>
            <w:tcW w:w="102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943</w:t>
            </w:r>
          </w:p>
        </w:tc>
        <w:tc>
          <w:tcPr>
            <w:tcW w:w="78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14,412</w:t>
            </w:r>
          </w:p>
        </w:tc>
        <w:tc>
          <w:tcPr>
            <w:tcW w:w="7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13,241</w:t>
            </w:r>
          </w:p>
        </w:tc>
        <w:tc>
          <w:tcPr>
            <w:tcW w:w="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6,464</w:t>
            </w:r>
          </w:p>
        </w:tc>
        <w:tc>
          <w:tcPr>
            <w:tcW w:w="12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15,137</w:t>
            </w:r>
          </w:p>
        </w:tc>
        <w:tc>
          <w:tcPr>
            <w:tcW w:w="100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15,001</w:t>
            </w:r>
          </w:p>
        </w:tc>
        <w:tc>
          <w:tcPr>
            <w:tcW w:w="6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16,803</w:t>
            </w:r>
          </w:p>
        </w:tc>
      </w:tr>
      <w:tr>
        <w:trPr>
          <w:trHeight w:val="328"/>
        </w:trPr>
        <w:tc>
          <w:tcPr>
            <w:tcW w:w="290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Executive Physical</w:t>
            </w:r>
            <w:r>
              <w:rPr>
                <w:rFonts w:ascii="Arial" w:cs="Arial" w:eastAsia="Arial" w:hAnsi="Arial"/>
                <w:sz w:val="27"/>
                <w:szCs w:val="27"/>
                <w:color w:val="3E3935"/>
                <w:vertAlign w:val="superscript"/>
              </w:rPr>
              <w:t>(4)</w:t>
            </w:r>
          </w:p>
        </w:tc>
        <w:tc>
          <w:tcPr>
            <w:tcW w:w="13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4,650</w:t>
            </w:r>
          </w:p>
        </w:tc>
        <w:tc>
          <w:tcPr>
            <w:tcW w:w="102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8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4,650</w:t>
            </w:r>
          </w:p>
        </w:tc>
        <w:tc>
          <w:tcPr>
            <w:tcW w:w="7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4,650</w:t>
            </w:r>
          </w:p>
        </w:tc>
        <w:tc>
          <w:tcPr>
            <w:tcW w:w="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4,650</w:t>
            </w:r>
          </w:p>
        </w:tc>
        <w:tc>
          <w:tcPr>
            <w:tcW w:w="12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00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4,650</w:t>
            </w:r>
          </w:p>
        </w:tc>
        <w:tc>
          <w:tcPr>
            <w:tcW w:w="6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4,650</w:t>
            </w:r>
          </w:p>
        </w:tc>
      </w:tr>
      <w:tr>
        <w:trPr>
          <w:trHeight w:val="328"/>
        </w:trPr>
        <w:tc>
          <w:tcPr>
            <w:tcW w:w="290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Financial Counseling</w:t>
            </w:r>
            <w:r>
              <w:rPr>
                <w:rFonts w:ascii="Arial" w:cs="Arial" w:eastAsia="Arial" w:hAnsi="Arial"/>
                <w:sz w:val="27"/>
                <w:szCs w:val="27"/>
                <w:color w:val="3E3935"/>
                <w:vertAlign w:val="superscript"/>
              </w:rPr>
              <w:t>(5)</w:t>
            </w:r>
          </w:p>
        </w:tc>
        <w:tc>
          <w:tcPr>
            <w:tcW w:w="13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9,321</w:t>
            </w:r>
          </w:p>
        </w:tc>
        <w:tc>
          <w:tcPr>
            <w:tcW w:w="102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8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9,321</w:t>
            </w:r>
          </w:p>
        </w:tc>
        <w:tc>
          <w:tcPr>
            <w:tcW w:w="7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9,321</w:t>
            </w:r>
          </w:p>
        </w:tc>
        <w:tc>
          <w:tcPr>
            <w:tcW w:w="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9,321</w:t>
            </w:r>
          </w:p>
        </w:tc>
        <w:tc>
          <w:tcPr>
            <w:tcW w:w="12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9,321</w:t>
            </w:r>
          </w:p>
        </w:tc>
        <w:tc>
          <w:tcPr>
            <w:tcW w:w="100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7,356</w:t>
            </w:r>
          </w:p>
        </w:tc>
        <w:tc>
          <w:tcPr>
            <w:tcW w:w="6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8,441</w:t>
            </w:r>
          </w:p>
        </w:tc>
      </w:tr>
      <w:tr>
        <w:trPr>
          <w:trHeight w:val="328"/>
        </w:trPr>
        <w:tc>
          <w:tcPr>
            <w:tcW w:w="2900" w:type="dxa"/>
            <w:vAlign w:val="bottom"/>
            <w:tcBorders>
              <w:bottom w:val="single" w:sz="8" w:color="3E3935"/>
            </w:tcBorders>
          </w:tcPr>
          <w:p>
            <w:pPr>
              <w:ind w:left="100"/>
              <w:spacing w:after="0"/>
              <w:rPr>
                <w:sz w:val="20"/>
                <w:szCs w:val="20"/>
                <w:color w:val="auto"/>
              </w:rPr>
            </w:pPr>
            <w:r>
              <w:rPr>
                <w:rFonts w:ascii="Arial" w:cs="Arial" w:eastAsia="Arial" w:hAnsi="Arial"/>
                <w:sz w:val="16"/>
                <w:szCs w:val="16"/>
                <w:color w:val="3E3935"/>
              </w:rPr>
              <w:t>Other</w:t>
            </w:r>
            <w:r>
              <w:rPr>
                <w:rFonts w:ascii="Arial" w:cs="Arial" w:eastAsia="Arial" w:hAnsi="Arial"/>
                <w:sz w:val="27"/>
                <w:szCs w:val="27"/>
                <w:color w:val="3E3935"/>
                <w:vertAlign w:val="superscript"/>
              </w:rPr>
              <w:t>(6)</w:t>
            </w:r>
          </w:p>
        </w:tc>
        <w:tc>
          <w:tcPr>
            <w:tcW w:w="13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02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8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74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82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ind w:right="40"/>
              <w:spacing w:after="0"/>
              <w:rPr>
                <w:sz w:val="20"/>
                <w:szCs w:val="20"/>
                <w:color w:val="auto"/>
              </w:rPr>
            </w:pPr>
            <w:r>
              <w:rPr>
                <w:rFonts w:ascii="Arial" w:cs="Arial" w:eastAsia="Arial" w:hAnsi="Arial"/>
                <w:sz w:val="16"/>
                <w:szCs w:val="16"/>
                <w:color w:val="3E3935"/>
              </w:rPr>
              <w:t>—</w:t>
            </w:r>
          </w:p>
        </w:tc>
        <w:tc>
          <w:tcPr>
            <w:tcW w:w="1000" w:type="dxa"/>
            <w:vAlign w:val="bottom"/>
            <w:tcBorders>
              <w:bottom w:val="single" w:sz="8" w:color="3E3935"/>
            </w:tcBorders>
          </w:tcPr>
          <w:p>
            <w:pPr>
              <w:jc w:val="right"/>
              <w:ind w:right="60"/>
              <w:spacing w:after="0"/>
              <w:rPr>
                <w:sz w:val="20"/>
                <w:szCs w:val="20"/>
                <w:color w:val="auto"/>
              </w:rPr>
            </w:pPr>
            <w:r>
              <w:rPr>
                <w:rFonts w:ascii="Arial" w:cs="Arial" w:eastAsia="Arial" w:hAnsi="Arial"/>
                <w:sz w:val="16"/>
                <w:szCs w:val="16"/>
                <w:color w:val="3E3935"/>
              </w:rPr>
              <w:t>—</w:t>
            </w:r>
          </w:p>
        </w:tc>
        <w:tc>
          <w:tcPr>
            <w:tcW w:w="6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55"/>
        </w:trPr>
        <w:tc>
          <w:tcPr>
            <w:tcW w:w="2900" w:type="dxa"/>
            <w:vAlign w:val="bottom"/>
          </w:tcPr>
          <w:p>
            <w:pPr>
              <w:ind w:left="100"/>
              <w:spacing w:after="0"/>
              <w:rPr>
                <w:sz w:val="20"/>
                <w:szCs w:val="20"/>
                <w:color w:val="auto"/>
              </w:rPr>
            </w:pPr>
            <w:r>
              <w:rPr>
                <w:rFonts w:ascii="Arial" w:cs="Arial" w:eastAsia="Arial" w:hAnsi="Arial"/>
                <w:sz w:val="16"/>
                <w:szCs w:val="16"/>
                <w:b w:val="1"/>
                <w:bCs w:val="1"/>
                <w:color w:val="3E3935"/>
              </w:rPr>
              <w:t>TOTAL</w:t>
            </w:r>
          </w:p>
        </w:tc>
        <w:tc>
          <w:tcPr>
            <w:tcW w:w="1340" w:type="dxa"/>
            <w:vAlign w:val="bottom"/>
          </w:tcPr>
          <w:p>
            <w:pPr>
              <w:jc w:val="right"/>
              <w:ind w:right="40"/>
              <w:spacing w:after="0"/>
              <w:rPr>
                <w:sz w:val="20"/>
                <w:szCs w:val="20"/>
                <w:color w:val="auto"/>
              </w:rPr>
            </w:pPr>
            <w:r>
              <w:rPr>
                <w:rFonts w:ascii="Arial" w:cs="Arial" w:eastAsia="Arial" w:hAnsi="Arial"/>
                <w:sz w:val="16"/>
                <w:szCs w:val="16"/>
                <w:color w:val="3E3935"/>
              </w:rPr>
              <w:t>235,587</w:t>
            </w:r>
          </w:p>
        </w:tc>
        <w:tc>
          <w:tcPr>
            <w:tcW w:w="1020" w:type="dxa"/>
            <w:vAlign w:val="bottom"/>
          </w:tcPr>
          <w:p>
            <w:pPr>
              <w:jc w:val="right"/>
              <w:ind w:right="60"/>
              <w:spacing w:after="0"/>
              <w:rPr>
                <w:sz w:val="20"/>
                <w:szCs w:val="20"/>
                <w:color w:val="auto"/>
              </w:rPr>
            </w:pPr>
            <w:r>
              <w:rPr>
                <w:rFonts w:ascii="Arial" w:cs="Arial" w:eastAsia="Arial" w:hAnsi="Arial"/>
                <w:sz w:val="16"/>
                <w:szCs w:val="16"/>
                <w:color w:val="3E3935"/>
              </w:rPr>
              <w:t>943</w:t>
            </w:r>
          </w:p>
        </w:tc>
        <w:tc>
          <w:tcPr>
            <w:tcW w:w="780" w:type="dxa"/>
            <w:vAlign w:val="bottom"/>
          </w:tcPr>
          <w:p>
            <w:pPr>
              <w:jc w:val="right"/>
              <w:ind w:right="60"/>
              <w:spacing w:after="0"/>
              <w:rPr>
                <w:sz w:val="20"/>
                <w:szCs w:val="20"/>
                <w:color w:val="auto"/>
              </w:rPr>
            </w:pPr>
            <w:r>
              <w:rPr>
                <w:rFonts w:ascii="Arial" w:cs="Arial" w:eastAsia="Arial" w:hAnsi="Arial"/>
                <w:sz w:val="16"/>
                <w:szCs w:val="16"/>
                <w:color w:val="3E3935"/>
              </w:rPr>
              <w:t>31,077</w:t>
            </w:r>
          </w:p>
        </w:tc>
        <w:tc>
          <w:tcPr>
            <w:tcW w:w="740" w:type="dxa"/>
            <w:vAlign w:val="bottom"/>
          </w:tcPr>
          <w:p>
            <w:pPr>
              <w:jc w:val="right"/>
              <w:ind w:right="40"/>
              <w:spacing w:after="0"/>
              <w:rPr>
                <w:sz w:val="20"/>
                <w:szCs w:val="20"/>
                <w:color w:val="auto"/>
              </w:rPr>
            </w:pPr>
            <w:r>
              <w:rPr>
                <w:rFonts w:ascii="Arial" w:cs="Arial" w:eastAsia="Arial" w:hAnsi="Arial"/>
                <w:sz w:val="16"/>
                <w:szCs w:val="16"/>
                <w:color w:val="3E3935"/>
              </w:rPr>
              <w:t>27,212</w:t>
            </w:r>
          </w:p>
        </w:tc>
        <w:tc>
          <w:tcPr>
            <w:tcW w:w="820" w:type="dxa"/>
            <w:vAlign w:val="bottom"/>
          </w:tcPr>
          <w:p>
            <w:pPr>
              <w:jc w:val="right"/>
              <w:ind w:right="40"/>
              <w:spacing w:after="0"/>
              <w:rPr>
                <w:sz w:val="20"/>
                <w:szCs w:val="20"/>
                <w:color w:val="auto"/>
              </w:rPr>
            </w:pPr>
            <w:r>
              <w:rPr>
                <w:rFonts w:ascii="Arial" w:cs="Arial" w:eastAsia="Arial" w:hAnsi="Arial"/>
                <w:sz w:val="16"/>
                <w:szCs w:val="16"/>
                <w:color w:val="3E3935"/>
              </w:rPr>
              <w:t>20,435</w:t>
            </w:r>
          </w:p>
        </w:tc>
        <w:tc>
          <w:tcPr>
            <w:tcW w:w="1200" w:type="dxa"/>
            <w:vAlign w:val="bottom"/>
          </w:tcPr>
          <w:p>
            <w:pPr>
              <w:jc w:val="right"/>
              <w:ind w:right="40"/>
              <w:spacing w:after="0"/>
              <w:rPr>
                <w:sz w:val="20"/>
                <w:szCs w:val="20"/>
                <w:color w:val="auto"/>
              </w:rPr>
            </w:pPr>
            <w:r>
              <w:rPr>
                <w:rFonts w:ascii="Arial" w:cs="Arial" w:eastAsia="Arial" w:hAnsi="Arial"/>
                <w:sz w:val="16"/>
                <w:szCs w:val="16"/>
                <w:color w:val="3E3935"/>
              </w:rPr>
              <w:t>24,458</w:t>
            </w:r>
          </w:p>
        </w:tc>
        <w:tc>
          <w:tcPr>
            <w:tcW w:w="1000" w:type="dxa"/>
            <w:vAlign w:val="bottom"/>
          </w:tcPr>
          <w:p>
            <w:pPr>
              <w:jc w:val="right"/>
              <w:ind w:right="60"/>
              <w:spacing w:after="0"/>
              <w:rPr>
                <w:sz w:val="20"/>
                <w:szCs w:val="20"/>
                <w:color w:val="auto"/>
              </w:rPr>
            </w:pPr>
            <w:r>
              <w:rPr>
                <w:rFonts w:ascii="Arial" w:cs="Arial" w:eastAsia="Arial" w:hAnsi="Arial"/>
                <w:sz w:val="16"/>
                <w:szCs w:val="16"/>
                <w:color w:val="3E3935"/>
              </w:rPr>
              <w:t>27,007</w:t>
            </w:r>
          </w:p>
        </w:tc>
        <w:tc>
          <w:tcPr>
            <w:tcW w:w="680" w:type="dxa"/>
            <w:vAlign w:val="bottom"/>
          </w:tcPr>
          <w:p>
            <w:pPr>
              <w:jc w:val="right"/>
              <w:spacing w:after="0"/>
              <w:rPr>
                <w:sz w:val="20"/>
                <w:szCs w:val="20"/>
                <w:color w:val="auto"/>
              </w:rPr>
            </w:pPr>
            <w:r>
              <w:rPr>
                <w:rFonts w:ascii="Arial" w:cs="Arial" w:eastAsia="Arial" w:hAnsi="Arial"/>
                <w:sz w:val="16"/>
                <w:szCs w:val="16"/>
                <w:color w:val="3E3935"/>
              </w:rPr>
              <w:t>29,894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45720</wp:posOffset>
            </wp:positionV>
            <wp:extent cx="66497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127" w:lineRule="exact"/>
        <w:rPr>
          <w:sz w:val="20"/>
          <w:szCs w:val="20"/>
          <w:color w:val="auto"/>
        </w:rPr>
      </w:pPr>
    </w:p>
    <w:p>
      <w:pPr>
        <w:jc w:val="both"/>
        <w:ind w:left="1140" w:hanging="545"/>
        <w:spacing w:after="0" w:line="239" w:lineRule="auto"/>
        <w:tabs>
          <w:tab w:leader="none" w:pos="1140" w:val="left"/>
        </w:tabs>
        <w:numPr>
          <w:ilvl w:val="0"/>
          <w:numId w:val="130"/>
        </w:numPr>
        <w:rPr>
          <w:rFonts w:ascii="Arial" w:cs="Arial" w:eastAsia="Arial" w:hAnsi="Arial"/>
          <w:sz w:val="18"/>
          <w:szCs w:val="18"/>
          <w:i w:val="1"/>
          <w:iCs w:val="1"/>
          <w:color w:val="3E3935"/>
        </w:rPr>
      </w:pPr>
      <w:r>
        <w:rPr>
          <w:rFonts w:ascii="Arial" w:cs="Arial" w:eastAsia="Arial" w:hAnsi="Arial"/>
          <w:sz w:val="18"/>
          <w:szCs w:val="18"/>
          <w:i w:val="1"/>
          <w:iCs w:val="1"/>
          <w:color w:val="3E3935"/>
        </w:rPr>
        <w:t>Personal travel, pursuant to Company policy as discussed on page 49 of this Proxy Statement, includes incremental costs (fuel, flight crew expenses, landing fees, ground transportation fees, and other miscellaneous variable expenses) associated with aircraft use. Ms. Barra serves on outside boards, which we view as directly and integrally related to her role as Chairman and CEO and her professional development. The cost of travel to outside boards for 2020 was $40,917 and is excluded from the amount above.</w:t>
      </w:r>
    </w:p>
    <w:p>
      <w:pPr>
        <w:spacing w:after="0" w:line="92" w:lineRule="exact"/>
        <w:rPr>
          <w:rFonts w:ascii="Arial" w:cs="Arial" w:eastAsia="Arial" w:hAnsi="Arial"/>
          <w:sz w:val="18"/>
          <w:szCs w:val="18"/>
          <w:i w:val="1"/>
          <w:iCs w:val="1"/>
          <w:color w:val="3E3935"/>
        </w:rPr>
      </w:pPr>
    </w:p>
    <w:p>
      <w:pPr>
        <w:jc w:val="both"/>
        <w:ind w:left="1140" w:hanging="545"/>
        <w:spacing w:after="0" w:line="242" w:lineRule="auto"/>
        <w:tabs>
          <w:tab w:leader="none" w:pos="1140" w:val="left"/>
        </w:tabs>
        <w:numPr>
          <w:ilvl w:val="0"/>
          <w:numId w:val="130"/>
        </w:numPr>
        <w:rPr>
          <w:rFonts w:ascii="Arial" w:cs="Arial" w:eastAsia="Arial" w:hAnsi="Arial"/>
          <w:sz w:val="18"/>
          <w:szCs w:val="18"/>
          <w:i w:val="1"/>
          <w:iCs w:val="1"/>
          <w:color w:val="3E3935"/>
        </w:rPr>
      </w:pPr>
      <w:r>
        <w:rPr>
          <w:rFonts w:ascii="Arial" w:cs="Arial" w:eastAsia="Arial" w:hAnsi="Arial"/>
          <w:sz w:val="18"/>
          <w:szCs w:val="18"/>
          <w:i w:val="1"/>
          <w:iCs w:val="1"/>
          <w:color w:val="3E3935"/>
        </w:rPr>
        <w:t>Amounts include the incremental cost of providing security services and residential security system monitoring for Ms. Barra and Mr. Reuss as recommended by an independent third-party security consultant.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87" w:lineRule="exact"/>
        <w:rPr>
          <w:rFonts w:ascii="Arial" w:cs="Arial" w:eastAsia="Arial" w:hAnsi="Arial"/>
          <w:sz w:val="18"/>
          <w:szCs w:val="18"/>
          <w:i w:val="1"/>
          <w:iCs w:val="1"/>
          <w:color w:val="3E3935"/>
        </w:rPr>
      </w:pPr>
    </w:p>
    <w:p>
      <w:pPr>
        <w:jc w:val="both"/>
        <w:ind w:left="1140" w:hanging="545"/>
        <w:spacing w:after="0" w:line="239" w:lineRule="auto"/>
        <w:tabs>
          <w:tab w:leader="none" w:pos="1140" w:val="left"/>
        </w:tabs>
        <w:numPr>
          <w:ilvl w:val="0"/>
          <w:numId w:val="130"/>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the cost of providing cars, drivers, and the estimated annual lease value of the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123" w:lineRule="exact"/>
        <w:rPr>
          <w:rFonts w:ascii="Arial" w:cs="Arial" w:eastAsia="Arial" w:hAnsi="Arial"/>
          <w:sz w:val="18"/>
          <w:szCs w:val="18"/>
          <w:i w:val="1"/>
          <w:iCs w:val="1"/>
          <w:color w:val="3E3935"/>
        </w:rPr>
      </w:pPr>
    </w:p>
    <w:p>
      <w:pPr>
        <w:ind w:left="1140"/>
        <w:spacing w:after="0"/>
        <w:rPr>
          <w:rFonts w:ascii="Arial" w:cs="Arial" w:eastAsia="Arial" w:hAnsi="Arial"/>
          <w:sz w:val="18"/>
          <w:szCs w:val="18"/>
          <w:i w:val="1"/>
          <w:iCs w:val="1"/>
          <w:color w:val="3E3935"/>
        </w:rPr>
      </w:pPr>
      <w:r>
        <w:rPr>
          <w:rFonts w:ascii="Arial" w:cs="Arial" w:eastAsia="Arial" w:hAnsi="Arial"/>
          <w:sz w:val="1"/>
          <w:szCs w:val="1"/>
          <w:i w:val="1"/>
          <w:iCs w:val="1"/>
          <w:color w:val="3E3935"/>
        </w:rPr>
        <w:drawing>
          <wp:inline distT="0" distB="0" distL="0" distR="0">
            <wp:extent cx="5927725" cy="10160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27725" cy="101600"/>
                    </a:xfrm>
                    <a:prstGeom prst="rect">
                      <a:avLst/>
                    </a:prstGeom>
                    <a:noFill/>
                    <a:ln>
                      <a:noFill/>
                    </a:ln>
                  </pic:spPr>
                </pic:pic>
              </a:graphicData>
            </a:graphic>
          </wp:inline>
        </w:drawing>
      </w:r>
      <w:r>
        <w:rPr>
          <w:rFonts w:ascii="Arial" w:cs="Arial" w:eastAsia="Arial" w:hAnsi="Arial"/>
          <w:sz w:val="14"/>
          <w:szCs w:val="14"/>
          <w:color w:val="0071CE"/>
        </w:rPr>
        <w:t xml:space="preserve">  71</w:t>
      </w:r>
    </w:p>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140" w:hanging="545"/>
        <w:spacing w:after="0"/>
        <w:tabs>
          <w:tab w:leader="none" w:pos="1140" w:val="left"/>
        </w:tabs>
        <w:numPr>
          <w:ilvl w:val="0"/>
          <w:numId w:val="131"/>
        </w:numPr>
        <w:rPr>
          <w:rFonts w:ascii="Arial" w:cs="Arial" w:eastAsia="Arial" w:hAnsi="Arial"/>
          <w:sz w:val="18"/>
          <w:szCs w:val="18"/>
          <w:i w:val="1"/>
          <w:iCs w:val="1"/>
          <w:color w:val="3E3935"/>
        </w:rPr>
      </w:pPr>
      <w:r>
        <w:rPr>
          <w:rFonts w:ascii="Arial" w:cs="Arial" w:eastAsia="Arial" w:hAnsi="Arial"/>
          <w:sz w:val="18"/>
          <w:szCs w:val="18"/>
          <w:i w:val="1"/>
          <w:iCs w:val="1"/>
          <w:color w:val="3E3935"/>
        </w:rPr>
        <w:t>Costs associated with executive physicals with our approved provider.</w:t>
      </w:r>
    </w:p>
    <w:p>
      <w:pPr>
        <w:spacing w:after="0" w:line="73" w:lineRule="exact"/>
        <w:rPr>
          <w:rFonts w:ascii="Arial" w:cs="Arial" w:eastAsia="Arial" w:hAnsi="Arial"/>
          <w:sz w:val="18"/>
          <w:szCs w:val="18"/>
          <w:i w:val="1"/>
          <w:iCs w:val="1"/>
          <w:color w:val="3E3935"/>
        </w:rPr>
      </w:pPr>
    </w:p>
    <w:p>
      <w:pPr>
        <w:ind w:left="1140" w:hanging="545"/>
        <w:spacing w:after="0"/>
        <w:tabs>
          <w:tab w:leader="none" w:pos="1140" w:val="left"/>
        </w:tabs>
        <w:numPr>
          <w:ilvl w:val="0"/>
          <w:numId w:val="131"/>
        </w:numPr>
        <w:rPr>
          <w:rFonts w:ascii="Arial" w:cs="Arial" w:eastAsia="Arial" w:hAnsi="Arial"/>
          <w:sz w:val="18"/>
          <w:szCs w:val="18"/>
          <w:i w:val="1"/>
          <w:iCs w:val="1"/>
          <w:color w:val="3E3935"/>
        </w:rPr>
      </w:pPr>
      <w:r>
        <w:rPr>
          <w:rFonts w:ascii="Arial" w:cs="Arial" w:eastAsia="Arial" w:hAnsi="Arial"/>
          <w:sz w:val="18"/>
          <w:szCs w:val="18"/>
          <w:i w:val="1"/>
          <w:iCs w:val="1"/>
          <w:color w:val="3E3935"/>
        </w:rPr>
        <w:t>Costs associated with financial counseling and estate planning services with our approved provider.</w:t>
      </w:r>
    </w:p>
    <w:p>
      <w:pPr>
        <w:spacing w:after="0" w:line="73" w:lineRule="exact"/>
        <w:rPr>
          <w:rFonts w:ascii="Arial" w:cs="Arial" w:eastAsia="Arial" w:hAnsi="Arial"/>
          <w:sz w:val="18"/>
          <w:szCs w:val="18"/>
          <w:i w:val="1"/>
          <w:iCs w:val="1"/>
          <w:color w:val="3E3935"/>
        </w:rPr>
      </w:pPr>
    </w:p>
    <w:p>
      <w:pPr>
        <w:jc w:val="both"/>
        <w:ind w:left="1140" w:hanging="545"/>
        <w:spacing w:after="0" w:line="242" w:lineRule="auto"/>
        <w:tabs>
          <w:tab w:leader="none" w:pos="1140" w:val="left"/>
        </w:tabs>
        <w:numPr>
          <w:ilvl w:val="0"/>
          <w:numId w:val="131"/>
        </w:numPr>
        <w:rPr>
          <w:rFonts w:ascii="Arial" w:cs="Arial" w:eastAsia="Arial" w:hAnsi="Arial"/>
          <w:sz w:val="18"/>
          <w:szCs w:val="18"/>
          <w:i w:val="1"/>
          <w:iCs w:val="1"/>
          <w:color w:val="3E3935"/>
        </w:rPr>
      </w:pPr>
      <w:r>
        <w:rPr>
          <w:rFonts w:ascii="Arial" w:cs="Arial" w:eastAsia="Arial" w:hAnsi="Arial"/>
          <w:sz w:val="18"/>
          <w:szCs w:val="18"/>
          <w:i w:val="1"/>
          <w:iCs w:val="1"/>
          <w:color w:val="3E3935"/>
        </w:rPr>
        <w:t>Occasionally, unused tickets from sponsorship agreements are made available for personal use. Tickets are included in sponsorship agreements and typically result in no incremental costs to the Company. In 2020, there were no incremental costs associated with the personal use of tickets to GM-sponsored events. Occasionally, limited souvenirs may be included as part of a sponsorship agreement and no incremental costs are incurred by the Company.</w:t>
      </w:r>
    </w:p>
    <w:p>
      <w:pPr>
        <w:spacing w:after="0" w:line="349" w:lineRule="exact"/>
        <w:rPr>
          <w:sz w:val="20"/>
          <w:szCs w:val="20"/>
          <w:color w:val="auto"/>
        </w:rPr>
      </w:pPr>
    </w:p>
    <w:p>
      <w:pPr>
        <w:ind w:left="700" w:hanging="533"/>
        <w:spacing w:after="0"/>
        <w:tabs>
          <w:tab w:leader="none" w:pos="700" w:val="left"/>
        </w:tabs>
        <w:numPr>
          <w:ilvl w:val="0"/>
          <w:numId w:val="132"/>
        </w:numPr>
        <w:rPr>
          <w:rFonts w:ascii="Arial" w:cs="Arial" w:eastAsia="Arial" w:hAnsi="Arial"/>
          <w:sz w:val="21"/>
          <w:szCs w:val="21"/>
          <w:color w:val="0071CE"/>
        </w:rPr>
      </w:pPr>
      <w:r>
        <w:rPr>
          <w:rFonts w:ascii="Arial" w:cs="Arial" w:eastAsia="Arial" w:hAnsi="Arial"/>
          <w:sz w:val="25"/>
          <w:szCs w:val="25"/>
          <w:color w:val="3E3935"/>
        </w:rPr>
        <w:t>Grants of Plan–Based Awards</w:t>
      </w:r>
    </w:p>
    <w:p>
      <w:pPr>
        <w:spacing w:after="0" w:line="149"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STIP awards for the 2020 performance year were made under the terms of the 2017 STIP. Equity awards granted to each NEO prior to June 17, 2020, were under the terms of the 2017 LTIP, grants made on or after June 17, 2020, were under the terms of the 2020 LTIP. PSUs vest and deliver at the end of the performance period and will be earned at a level between 0% and 200% of target. PSUs are based on the achievement of performance conditions relating to Relative ROIC-adjusted and Relative TSR over a three-year performance period from January 1, 2020, to December 31, 2022. Stock Options vest ratably over a three-year period. The Salary Reduction RSUs granted on May 7, 2020, were intended to replace the NEOs’ cash salary for a period of six months, and vested and settled on April 1, 2021, prorated for service. The RSUs granted to Mr. Jacobson on December 1, 2020, replace certain awards forfeited by his previous employer. Fifty percent of his RSUs will vest on December 1, 2022, and the balance will vest on December 1, 2023, which aligns with the vesting schedule of awards forfeited at his previous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144780</wp:posOffset>
            </wp:positionV>
            <wp:extent cx="69297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4"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All Other</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0C1DE"/>
              </w:rPr>
              <w:t>All Other</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40" w:type="dxa"/>
            <w:vAlign w:val="bottom"/>
            <w:gridSpan w:val="3"/>
          </w:tcPr>
          <w:p>
            <w:pPr>
              <w:jc w:val="center"/>
              <w:spacing w:after="0"/>
              <w:rPr>
                <w:sz w:val="20"/>
                <w:szCs w:val="20"/>
                <w:color w:val="auto"/>
              </w:rPr>
            </w:pPr>
            <w:r>
              <w:rPr>
                <w:rFonts w:ascii="Arial" w:cs="Arial" w:eastAsia="Arial" w:hAnsi="Arial"/>
                <w:sz w:val="12"/>
                <w:szCs w:val="12"/>
                <w:b w:val="1"/>
                <w:bCs w:val="1"/>
                <w:color w:val="00C1DE"/>
              </w:rPr>
              <w:t>Estimated Future Payouts</w:t>
            </w:r>
          </w:p>
        </w:tc>
        <w:tc>
          <w:tcPr>
            <w:tcW w:w="2080" w:type="dxa"/>
            <w:vAlign w:val="bottom"/>
            <w:gridSpan w:val="3"/>
          </w:tcPr>
          <w:p>
            <w:pPr>
              <w:jc w:val="center"/>
              <w:spacing w:after="0"/>
              <w:rPr>
                <w:sz w:val="20"/>
                <w:szCs w:val="20"/>
                <w:color w:val="auto"/>
              </w:rPr>
            </w:pPr>
            <w:r>
              <w:rPr>
                <w:rFonts w:ascii="Arial" w:cs="Arial" w:eastAsia="Arial" w:hAnsi="Arial"/>
                <w:sz w:val="12"/>
                <w:szCs w:val="12"/>
                <w:b w:val="1"/>
                <w:bCs w:val="1"/>
                <w:color w:val="00C1DE"/>
              </w:rPr>
              <w:t>Estimated Future Payouts</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Stock</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0C1DE"/>
              </w:rPr>
              <w:t>Option</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00C1DE"/>
              </w:rPr>
              <w:t>Exercise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C1DE"/>
              </w:rPr>
              <w:t>Under Non-Equity Incentive</w:t>
            </w:r>
          </w:p>
        </w:tc>
        <w:tc>
          <w:tcPr>
            <w:tcW w:w="208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C1DE"/>
              </w:rPr>
              <w:t>Under Equity Incentive</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6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or Base</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Grant Date</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2"/>
                <w:szCs w:val="12"/>
                <w:b w:val="1"/>
                <w:bCs w:val="1"/>
                <w:color w:val="00C1DE"/>
              </w:rPr>
              <w:t>Plan Awards</w:t>
            </w:r>
          </w:p>
        </w:tc>
        <w:tc>
          <w:tcPr>
            <w:tcW w:w="700" w:type="dxa"/>
            <w:vAlign w:val="bottom"/>
          </w:tcPr>
          <w:p>
            <w:pPr>
              <w:spacing w:after="0"/>
              <w:rPr>
                <w:sz w:val="11"/>
                <w:szCs w:val="11"/>
                <w:color w:val="auto"/>
              </w:rPr>
            </w:pPr>
          </w:p>
        </w:tc>
        <w:tc>
          <w:tcPr>
            <w:tcW w:w="1440" w:type="dxa"/>
            <w:vAlign w:val="bottom"/>
            <w:gridSpan w:val="2"/>
          </w:tcPr>
          <w:p>
            <w:pPr>
              <w:jc w:val="center"/>
              <w:ind w:left="598"/>
              <w:spacing w:after="0" w:line="134" w:lineRule="exact"/>
              <w:rPr>
                <w:sz w:val="20"/>
                <w:szCs w:val="20"/>
                <w:color w:val="auto"/>
              </w:rPr>
            </w:pPr>
            <w:r>
              <w:rPr>
                <w:rFonts w:ascii="Arial" w:cs="Arial" w:eastAsia="Arial" w:hAnsi="Arial"/>
                <w:sz w:val="12"/>
                <w:szCs w:val="12"/>
                <w:b w:val="1"/>
                <w:bCs w:val="1"/>
                <w:color w:val="00C1DE"/>
              </w:rPr>
              <w:t>Plan Awards</w:t>
            </w:r>
          </w:p>
        </w:tc>
        <w:tc>
          <w:tcPr>
            <w:tcW w:w="6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Number of</w:t>
            </w: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Number of</w:t>
            </w:r>
          </w:p>
        </w:tc>
        <w:tc>
          <w:tcPr>
            <w:tcW w:w="6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Price of</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Fair Value</w:t>
            </w:r>
          </w:p>
        </w:tc>
        <w:tc>
          <w:tcPr>
            <w:tcW w:w="0" w:type="dxa"/>
            <w:vAlign w:val="bottom"/>
          </w:tcPr>
          <w:p>
            <w:pPr>
              <w:spacing w:after="0"/>
              <w:rPr>
                <w:sz w:val="1"/>
                <w:szCs w:val="1"/>
                <w:color w:val="auto"/>
              </w:rPr>
            </w:pPr>
          </w:p>
        </w:tc>
      </w:tr>
      <w:tr>
        <w:trPr>
          <w:trHeight w:val="67"/>
        </w:trPr>
        <w:tc>
          <w:tcPr>
            <w:tcW w:w="1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Borders>
              <w:bottom w:val="single" w:sz="8" w:color="00C1DE"/>
            </w:tcBorders>
          </w:tcPr>
          <w:p>
            <w:pPr>
              <w:spacing w:after="0"/>
              <w:rPr>
                <w:sz w:val="5"/>
                <w:szCs w:val="5"/>
                <w:color w:val="auto"/>
              </w:rPr>
            </w:pPr>
          </w:p>
        </w:tc>
        <w:tc>
          <w:tcPr>
            <w:tcW w:w="820" w:type="dxa"/>
            <w:vAlign w:val="bottom"/>
            <w:tcBorders>
              <w:bottom w:val="single" w:sz="8" w:color="00C1DE"/>
            </w:tcBorders>
          </w:tcPr>
          <w:p>
            <w:pPr>
              <w:spacing w:after="0"/>
              <w:rPr>
                <w:sz w:val="5"/>
                <w:szCs w:val="5"/>
                <w:color w:val="auto"/>
              </w:rPr>
            </w:pPr>
          </w:p>
        </w:tc>
        <w:tc>
          <w:tcPr>
            <w:tcW w:w="700" w:type="dxa"/>
            <w:vAlign w:val="bottom"/>
            <w:tcBorders>
              <w:bottom w:val="single" w:sz="8" w:color="00C1DE"/>
            </w:tcBorders>
          </w:tcPr>
          <w:p>
            <w:pPr>
              <w:spacing w:after="0"/>
              <w:rPr>
                <w:sz w:val="5"/>
                <w:szCs w:val="5"/>
                <w:color w:val="auto"/>
              </w:rPr>
            </w:pPr>
          </w:p>
        </w:tc>
        <w:tc>
          <w:tcPr>
            <w:tcW w:w="760" w:type="dxa"/>
            <w:vAlign w:val="bottom"/>
            <w:tcBorders>
              <w:bottom w:val="single" w:sz="8" w:color="00C1DE"/>
            </w:tcBorders>
          </w:tcPr>
          <w:p>
            <w:pPr>
              <w:spacing w:after="0"/>
              <w:rPr>
                <w:sz w:val="5"/>
                <w:szCs w:val="5"/>
                <w:color w:val="auto"/>
              </w:rPr>
            </w:pPr>
          </w:p>
        </w:tc>
        <w:tc>
          <w:tcPr>
            <w:tcW w:w="680" w:type="dxa"/>
            <w:vAlign w:val="bottom"/>
            <w:tcBorders>
              <w:bottom w:val="single" w:sz="8" w:color="00C1DE"/>
            </w:tcBorders>
          </w:tcPr>
          <w:p>
            <w:pPr>
              <w:spacing w:after="0"/>
              <w:rPr>
                <w:sz w:val="5"/>
                <w:szCs w:val="5"/>
                <w:color w:val="auto"/>
              </w:rPr>
            </w:pPr>
          </w:p>
        </w:tc>
        <w:tc>
          <w:tcPr>
            <w:tcW w:w="640" w:type="dxa"/>
            <w:vAlign w:val="bottom"/>
            <w:tcBorders>
              <w:bottom w:val="single" w:sz="8" w:color="00C1DE"/>
            </w:tcBorders>
          </w:tcPr>
          <w:p>
            <w:pPr>
              <w:spacing w:after="0"/>
              <w:rPr>
                <w:sz w:val="5"/>
                <w:szCs w:val="5"/>
                <w:color w:val="auto"/>
              </w:rPr>
            </w:pPr>
          </w:p>
        </w:tc>
        <w:tc>
          <w:tcPr>
            <w:tcW w:w="78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Shares of</w:t>
            </w:r>
          </w:p>
        </w:tc>
        <w:tc>
          <w:tcPr>
            <w:tcW w:w="80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Securities</w:t>
            </w:r>
          </w:p>
        </w:tc>
        <w:tc>
          <w:tcPr>
            <w:tcW w:w="66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Option</w:t>
            </w:r>
          </w:p>
        </w:tc>
        <w:tc>
          <w:tcPr>
            <w:tcW w:w="84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of Stock</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68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Award</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Grant</w:t>
            </w:r>
          </w:p>
        </w:tc>
        <w:tc>
          <w:tcPr>
            <w:tcW w:w="7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Approval</w:t>
            </w:r>
          </w:p>
        </w:tc>
        <w:tc>
          <w:tcPr>
            <w:tcW w:w="72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Threshold</w:t>
            </w:r>
          </w:p>
        </w:tc>
        <w:tc>
          <w:tcPr>
            <w:tcW w:w="82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Target</w:t>
            </w:r>
          </w:p>
        </w:tc>
        <w:tc>
          <w:tcPr>
            <w:tcW w:w="7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Maximum</w:t>
            </w:r>
          </w:p>
        </w:tc>
        <w:tc>
          <w:tcPr>
            <w:tcW w:w="76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Threshold</w:t>
            </w:r>
          </w:p>
        </w:tc>
        <w:tc>
          <w:tcPr>
            <w:tcW w:w="68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00C1DE"/>
              </w:rPr>
              <w:t>Target</w:t>
            </w:r>
          </w:p>
        </w:tc>
        <w:tc>
          <w:tcPr>
            <w:tcW w:w="6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Maximum</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Stock or</w:t>
            </w: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Underlying</w:t>
            </w:r>
          </w:p>
        </w:tc>
        <w:tc>
          <w:tcPr>
            <w:tcW w:w="6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and Option</w:t>
            </w:r>
          </w:p>
        </w:tc>
        <w:tc>
          <w:tcPr>
            <w:tcW w:w="0" w:type="dxa"/>
            <w:vAlign w:val="bottom"/>
          </w:tcPr>
          <w:p>
            <w:pPr>
              <w:spacing w:after="0"/>
              <w:rPr>
                <w:sz w:val="1"/>
                <w:szCs w:val="1"/>
                <w:color w:val="auto"/>
              </w:rPr>
            </w:pPr>
          </w:p>
        </w:tc>
      </w:tr>
      <w:tr>
        <w:trPr>
          <w:trHeight w:val="187"/>
        </w:trPr>
        <w:tc>
          <w:tcPr>
            <w:tcW w:w="1340" w:type="dxa"/>
            <w:vAlign w:val="bottom"/>
            <w:tcBorders>
              <w:bottom w:val="single" w:sz="8" w:color="00C1DE"/>
            </w:tcBorders>
          </w:tcPr>
          <w:p>
            <w:pPr>
              <w:ind w:left="80"/>
              <w:spacing w:after="0"/>
              <w:rPr>
                <w:sz w:val="20"/>
                <w:szCs w:val="20"/>
                <w:color w:val="auto"/>
              </w:rPr>
            </w:pPr>
            <w:r>
              <w:rPr>
                <w:rFonts w:ascii="Arial" w:cs="Arial" w:eastAsia="Arial" w:hAnsi="Arial"/>
                <w:sz w:val="12"/>
                <w:szCs w:val="12"/>
                <w:b w:val="1"/>
                <w:bCs w:val="1"/>
                <w:color w:val="00C1DE"/>
              </w:rPr>
              <w:t>Name</w:t>
            </w:r>
          </w:p>
        </w:tc>
        <w:tc>
          <w:tcPr>
            <w:tcW w:w="68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Type</w:t>
            </w:r>
          </w:p>
        </w:tc>
        <w:tc>
          <w:tcPr>
            <w:tcW w:w="74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Date</w:t>
            </w:r>
          </w:p>
        </w:tc>
        <w:tc>
          <w:tcPr>
            <w:tcW w:w="76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Date</w:t>
            </w:r>
          </w:p>
        </w:tc>
        <w:tc>
          <w:tcPr>
            <w:tcW w:w="72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82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w:t>
            </w:r>
          </w:p>
        </w:tc>
        <w:tc>
          <w:tcPr>
            <w:tcW w:w="70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76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w:t>
            </w:r>
          </w:p>
        </w:tc>
        <w:tc>
          <w:tcPr>
            <w:tcW w:w="680" w:type="dxa"/>
            <w:vAlign w:val="bottom"/>
            <w:tcBorders>
              <w:bottom w:val="single" w:sz="8" w:color="00C1DE"/>
            </w:tcBorders>
          </w:tcPr>
          <w:p>
            <w:pPr>
              <w:jc w:val="right"/>
              <w:ind w:right="78"/>
              <w:spacing w:after="0"/>
              <w:rPr>
                <w:sz w:val="20"/>
                <w:szCs w:val="20"/>
                <w:color w:val="auto"/>
              </w:rPr>
            </w:pPr>
            <w:r>
              <w:rPr>
                <w:rFonts w:ascii="Arial" w:cs="Arial" w:eastAsia="Arial" w:hAnsi="Arial"/>
                <w:sz w:val="12"/>
                <w:szCs w:val="12"/>
                <w:b w:val="1"/>
                <w:bCs w:val="1"/>
                <w:color w:val="00C1DE"/>
              </w:rPr>
              <w:t>(#)</w:t>
            </w:r>
          </w:p>
        </w:tc>
        <w:tc>
          <w:tcPr>
            <w:tcW w:w="6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78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Units (#)</w:t>
            </w:r>
          </w:p>
        </w:tc>
        <w:tc>
          <w:tcPr>
            <w:tcW w:w="80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Options (#)</w:t>
            </w:r>
          </w:p>
        </w:tc>
        <w:tc>
          <w:tcPr>
            <w:tcW w:w="66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($/share)</w:t>
            </w:r>
          </w:p>
        </w:tc>
        <w:tc>
          <w:tcPr>
            <w:tcW w:w="8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Awards($)</w:t>
            </w:r>
            <w:r>
              <w:rPr>
                <w:rFonts w:ascii="Arial" w:cs="Arial" w:eastAsia="Arial" w:hAnsi="Arial"/>
                <w:sz w:val="10"/>
                <w:szCs w:val="10"/>
                <w:b w:val="1"/>
                <w:bCs w:val="1"/>
                <w:color w:val="00C1DE"/>
              </w:rPr>
              <w:t>(1)</w:t>
            </w:r>
          </w:p>
        </w:tc>
        <w:tc>
          <w:tcPr>
            <w:tcW w:w="0" w:type="dxa"/>
            <w:vAlign w:val="bottom"/>
          </w:tcPr>
          <w:p>
            <w:pPr>
              <w:spacing w:after="0"/>
              <w:rPr>
                <w:sz w:val="1"/>
                <w:szCs w:val="1"/>
                <w:color w:val="auto"/>
              </w:rPr>
            </w:pPr>
          </w:p>
        </w:tc>
      </w:tr>
      <w:tr>
        <w:trPr>
          <w:trHeight w:val="196"/>
        </w:trPr>
        <w:tc>
          <w:tcPr>
            <w:tcW w:w="1340" w:type="dxa"/>
            <w:vAlign w:val="bottom"/>
          </w:tcPr>
          <w:p>
            <w:pPr>
              <w:ind w:left="80"/>
              <w:spacing w:after="0"/>
              <w:rPr>
                <w:sz w:val="20"/>
                <w:szCs w:val="20"/>
                <w:color w:val="auto"/>
              </w:rPr>
            </w:pPr>
            <w:r>
              <w:rPr>
                <w:rFonts w:ascii="Arial" w:cs="Arial" w:eastAsia="Arial" w:hAnsi="Arial"/>
                <w:sz w:val="12"/>
                <w:szCs w:val="12"/>
                <w:color w:val="3E3935"/>
              </w:rPr>
              <w:t>Mary T. Barra</w:t>
            </w: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262,500</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4,200,000</w:t>
            </w:r>
          </w:p>
        </w:tc>
        <w:tc>
          <w:tcPr>
            <w:tcW w:w="700" w:type="dxa"/>
            <w:vAlign w:val="bottom"/>
          </w:tcPr>
          <w:p>
            <w:pPr>
              <w:jc w:val="right"/>
              <w:spacing w:after="0"/>
              <w:rPr>
                <w:sz w:val="20"/>
                <w:szCs w:val="20"/>
                <w:color w:val="auto"/>
              </w:rPr>
            </w:pPr>
            <w:r>
              <w:rPr>
                <w:rFonts w:ascii="Arial" w:cs="Arial" w:eastAsia="Arial" w:hAnsi="Arial"/>
                <w:sz w:val="12"/>
                <w:szCs w:val="12"/>
                <w:color w:val="3E3935"/>
              </w:rPr>
              <w:t>8,400,000</w:t>
            </w: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744,048</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3,750,002</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79,248</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316,991</w:t>
            </w:r>
          </w:p>
        </w:tc>
        <w:tc>
          <w:tcPr>
            <w:tcW w:w="640" w:type="dxa"/>
            <w:vAlign w:val="bottom"/>
          </w:tcPr>
          <w:p>
            <w:pPr>
              <w:jc w:val="right"/>
              <w:spacing w:after="0"/>
              <w:rPr>
                <w:sz w:val="20"/>
                <w:szCs w:val="20"/>
                <w:color w:val="auto"/>
              </w:rPr>
            </w:pPr>
            <w:r>
              <w:rPr>
                <w:rFonts w:ascii="Arial" w:cs="Arial" w:eastAsia="Arial" w:hAnsi="Arial"/>
                <w:sz w:val="12"/>
                <w:szCs w:val="12"/>
                <w:color w:val="3E3935"/>
              </w:rPr>
              <w:t>633,982</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12,988,702</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RSU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5/7/2020</w:t>
            </w:r>
          </w:p>
        </w:tc>
        <w:tc>
          <w:tcPr>
            <w:tcW w:w="76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4,680</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105,020</w:t>
            </w:r>
          </w:p>
        </w:tc>
        <w:tc>
          <w:tcPr>
            <w:tcW w:w="0" w:type="dxa"/>
            <w:vAlign w:val="bottom"/>
          </w:tcPr>
          <w:p>
            <w:pPr>
              <w:spacing w:after="0"/>
              <w:rPr>
                <w:sz w:val="1"/>
                <w:szCs w:val="1"/>
                <w:color w:val="auto"/>
              </w:rPr>
            </w:pPr>
          </w:p>
        </w:tc>
      </w:tr>
      <w:tr>
        <w:trPr>
          <w:trHeight w:val="58"/>
        </w:trPr>
        <w:tc>
          <w:tcPr>
            <w:tcW w:w="13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ind w:left="80"/>
              <w:spacing w:after="0"/>
              <w:rPr>
                <w:sz w:val="20"/>
                <w:szCs w:val="20"/>
                <w:color w:val="auto"/>
              </w:rPr>
            </w:pPr>
            <w:r>
              <w:rPr>
                <w:rFonts w:ascii="Arial" w:cs="Arial" w:eastAsia="Arial" w:hAnsi="Arial"/>
                <w:sz w:val="12"/>
                <w:szCs w:val="12"/>
                <w:color w:val="3E3935"/>
              </w:rPr>
              <w:t>Paul A. Jacobson</w:t>
            </w: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12/1/2020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10/16/2020</w:t>
            </w:r>
          </w:p>
        </w:tc>
        <w:tc>
          <w:tcPr>
            <w:tcW w:w="720" w:type="dxa"/>
            <w:vAlign w:val="bottom"/>
          </w:tcPr>
          <w:p>
            <w:pPr>
              <w:jc w:val="right"/>
              <w:spacing w:after="0"/>
              <w:rPr>
                <w:sz w:val="20"/>
                <w:szCs w:val="20"/>
                <w:color w:val="auto"/>
              </w:rPr>
            </w:pPr>
            <w:r>
              <w:rPr>
                <w:rFonts w:ascii="Arial" w:cs="Arial" w:eastAsia="Arial" w:hAnsi="Arial"/>
                <w:sz w:val="12"/>
                <w:szCs w:val="12"/>
                <w:color w:val="3E3935"/>
              </w:rPr>
              <w:t>78,125</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1,250,000</w:t>
            </w:r>
          </w:p>
        </w:tc>
        <w:tc>
          <w:tcPr>
            <w:tcW w:w="700" w:type="dxa"/>
            <w:vAlign w:val="bottom"/>
          </w:tcPr>
          <w:p>
            <w:pPr>
              <w:jc w:val="right"/>
              <w:spacing w:after="0"/>
              <w:rPr>
                <w:sz w:val="20"/>
                <w:szCs w:val="20"/>
                <w:color w:val="auto"/>
              </w:rPr>
            </w:pPr>
            <w:r>
              <w:rPr>
                <w:rFonts w:ascii="Arial" w:cs="Arial" w:eastAsia="Arial" w:hAnsi="Arial"/>
                <w:sz w:val="12"/>
                <w:szCs w:val="12"/>
                <w:color w:val="3E3935"/>
              </w:rPr>
              <w:t>2,500,000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12/1/2020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10/16/2020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37,961</w:t>
            </w:r>
          </w:p>
        </w:tc>
        <w:tc>
          <w:tcPr>
            <w:tcW w:w="660" w:type="dxa"/>
            <w:vAlign w:val="bottom"/>
          </w:tcPr>
          <w:p>
            <w:pPr>
              <w:jc w:val="right"/>
              <w:spacing w:after="0"/>
              <w:rPr>
                <w:sz w:val="20"/>
                <w:szCs w:val="20"/>
                <w:color w:val="auto"/>
              </w:rPr>
            </w:pPr>
            <w:r>
              <w:rPr>
                <w:rFonts w:ascii="Arial" w:cs="Arial" w:eastAsia="Arial" w:hAnsi="Arial"/>
                <w:sz w:val="12"/>
                <w:szCs w:val="12"/>
                <w:color w:val="3E3935"/>
              </w:rPr>
              <w:t>44.68</w:t>
            </w:r>
          </w:p>
        </w:tc>
        <w:tc>
          <w:tcPr>
            <w:tcW w:w="840" w:type="dxa"/>
            <w:vAlign w:val="bottom"/>
          </w:tcPr>
          <w:p>
            <w:pPr>
              <w:jc w:val="right"/>
              <w:spacing w:after="0"/>
              <w:rPr>
                <w:sz w:val="20"/>
                <w:szCs w:val="20"/>
                <w:color w:val="auto"/>
              </w:rPr>
            </w:pPr>
            <w:r>
              <w:rPr>
                <w:rFonts w:ascii="Arial" w:cs="Arial" w:eastAsia="Arial" w:hAnsi="Arial"/>
                <w:sz w:val="12"/>
                <w:szCs w:val="12"/>
                <w:color w:val="3E3935"/>
              </w:rPr>
              <w:t>525,001</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12/1/2020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10/16/2020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8,813</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35,251</w:t>
            </w:r>
          </w:p>
        </w:tc>
        <w:tc>
          <w:tcPr>
            <w:tcW w:w="640" w:type="dxa"/>
            <w:vAlign w:val="bottom"/>
          </w:tcPr>
          <w:p>
            <w:pPr>
              <w:jc w:val="right"/>
              <w:spacing w:after="0"/>
              <w:rPr>
                <w:sz w:val="20"/>
                <w:szCs w:val="20"/>
                <w:color w:val="auto"/>
              </w:rPr>
            </w:pPr>
            <w:r>
              <w:rPr>
                <w:rFonts w:ascii="Arial" w:cs="Arial" w:eastAsia="Arial" w:hAnsi="Arial"/>
                <w:sz w:val="12"/>
                <w:szCs w:val="12"/>
                <w:color w:val="3E3935"/>
              </w:rPr>
              <w:t>70,502</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1,975,103</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RSU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12/1/2020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10/16/2020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55,954</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2,500,025</w:t>
            </w:r>
          </w:p>
        </w:tc>
        <w:tc>
          <w:tcPr>
            <w:tcW w:w="0" w:type="dxa"/>
            <w:vAlign w:val="bottom"/>
          </w:tcPr>
          <w:p>
            <w:pPr>
              <w:spacing w:after="0"/>
              <w:rPr>
                <w:sz w:val="1"/>
                <w:szCs w:val="1"/>
                <w:color w:val="auto"/>
              </w:rPr>
            </w:pPr>
          </w:p>
        </w:tc>
      </w:tr>
      <w:tr>
        <w:trPr>
          <w:trHeight w:val="58"/>
        </w:trPr>
        <w:tc>
          <w:tcPr>
            <w:tcW w:w="13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ind w:left="80"/>
              <w:spacing w:after="0"/>
              <w:rPr>
                <w:sz w:val="20"/>
                <w:szCs w:val="20"/>
                <w:color w:val="auto"/>
              </w:rPr>
            </w:pPr>
            <w:r>
              <w:rPr>
                <w:rFonts w:ascii="Arial" w:cs="Arial" w:eastAsia="Arial" w:hAnsi="Arial"/>
                <w:sz w:val="12"/>
                <w:szCs w:val="12"/>
                <w:color w:val="3E3935"/>
              </w:rPr>
              <w:t>Mark L. Reuss</w:t>
            </w: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101,563</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1,625,000</w:t>
            </w:r>
          </w:p>
        </w:tc>
        <w:tc>
          <w:tcPr>
            <w:tcW w:w="700" w:type="dxa"/>
            <w:vAlign w:val="bottom"/>
          </w:tcPr>
          <w:p>
            <w:pPr>
              <w:jc w:val="right"/>
              <w:spacing w:after="0"/>
              <w:rPr>
                <w:sz w:val="20"/>
                <w:szCs w:val="20"/>
                <w:color w:val="auto"/>
              </w:rPr>
            </w:pPr>
            <w:r>
              <w:rPr>
                <w:rFonts w:ascii="Arial" w:cs="Arial" w:eastAsia="Arial" w:hAnsi="Arial"/>
                <w:sz w:val="12"/>
                <w:szCs w:val="12"/>
                <w:color w:val="3E3935"/>
              </w:rPr>
              <w:t>3,250,000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295,139</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1,487,501</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31,435</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125,740</w:t>
            </w:r>
          </w:p>
        </w:tc>
        <w:tc>
          <w:tcPr>
            <w:tcW w:w="640" w:type="dxa"/>
            <w:vAlign w:val="bottom"/>
          </w:tcPr>
          <w:p>
            <w:pPr>
              <w:jc w:val="right"/>
              <w:spacing w:after="0"/>
              <w:rPr>
                <w:sz w:val="20"/>
                <w:szCs w:val="20"/>
                <w:color w:val="auto"/>
              </w:rPr>
            </w:pPr>
            <w:r>
              <w:rPr>
                <w:rFonts w:ascii="Arial" w:cs="Arial" w:eastAsia="Arial" w:hAnsi="Arial"/>
                <w:sz w:val="12"/>
                <w:szCs w:val="12"/>
                <w:color w:val="3E3935"/>
              </w:rPr>
              <w:t>251,480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5,152,198</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RSU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5/7/2020</w:t>
            </w:r>
          </w:p>
        </w:tc>
        <w:tc>
          <w:tcPr>
            <w:tcW w:w="76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2,897</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65,009</w:t>
            </w:r>
          </w:p>
        </w:tc>
        <w:tc>
          <w:tcPr>
            <w:tcW w:w="0" w:type="dxa"/>
            <w:vAlign w:val="bottom"/>
          </w:tcPr>
          <w:p>
            <w:pPr>
              <w:spacing w:after="0"/>
              <w:rPr>
                <w:sz w:val="1"/>
                <w:szCs w:val="1"/>
                <w:color w:val="auto"/>
              </w:rPr>
            </w:pPr>
          </w:p>
        </w:tc>
      </w:tr>
      <w:tr>
        <w:trPr>
          <w:trHeight w:val="58"/>
        </w:trPr>
        <w:tc>
          <w:tcPr>
            <w:tcW w:w="13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ind w:left="80"/>
              <w:spacing w:after="0"/>
              <w:rPr>
                <w:sz w:val="20"/>
                <w:szCs w:val="20"/>
                <w:color w:val="auto"/>
              </w:rPr>
            </w:pPr>
            <w:r>
              <w:rPr>
                <w:rFonts w:ascii="Arial" w:cs="Arial" w:eastAsia="Arial" w:hAnsi="Arial"/>
                <w:sz w:val="12"/>
                <w:szCs w:val="12"/>
                <w:color w:val="3E3935"/>
              </w:rPr>
              <w:t>Douglas L. Parks</w:t>
            </w: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66,407</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1,062,500</w:t>
            </w:r>
          </w:p>
        </w:tc>
        <w:tc>
          <w:tcPr>
            <w:tcW w:w="700" w:type="dxa"/>
            <w:vAlign w:val="bottom"/>
          </w:tcPr>
          <w:p>
            <w:pPr>
              <w:jc w:val="right"/>
              <w:spacing w:after="0"/>
              <w:rPr>
                <w:sz w:val="20"/>
                <w:szCs w:val="20"/>
                <w:color w:val="auto"/>
              </w:rPr>
            </w:pPr>
            <w:r>
              <w:rPr>
                <w:rFonts w:ascii="Arial" w:cs="Arial" w:eastAsia="Arial" w:hAnsi="Arial"/>
                <w:sz w:val="12"/>
                <w:szCs w:val="12"/>
                <w:color w:val="3E3935"/>
              </w:rPr>
              <w:t>2,125,000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136,717</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689,054</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10/1/2020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8/10/2020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33,417</w:t>
            </w:r>
          </w:p>
        </w:tc>
        <w:tc>
          <w:tcPr>
            <w:tcW w:w="660" w:type="dxa"/>
            <w:vAlign w:val="bottom"/>
          </w:tcPr>
          <w:p>
            <w:pPr>
              <w:jc w:val="right"/>
              <w:spacing w:after="0"/>
              <w:rPr>
                <w:sz w:val="20"/>
                <w:szCs w:val="20"/>
                <w:color w:val="auto"/>
              </w:rPr>
            </w:pPr>
            <w:r>
              <w:rPr>
                <w:rFonts w:ascii="Arial" w:cs="Arial" w:eastAsia="Arial" w:hAnsi="Arial"/>
                <w:sz w:val="12"/>
                <w:szCs w:val="12"/>
                <w:color w:val="3E3935"/>
              </w:rPr>
              <w:t>30.38</w:t>
            </w:r>
          </w:p>
        </w:tc>
        <w:tc>
          <w:tcPr>
            <w:tcW w:w="840" w:type="dxa"/>
            <w:vAlign w:val="bottom"/>
          </w:tcPr>
          <w:p>
            <w:pPr>
              <w:jc w:val="right"/>
              <w:spacing w:after="0"/>
              <w:rPr>
                <w:sz w:val="20"/>
                <w:szCs w:val="20"/>
                <w:color w:val="auto"/>
              </w:rPr>
            </w:pPr>
            <w:r>
              <w:rPr>
                <w:rFonts w:ascii="Arial" w:cs="Arial" w:eastAsia="Arial" w:hAnsi="Arial"/>
                <w:sz w:val="12"/>
                <w:szCs w:val="12"/>
                <w:color w:val="3E3935"/>
              </w:rPr>
              <w:t>332,834</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14,562</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58,246</w:t>
            </w:r>
          </w:p>
        </w:tc>
        <w:tc>
          <w:tcPr>
            <w:tcW w:w="640" w:type="dxa"/>
            <w:vAlign w:val="bottom"/>
          </w:tcPr>
          <w:p>
            <w:pPr>
              <w:jc w:val="right"/>
              <w:spacing w:after="0"/>
              <w:rPr>
                <w:sz w:val="20"/>
                <w:szCs w:val="20"/>
                <w:color w:val="auto"/>
              </w:rPr>
            </w:pPr>
            <w:r>
              <w:rPr>
                <w:rFonts w:ascii="Arial" w:cs="Arial" w:eastAsia="Arial" w:hAnsi="Arial"/>
                <w:sz w:val="12"/>
                <w:szCs w:val="12"/>
                <w:color w:val="3E3935"/>
              </w:rPr>
              <w:t>116,492</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2,386,631</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10/1/2020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8/10/2020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8,217</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32,867</w:t>
            </w:r>
          </w:p>
        </w:tc>
        <w:tc>
          <w:tcPr>
            <w:tcW w:w="640" w:type="dxa"/>
            <w:vAlign w:val="bottom"/>
          </w:tcPr>
          <w:p>
            <w:pPr>
              <w:jc w:val="right"/>
              <w:spacing w:after="0"/>
              <w:rPr>
                <w:sz w:val="20"/>
                <w:szCs w:val="20"/>
                <w:color w:val="auto"/>
              </w:rPr>
            </w:pPr>
            <w:r>
              <w:rPr>
                <w:rFonts w:ascii="Arial" w:cs="Arial" w:eastAsia="Arial" w:hAnsi="Arial"/>
                <w:sz w:val="12"/>
                <w:szCs w:val="12"/>
                <w:color w:val="3E3935"/>
              </w:rPr>
              <w:t>65,734</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1,118,297</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RSU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5/7/2020</w:t>
            </w:r>
          </w:p>
        </w:tc>
        <w:tc>
          <w:tcPr>
            <w:tcW w:w="76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1,727</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38,754</w:t>
            </w:r>
          </w:p>
        </w:tc>
        <w:tc>
          <w:tcPr>
            <w:tcW w:w="0" w:type="dxa"/>
            <w:vAlign w:val="bottom"/>
          </w:tcPr>
          <w:p>
            <w:pPr>
              <w:spacing w:after="0"/>
              <w:rPr>
                <w:sz w:val="1"/>
                <w:szCs w:val="1"/>
                <w:color w:val="auto"/>
              </w:rPr>
            </w:pPr>
          </w:p>
        </w:tc>
      </w:tr>
      <w:tr>
        <w:trPr>
          <w:trHeight w:val="58"/>
        </w:trPr>
        <w:tc>
          <w:tcPr>
            <w:tcW w:w="13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ind w:left="80"/>
              <w:spacing w:after="0"/>
              <w:rPr>
                <w:sz w:val="20"/>
                <w:szCs w:val="20"/>
                <w:color w:val="auto"/>
              </w:rPr>
            </w:pPr>
            <w:r>
              <w:rPr>
                <w:rFonts w:ascii="Arial" w:cs="Arial" w:eastAsia="Arial" w:hAnsi="Arial"/>
                <w:sz w:val="12"/>
                <w:szCs w:val="12"/>
                <w:color w:val="3E3935"/>
              </w:rPr>
              <w:t>Stephen K. Carlisle</w:t>
            </w: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62,500</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1,000,000</w:t>
            </w:r>
          </w:p>
        </w:tc>
        <w:tc>
          <w:tcPr>
            <w:tcW w:w="700" w:type="dxa"/>
            <w:vAlign w:val="bottom"/>
          </w:tcPr>
          <w:p>
            <w:pPr>
              <w:jc w:val="right"/>
              <w:spacing w:after="0"/>
              <w:rPr>
                <w:sz w:val="20"/>
                <w:szCs w:val="20"/>
                <w:color w:val="auto"/>
              </w:rPr>
            </w:pPr>
            <w:r>
              <w:rPr>
                <w:rFonts w:ascii="Arial" w:cs="Arial" w:eastAsia="Arial" w:hAnsi="Arial"/>
                <w:sz w:val="12"/>
                <w:szCs w:val="12"/>
                <w:color w:val="3E3935"/>
              </w:rPr>
              <w:t>2,000,000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75,645</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381,251</w:t>
            </w: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4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6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84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10/1/2020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8/10/2020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49,574</w:t>
            </w:r>
          </w:p>
        </w:tc>
        <w:tc>
          <w:tcPr>
            <w:tcW w:w="660" w:type="dxa"/>
            <w:vAlign w:val="bottom"/>
          </w:tcPr>
          <w:p>
            <w:pPr>
              <w:jc w:val="right"/>
              <w:spacing w:after="0"/>
              <w:rPr>
                <w:sz w:val="20"/>
                <w:szCs w:val="20"/>
                <w:color w:val="auto"/>
              </w:rPr>
            </w:pPr>
            <w:r>
              <w:rPr>
                <w:rFonts w:ascii="Arial" w:cs="Arial" w:eastAsia="Arial" w:hAnsi="Arial"/>
                <w:sz w:val="12"/>
                <w:szCs w:val="12"/>
                <w:color w:val="3E3935"/>
              </w:rPr>
              <w:t>30.38</w:t>
            </w:r>
          </w:p>
        </w:tc>
        <w:tc>
          <w:tcPr>
            <w:tcW w:w="840" w:type="dxa"/>
            <w:vAlign w:val="bottom"/>
          </w:tcPr>
          <w:p>
            <w:pPr>
              <w:jc w:val="right"/>
              <w:spacing w:after="0"/>
              <w:rPr>
                <w:sz w:val="20"/>
                <w:szCs w:val="20"/>
                <w:color w:val="auto"/>
              </w:rPr>
            </w:pPr>
            <w:r>
              <w:rPr>
                <w:rFonts w:ascii="Arial" w:cs="Arial" w:eastAsia="Arial" w:hAnsi="Arial"/>
                <w:sz w:val="12"/>
                <w:szCs w:val="12"/>
                <w:color w:val="3E3935"/>
              </w:rPr>
              <w:t>493,758</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2/12/2020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8,057</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32,228</w:t>
            </w:r>
          </w:p>
        </w:tc>
        <w:tc>
          <w:tcPr>
            <w:tcW w:w="640" w:type="dxa"/>
            <w:vAlign w:val="bottom"/>
          </w:tcPr>
          <w:p>
            <w:pPr>
              <w:jc w:val="right"/>
              <w:spacing w:after="0"/>
              <w:rPr>
                <w:sz w:val="20"/>
                <w:szCs w:val="20"/>
                <w:color w:val="auto"/>
              </w:rPr>
            </w:pPr>
            <w:r>
              <w:rPr>
                <w:rFonts w:ascii="Arial" w:cs="Arial" w:eastAsia="Arial" w:hAnsi="Arial"/>
                <w:sz w:val="12"/>
                <w:szCs w:val="12"/>
                <w:color w:val="3E3935"/>
              </w:rPr>
              <w:t>64,456</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1,320,543</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10/1/2020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8/10/2020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12,190</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48,758</w:t>
            </w:r>
          </w:p>
        </w:tc>
        <w:tc>
          <w:tcPr>
            <w:tcW w:w="640" w:type="dxa"/>
            <w:vAlign w:val="bottom"/>
          </w:tcPr>
          <w:p>
            <w:pPr>
              <w:jc w:val="right"/>
              <w:spacing w:after="0"/>
              <w:rPr>
                <w:sz w:val="20"/>
                <w:szCs w:val="20"/>
                <w:color w:val="auto"/>
              </w:rPr>
            </w:pPr>
            <w:r>
              <w:rPr>
                <w:rFonts w:ascii="Arial" w:cs="Arial" w:eastAsia="Arial" w:hAnsi="Arial"/>
                <w:sz w:val="12"/>
                <w:szCs w:val="12"/>
                <w:color w:val="3E3935"/>
              </w:rPr>
              <w:t>97,516</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1,658,992</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PSU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12/1/2020</w:t>
            </w:r>
          </w:p>
        </w:tc>
        <w:tc>
          <w:tcPr>
            <w:tcW w:w="760" w:type="dxa"/>
            <w:vAlign w:val="bottom"/>
          </w:tcPr>
          <w:p>
            <w:pPr>
              <w:jc w:val="right"/>
              <w:spacing w:after="0"/>
              <w:rPr>
                <w:sz w:val="20"/>
                <w:szCs w:val="20"/>
                <w:color w:val="auto"/>
              </w:rPr>
            </w:pPr>
            <w:r>
              <w:rPr>
                <w:rFonts w:ascii="Arial" w:cs="Arial" w:eastAsia="Arial" w:hAnsi="Arial"/>
                <w:sz w:val="12"/>
                <w:szCs w:val="12"/>
                <w:color w:val="3E3935"/>
              </w:rPr>
              <w:t>11/5/2020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1,679</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6,715</w:t>
            </w:r>
          </w:p>
        </w:tc>
        <w:tc>
          <w:tcPr>
            <w:tcW w:w="640" w:type="dxa"/>
            <w:vAlign w:val="bottom"/>
          </w:tcPr>
          <w:p>
            <w:pPr>
              <w:jc w:val="right"/>
              <w:spacing w:after="0"/>
              <w:rPr>
                <w:sz w:val="20"/>
                <w:szCs w:val="20"/>
                <w:color w:val="auto"/>
              </w:rPr>
            </w:pPr>
            <w:r>
              <w:rPr>
                <w:rFonts w:ascii="Arial" w:cs="Arial" w:eastAsia="Arial" w:hAnsi="Arial"/>
                <w:sz w:val="12"/>
                <w:szCs w:val="12"/>
                <w:color w:val="3E3935"/>
              </w:rPr>
              <w:t>13,430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376,231</w:t>
            </w:r>
          </w:p>
        </w:tc>
        <w:tc>
          <w:tcPr>
            <w:tcW w:w="0" w:type="dxa"/>
            <w:vAlign w:val="bottom"/>
          </w:tcPr>
          <w:p>
            <w:pPr>
              <w:spacing w:after="0"/>
              <w:rPr>
                <w:sz w:val="1"/>
                <w:szCs w:val="1"/>
                <w:color w:val="auto"/>
              </w:rPr>
            </w:pPr>
          </w:p>
        </w:tc>
      </w:tr>
      <w:tr>
        <w:trPr>
          <w:trHeight w:val="58"/>
        </w:trPr>
        <w:tc>
          <w:tcPr>
            <w:tcW w:w="1340" w:type="dxa"/>
            <w:vAlign w:val="bottom"/>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3E3935"/>
              </w:rPr>
              <w:t>RSU</w:t>
            </w:r>
          </w:p>
        </w:tc>
        <w:tc>
          <w:tcPr>
            <w:tcW w:w="740" w:type="dxa"/>
            <w:vAlign w:val="bottom"/>
          </w:tcPr>
          <w:p>
            <w:pPr>
              <w:jc w:val="right"/>
              <w:ind w:right="38"/>
              <w:spacing w:after="0"/>
              <w:rPr>
                <w:sz w:val="20"/>
                <w:szCs w:val="20"/>
                <w:color w:val="auto"/>
              </w:rPr>
            </w:pPr>
            <w:r>
              <w:rPr>
                <w:rFonts w:ascii="Arial" w:cs="Arial" w:eastAsia="Arial" w:hAnsi="Arial"/>
                <w:sz w:val="12"/>
                <w:szCs w:val="12"/>
                <w:color w:val="3E3935"/>
              </w:rPr>
              <w:t>5/7/2020</w:t>
            </w:r>
          </w:p>
        </w:tc>
        <w:tc>
          <w:tcPr>
            <w:tcW w:w="76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1,560</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35,007</w:t>
            </w:r>
          </w:p>
        </w:tc>
        <w:tc>
          <w:tcPr>
            <w:tcW w:w="0" w:type="dxa"/>
            <w:vAlign w:val="bottom"/>
          </w:tcPr>
          <w:p>
            <w:pPr>
              <w:spacing w:after="0"/>
              <w:rPr>
                <w:sz w:val="1"/>
                <w:szCs w:val="1"/>
                <w:color w:val="auto"/>
              </w:rPr>
            </w:pPr>
          </w:p>
        </w:tc>
      </w:tr>
      <w:tr>
        <w:trPr>
          <w:trHeight w:val="58"/>
        </w:trPr>
        <w:tc>
          <w:tcPr>
            <w:tcW w:w="134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93345</wp:posOffset>
            </wp:positionV>
            <wp:extent cx="5927725" cy="1016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72</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5"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All Other</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0C1DE"/>
              </w:rPr>
              <w:t>All Other</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40" w:type="dxa"/>
            <w:vAlign w:val="bottom"/>
            <w:gridSpan w:val="3"/>
          </w:tcPr>
          <w:p>
            <w:pPr>
              <w:jc w:val="center"/>
              <w:spacing w:after="0"/>
              <w:rPr>
                <w:sz w:val="20"/>
                <w:szCs w:val="20"/>
                <w:color w:val="auto"/>
              </w:rPr>
            </w:pPr>
            <w:r>
              <w:rPr>
                <w:rFonts w:ascii="Arial" w:cs="Arial" w:eastAsia="Arial" w:hAnsi="Arial"/>
                <w:sz w:val="12"/>
                <w:szCs w:val="12"/>
                <w:b w:val="1"/>
                <w:bCs w:val="1"/>
                <w:color w:val="00C1DE"/>
              </w:rPr>
              <w:t>Estimated Future Payouts</w:t>
            </w:r>
          </w:p>
        </w:tc>
        <w:tc>
          <w:tcPr>
            <w:tcW w:w="2080" w:type="dxa"/>
            <w:vAlign w:val="bottom"/>
            <w:gridSpan w:val="3"/>
          </w:tcPr>
          <w:p>
            <w:pPr>
              <w:jc w:val="center"/>
              <w:spacing w:after="0"/>
              <w:rPr>
                <w:sz w:val="20"/>
                <w:szCs w:val="20"/>
                <w:color w:val="auto"/>
              </w:rPr>
            </w:pPr>
            <w:r>
              <w:rPr>
                <w:rFonts w:ascii="Arial" w:cs="Arial" w:eastAsia="Arial" w:hAnsi="Arial"/>
                <w:sz w:val="12"/>
                <w:szCs w:val="12"/>
                <w:b w:val="1"/>
                <w:bCs w:val="1"/>
                <w:color w:val="00C1DE"/>
              </w:rPr>
              <w:t>Estimated Future Payouts</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00C1DE"/>
              </w:rPr>
              <w:t>Stock</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0C1DE"/>
              </w:rPr>
              <w:t>Option</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00C1DE"/>
              </w:rPr>
              <w:t>Exercise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4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C1DE"/>
              </w:rPr>
              <w:t>Under Non-Equity Incentive</w:t>
            </w:r>
          </w:p>
        </w:tc>
        <w:tc>
          <w:tcPr>
            <w:tcW w:w="208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C1DE"/>
              </w:rPr>
              <w:t>Under Equity Incentive</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6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or Base</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Grant Date</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2"/>
                <w:szCs w:val="12"/>
                <w:b w:val="1"/>
                <w:bCs w:val="1"/>
                <w:color w:val="00C1DE"/>
              </w:rPr>
              <w:t>Plan Awards</w:t>
            </w:r>
          </w:p>
        </w:tc>
        <w:tc>
          <w:tcPr>
            <w:tcW w:w="700" w:type="dxa"/>
            <w:vAlign w:val="bottom"/>
          </w:tcPr>
          <w:p>
            <w:pPr>
              <w:spacing w:after="0"/>
              <w:rPr>
                <w:sz w:val="11"/>
                <w:szCs w:val="11"/>
                <w:color w:val="auto"/>
              </w:rPr>
            </w:pPr>
          </w:p>
        </w:tc>
        <w:tc>
          <w:tcPr>
            <w:tcW w:w="1440" w:type="dxa"/>
            <w:vAlign w:val="bottom"/>
            <w:gridSpan w:val="2"/>
          </w:tcPr>
          <w:p>
            <w:pPr>
              <w:jc w:val="center"/>
              <w:ind w:left="598"/>
              <w:spacing w:after="0" w:line="134" w:lineRule="exact"/>
              <w:rPr>
                <w:sz w:val="20"/>
                <w:szCs w:val="20"/>
                <w:color w:val="auto"/>
              </w:rPr>
            </w:pPr>
            <w:r>
              <w:rPr>
                <w:rFonts w:ascii="Arial" w:cs="Arial" w:eastAsia="Arial" w:hAnsi="Arial"/>
                <w:sz w:val="12"/>
                <w:szCs w:val="12"/>
                <w:b w:val="1"/>
                <w:bCs w:val="1"/>
                <w:color w:val="00C1DE"/>
              </w:rPr>
              <w:t>Plan Awards</w:t>
            </w:r>
          </w:p>
        </w:tc>
        <w:tc>
          <w:tcPr>
            <w:tcW w:w="6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Number of</w:t>
            </w: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Number of</w:t>
            </w:r>
          </w:p>
        </w:tc>
        <w:tc>
          <w:tcPr>
            <w:tcW w:w="6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Price of</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Fair Value</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Borders>
              <w:bottom w:val="single" w:sz="8" w:color="00C1DE"/>
            </w:tcBorders>
          </w:tcPr>
          <w:p>
            <w:pPr>
              <w:spacing w:after="0"/>
              <w:rPr>
                <w:sz w:val="5"/>
                <w:szCs w:val="5"/>
                <w:color w:val="auto"/>
              </w:rPr>
            </w:pPr>
          </w:p>
        </w:tc>
        <w:tc>
          <w:tcPr>
            <w:tcW w:w="820" w:type="dxa"/>
            <w:vAlign w:val="bottom"/>
            <w:tcBorders>
              <w:bottom w:val="single" w:sz="8" w:color="00C1DE"/>
            </w:tcBorders>
          </w:tcPr>
          <w:p>
            <w:pPr>
              <w:spacing w:after="0"/>
              <w:rPr>
                <w:sz w:val="5"/>
                <w:szCs w:val="5"/>
                <w:color w:val="auto"/>
              </w:rPr>
            </w:pPr>
          </w:p>
        </w:tc>
        <w:tc>
          <w:tcPr>
            <w:tcW w:w="700" w:type="dxa"/>
            <w:vAlign w:val="bottom"/>
            <w:tcBorders>
              <w:bottom w:val="single" w:sz="8" w:color="00C1DE"/>
            </w:tcBorders>
          </w:tcPr>
          <w:p>
            <w:pPr>
              <w:spacing w:after="0"/>
              <w:rPr>
                <w:sz w:val="5"/>
                <w:szCs w:val="5"/>
                <w:color w:val="auto"/>
              </w:rPr>
            </w:pPr>
          </w:p>
        </w:tc>
        <w:tc>
          <w:tcPr>
            <w:tcW w:w="760" w:type="dxa"/>
            <w:vAlign w:val="bottom"/>
            <w:tcBorders>
              <w:bottom w:val="single" w:sz="8" w:color="00C1DE"/>
            </w:tcBorders>
          </w:tcPr>
          <w:p>
            <w:pPr>
              <w:spacing w:after="0"/>
              <w:rPr>
                <w:sz w:val="5"/>
                <w:szCs w:val="5"/>
                <w:color w:val="auto"/>
              </w:rPr>
            </w:pPr>
          </w:p>
        </w:tc>
        <w:tc>
          <w:tcPr>
            <w:tcW w:w="680" w:type="dxa"/>
            <w:vAlign w:val="bottom"/>
            <w:tcBorders>
              <w:bottom w:val="single" w:sz="8" w:color="00C1DE"/>
            </w:tcBorders>
          </w:tcPr>
          <w:p>
            <w:pPr>
              <w:spacing w:after="0"/>
              <w:rPr>
                <w:sz w:val="5"/>
                <w:szCs w:val="5"/>
                <w:color w:val="auto"/>
              </w:rPr>
            </w:pPr>
          </w:p>
        </w:tc>
        <w:tc>
          <w:tcPr>
            <w:tcW w:w="640" w:type="dxa"/>
            <w:vAlign w:val="bottom"/>
            <w:tcBorders>
              <w:bottom w:val="single" w:sz="8" w:color="00C1DE"/>
            </w:tcBorders>
          </w:tcPr>
          <w:p>
            <w:pPr>
              <w:spacing w:after="0"/>
              <w:rPr>
                <w:sz w:val="5"/>
                <w:szCs w:val="5"/>
                <w:color w:val="auto"/>
              </w:rPr>
            </w:pPr>
          </w:p>
        </w:tc>
        <w:tc>
          <w:tcPr>
            <w:tcW w:w="78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Shares of</w:t>
            </w:r>
          </w:p>
        </w:tc>
        <w:tc>
          <w:tcPr>
            <w:tcW w:w="80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Securities</w:t>
            </w:r>
          </w:p>
        </w:tc>
        <w:tc>
          <w:tcPr>
            <w:tcW w:w="66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Option</w:t>
            </w:r>
          </w:p>
        </w:tc>
        <w:tc>
          <w:tcPr>
            <w:tcW w:w="840" w:type="dxa"/>
            <w:vAlign w:val="bottom"/>
            <w:vMerge w:val="restart"/>
          </w:tcPr>
          <w:p>
            <w:pPr>
              <w:jc w:val="right"/>
              <w:spacing w:after="0" w:line="128" w:lineRule="exact"/>
              <w:rPr>
                <w:sz w:val="20"/>
                <w:szCs w:val="20"/>
                <w:color w:val="auto"/>
              </w:rPr>
            </w:pPr>
            <w:r>
              <w:rPr>
                <w:rFonts w:ascii="Arial" w:cs="Arial" w:eastAsia="Arial" w:hAnsi="Arial"/>
                <w:sz w:val="12"/>
                <w:szCs w:val="12"/>
                <w:b w:val="1"/>
                <w:bCs w:val="1"/>
                <w:color w:val="00C1DE"/>
              </w:rPr>
              <w:t>of Stock</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78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Award</w:t>
            </w:r>
          </w:p>
        </w:tc>
        <w:tc>
          <w:tcPr>
            <w:tcW w:w="7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Grant</w:t>
            </w:r>
          </w:p>
        </w:tc>
        <w:tc>
          <w:tcPr>
            <w:tcW w:w="7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Approval</w:t>
            </w:r>
          </w:p>
        </w:tc>
        <w:tc>
          <w:tcPr>
            <w:tcW w:w="72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Threshold</w:t>
            </w:r>
          </w:p>
        </w:tc>
        <w:tc>
          <w:tcPr>
            <w:tcW w:w="82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Target</w:t>
            </w:r>
          </w:p>
        </w:tc>
        <w:tc>
          <w:tcPr>
            <w:tcW w:w="7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Maximum</w:t>
            </w:r>
          </w:p>
        </w:tc>
        <w:tc>
          <w:tcPr>
            <w:tcW w:w="76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Threshold</w:t>
            </w:r>
          </w:p>
        </w:tc>
        <w:tc>
          <w:tcPr>
            <w:tcW w:w="68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00C1DE"/>
              </w:rPr>
              <w:t>Target</w:t>
            </w:r>
          </w:p>
        </w:tc>
        <w:tc>
          <w:tcPr>
            <w:tcW w:w="6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Maximum</w:t>
            </w:r>
          </w:p>
        </w:tc>
        <w:tc>
          <w:tcPr>
            <w:tcW w:w="78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Stock or</w:t>
            </w:r>
          </w:p>
        </w:tc>
        <w:tc>
          <w:tcPr>
            <w:tcW w:w="80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Underlying</w:t>
            </w:r>
          </w:p>
        </w:tc>
        <w:tc>
          <w:tcPr>
            <w:tcW w:w="66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Awards</w:t>
            </w:r>
          </w:p>
        </w:tc>
        <w:tc>
          <w:tcPr>
            <w:tcW w:w="840" w:type="dxa"/>
            <w:vAlign w:val="bottom"/>
          </w:tcPr>
          <w:p>
            <w:pPr>
              <w:jc w:val="right"/>
              <w:spacing w:after="0" w:line="134" w:lineRule="exact"/>
              <w:rPr>
                <w:sz w:val="20"/>
                <w:szCs w:val="20"/>
                <w:color w:val="auto"/>
              </w:rPr>
            </w:pPr>
            <w:r>
              <w:rPr>
                <w:rFonts w:ascii="Arial" w:cs="Arial" w:eastAsia="Arial" w:hAnsi="Arial"/>
                <w:sz w:val="12"/>
                <w:szCs w:val="12"/>
                <w:b w:val="1"/>
                <w:bCs w:val="1"/>
                <w:color w:val="00C1DE"/>
              </w:rPr>
              <w:t>and Option</w:t>
            </w:r>
          </w:p>
        </w:tc>
        <w:tc>
          <w:tcPr>
            <w:tcW w:w="0" w:type="dxa"/>
            <w:vAlign w:val="bottom"/>
          </w:tcPr>
          <w:p>
            <w:pPr>
              <w:spacing w:after="0"/>
              <w:rPr>
                <w:sz w:val="1"/>
                <w:szCs w:val="1"/>
                <w:color w:val="auto"/>
              </w:rPr>
            </w:pPr>
          </w:p>
        </w:tc>
      </w:tr>
      <w:tr>
        <w:trPr>
          <w:trHeight w:val="187"/>
        </w:trPr>
        <w:tc>
          <w:tcPr>
            <w:tcW w:w="1300" w:type="dxa"/>
            <w:vAlign w:val="bottom"/>
            <w:tcBorders>
              <w:bottom w:val="single" w:sz="8" w:color="00C1DE"/>
            </w:tcBorders>
          </w:tcPr>
          <w:p>
            <w:pPr>
              <w:ind w:left="80"/>
              <w:spacing w:after="0"/>
              <w:rPr>
                <w:sz w:val="20"/>
                <w:szCs w:val="20"/>
                <w:color w:val="auto"/>
              </w:rPr>
            </w:pPr>
            <w:r>
              <w:rPr>
                <w:rFonts w:ascii="Arial" w:cs="Arial" w:eastAsia="Arial" w:hAnsi="Arial"/>
                <w:sz w:val="12"/>
                <w:szCs w:val="12"/>
                <w:b w:val="1"/>
                <w:bCs w:val="1"/>
                <w:color w:val="00C1DE"/>
              </w:rPr>
              <w:t>Name</w:t>
            </w:r>
          </w:p>
        </w:tc>
        <w:tc>
          <w:tcPr>
            <w:tcW w:w="780" w:type="dxa"/>
            <w:vAlign w:val="bottom"/>
            <w:tcBorders>
              <w:bottom w:val="single" w:sz="8" w:color="00C1DE"/>
            </w:tcBorders>
          </w:tcPr>
          <w:p>
            <w:pPr>
              <w:jc w:val="center"/>
              <w:spacing w:after="0"/>
              <w:rPr>
                <w:sz w:val="20"/>
                <w:szCs w:val="20"/>
                <w:color w:val="auto"/>
              </w:rPr>
            </w:pPr>
            <w:r>
              <w:rPr>
                <w:rFonts w:ascii="Arial" w:cs="Arial" w:eastAsia="Arial" w:hAnsi="Arial"/>
                <w:sz w:val="12"/>
                <w:szCs w:val="12"/>
                <w:b w:val="1"/>
                <w:bCs w:val="1"/>
                <w:color w:val="00C1DE"/>
                <w:w w:val="99"/>
              </w:rPr>
              <w:t>Type</w:t>
            </w:r>
          </w:p>
        </w:tc>
        <w:tc>
          <w:tcPr>
            <w:tcW w:w="74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Date</w:t>
            </w:r>
          </w:p>
        </w:tc>
        <w:tc>
          <w:tcPr>
            <w:tcW w:w="70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Date</w:t>
            </w:r>
          </w:p>
        </w:tc>
        <w:tc>
          <w:tcPr>
            <w:tcW w:w="72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82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w:t>
            </w:r>
          </w:p>
        </w:tc>
        <w:tc>
          <w:tcPr>
            <w:tcW w:w="70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76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w:t>
            </w:r>
          </w:p>
        </w:tc>
        <w:tc>
          <w:tcPr>
            <w:tcW w:w="680" w:type="dxa"/>
            <w:vAlign w:val="bottom"/>
            <w:tcBorders>
              <w:bottom w:val="single" w:sz="8" w:color="00C1DE"/>
            </w:tcBorders>
          </w:tcPr>
          <w:p>
            <w:pPr>
              <w:jc w:val="right"/>
              <w:ind w:right="78"/>
              <w:spacing w:after="0"/>
              <w:rPr>
                <w:sz w:val="20"/>
                <w:szCs w:val="20"/>
                <w:color w:val="auto"/>
              </w:rPr>
            </w:pPr>
            <w:r>
              <w:rPr>
                <w:rFonts w:ascii="Arial" w:cs="Arial" w:eastAsia="Arial" w:hAnsi="Arial"/>
                <w:sz w:val="12"/>
                <w:szCs w:val="12"/>
                <w:b w:val="1"/>
                <w:bCs w:val="1"/>
                <w:color w:val="00C1DE"/>
              </w:rPr>
              <w:t>(#)</w:t>
            </w:r>
          </w:p>
        </w:tc>
        <w:tc>
          <w:tcPr>
            <w:tcW w:w="6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w:t>
            </w:r>
          </w:p>
        </w:tc>
        <w:tc>
          <w:tcPr>
            <w:tcW w:w="78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Units (#)</w:t>
            </w:r>
          </w:p>
        </w:tc>
        <w:tc>
          <w:tcPr>
            <w:tcW w:w="80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Options (#)</w:t>
            </w:r>
          </w:p>
        </w:tc>
        <w:tc>
          <w:tcPr>
            <w:tcW w:w="66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($/share)</w:t>
            </w:r>
          </w:p>
        </w:tc>
        <w:tc>
          <w:tcPr>
            <w:tcW w:w="840" w:type="dxa"/>
            <w:vAlign w:val="bottom"/>
            <w:tcBorders>
              <w:bottom w:val="single" w:sz="8" w:color="00C1DE"/>
            </w:tcBorders>
          </w:tcPr>
          <w:p>
            <w:pPr>
              <w:jc w:val="right"/>
              <w:spacing w:after="0"/>
              <w:rPr>
                <w:sz w:val="20"/>
                <w:szCs w:val="20"/>
                <w:color w:val="auto"/>
              </w:rPr>
            </w:pPr>
            <w:r>
              <w:rPr>
                <w:rFonts w:ascii="Arial" w:cs="Arial" w:eastAsia="Arial" w:hAnsi="Arial"/>
                <w:sz w:val="12"/>
                <w:szCs w:val="12"/>
                <w:b w:val="1"/>
                <w:bCs w:val="1"/>
                <w:color w:val="00C1DE"/>
              </w:rPr>
              <w:t>Awards($)</w:t>
            </w:r>
            <w:r>
              <w:rPr>
                <w:rFonts w:ascii="Arial" w:cs="Arial" w:eastAsia="Arial" w:hAnsi="Arial"/>
                <w:sz w:val="10"/>
                <w:szCs w:val="10"/>
                <w:b w:val="1"/>
                <w:bCs w:val="1"/>
                <w:color w:val="00C1DE"/>
              </w:rPr>
              <w:t>(1)</w:t>
            </w:r>
          </w:p>
        </w:tc>
        <w:tc>
          <w:tcPr>
            <w:tcW w:w="0" w:type="dxa"/>
            <w:vAlign w:val="bottom"/>
          </w:tcPr>
          <w:p>
            <w:pPr>
              <w:spacing w:after="0"/>
              <w:rPr>
                <w:sz w:val="1"/>
                <w:szCs w:val="1"/>
                <w:color w:val="auto"/>
              </w:rPr>
            </w:pPr>
          </w:p>
        </w:tc>
      </w:tr>
      <w:tr>
        <w:trPr>
          <w:trHeight w:val="196"/>
        </w:trPr>
        <w:tc>
          <w:tcPr>
            <w:tcW w:w="1300" w:type="dxa"/>
            <w:vAlign w:val="bottom"/>
          </w:tcPr>
          <w:p>
            <w:pPr>
              <w:ind w:left="80"/>
              <w:spacing w:after="0"/>
              <w:rPr>
                <w:sz w:val="20"/>
                <w:szCs w:val="20"/>
                <w:color w:val="auto"/>
              </w:rPr>
            </w:pPr>
            <w:r>
              <w:rPr>
                <w:rFonts w:ascii="Arial" w:cs="Arial" w:eastAsia="Arial" w:hAnsi="Arial"/>
                <w:sz w:val="12"/>
                <w:szCs w:val="12"/>
                <w:color w:val="3E3935"/>
              </w:rPr>
              <w:t>Dhivya Suryadevara</w:t>
            </w:r>
          </w:p>
        </w:tc>
        <w:tc>
          <w:tcPr>
            <w:tcW w:w="780" w:type="dxa"/>
            <w:vAlign w:val="bottom"/>
          </w:tcPr>
          <w:p>
            <w:pPr>
              <w:jc w:val="center"/>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1/1/2020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89,844</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1,437,500</w:t>
            </w:r>
          </w:p>
        </w:tc>
        <w:tc>
          <w:tcPr>
            <w:tcW w:w="700" w:type="dxa"/>
            <w:vAlign w:val="bottom"/>
          </w:tcPr>
          <w:p>
            <w:pPr>
              <w:jc w:val="right"/>
              <w:spacing w:after="0"/>
              <w:rPr>
                <w:sz w:val="20"/>
                <w:szCs w:val="20"/>
                <w:color w:val="auto"/>
              </w:rPr>
            </w:pPr>
            <w:r>
              <w:rPr>
                <w:rFonts w:ascii="Arial" w:cs="Arial" w:eastAsia="Arial" w:hAnsi="Arial"/>
                <w:sz w:val="12"/>
                <w:szCs w:val="12"/>
                <w:color w:val="3E3935"/>
              </w:rPr>
              <w:t>2,875,000</w:t>
            </w: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(2)</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2/12/2020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242,436</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1,221,878</w:t>
            </w:r>
          </w:p>
        </w:tc>
        <w:tc>
          <w:tcPr>
            <w:tcW w:w="0" w:type="dxa"/>
            <w:vAlign w:val="bottom"/>
          </w:tcPr>
          <w:p>
            <w:pPr>
              <w:spacing w:after="0"/>
              <w:rPr>
                <w:sz w:val="1"/>
                <w:szCs w:val="1"/>
                <w:color w:val="auto"/>
              </w:rPr>
            </w:pPr>
          </w:p>
        </w:tc>
      </w:tr>
      <w:tr>
        <w:trPr>
          <w:trHeight w:val="71"/>
        </w:trPr>
        <w:tc>
          <w:tcPr>
            <w:tcW w:w="1300" w:type="dxa"/>
            <w:vAlign w:val="bottom"/>
          </w:tcPr>
          <w:p>
            <w:pPr>
              <w:spacing w:after="0"/>
              <w:rPr>
                <w:sz w:val="6"/>
                <w:szCs w:val="6"/>
                <w:color w:val="auto"/>
              </w:rPr>
            </w:pPr>
          </w:p>
        </w:tc>
        <w:tc>
          <w:tcPr>
            <w:tcW w:w="780" w:type="dxa"/>
            <w:vAlign w:val="bottom"/>
            <w:tcBorders>
              <w:bottom w:val="single" w:sz="8" w:color="3E3935"/>
            </w:tcBorders>
          </w:tcPr>
          <w:p>
            <w:pPr>
              <w:spacing w:after="0"/>
              <w:rPr>
                <w:sz w:val="6"/>
                <w:szCs w:val="6"/>
                <w:color w:val="auto"/>
              </w:rPr>
            </w:pPr>
          </w:p>
        </w:tc>
        <w:tc>
          <w:tcPr>
            <w:tcW w:w="74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720" w:type="dxa"/>
            <w:vAlign w:val="bottom"/>
            <w:tcBorders>
              <w:bottom w:val="single" w:sz="8" w:color="3E3935"/>
            </w:tcBorders>
          </w:tcPr>
          <w:p>
            <w:pPr>
              <w:spacing w:after="0"/>
              <w:rPr>
                <w:sz w:val="6"/>
                <w:szCs w:val="6"/>
                <w:color w:val="auto"/>
              </w:rPr>
            </w:pPr>
          </w:p>
        </w:tc>
        <w:tc>
          <w:tcPr>
            <w:tcW w:w="82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760" w:type="dxa"/>
            <w:vAlign w:val="bottom"/>
            <w:tcBorders>
              <w:bottom w:val="single" w:sz="8" w:color="3E3935"/>
            </w:tcBorders>
          </w:tcPr>
          <w:p>
            <w:pPr>
              <w:spacing w:after="0"/>
              <w:rPr>
                <w:sz w:val="6"/>
                <w:szCs w:val="6"/>
                <w:color w:val="auto"/>
              </w:rPr>
            </w:pPr>
          </w:p>
        </w:tc>
        <w:tc>
          <w:tcPr>
            <w:tcW w:w="680" w:type="dxa"/>
            <w:vAlign w:val="bottom"/>
            <w:tcBorders>
              <w:bottom w:val="single" w:sz="8" w:color="3E3935"/>
            </w:tcBorders>
          </w:tcPr>
          <w:p>
            <w:pPr>
              <w:spacing w:after="0"/>
              <w:rPr>
                <w:sz w:val="6"/>
                <w:szCs w:val="6"/>
                <w:color w:val="auto"/>
              </w:rPr>
            </w:pPr>
          </w:p>
        </w:tc>
        <w:tc>
          <w:tcPr>
            <w:tcW w:w="640" w:type="dxa"/>
            <w:vAlign w:val="bottom"/>
            <w:tcBorders>
              <w:bottom w:val="single" w:sz="8" w:color="3E3935"/>
            </w:tcBorders>
          </w:tcPr>
          <w:p>
            <w:pPr>
              <w:spacing w:after="0"/>
              <w:rPr>
                <w:sz w:val="6"/>
                <w:szCs w:val="6"/>
                <w:color w:val="auto"/>
              </w:rPr>
            </w:pPr>
          </w:p>
        </w:tc>
        <w:tc>
          <w:tcPr>
            <w:tcW w:w="780" w:type="dxa"/>
            <w:vAlign w:val="bottom"/>
            <w:tcBorders>
              <w:bottom w:val="single" w:sz="8" w:color="3E3935"/>
            </w:tcBorders>
          </w:tcPr>
          <w:p>
            <w:pPr>
              <w:spacing w:after="0"/>
              <w:rPr>
                <w:sz w:val="6"/>
                <w:szCs w:val="6"/>
                <w:color w:val="auto"/>
              </w:rPr>
            </w:pPr>
          </w:p>
        </w:tc>
        <w:tc>
          <w:tcPr>
            <w:tcW w:w="800" w:type="dxa"/>
            <w:vAlign w:val="bottom"/>
            <w:tcBorders>
              <w:bottom w:val="single" w:sz="8" w:color="3E3935"/>
            </w:tcBorders>
          </w:tcPr>
          <w:p>
            <w:pPr>
              <w:spacing w:after="0"/>
              <w:rPr>
                <w:sz w:val="6"/>
                <w:szCs w:val="6"/>
                <w:color w:val="auto"/>
              </w:rPr>
            </w:pPr>
          </w:p>
        </w:tc>
        <w:tc>
          <w:tcPr>
            <w:tcW w:w="660" w:type="dxa"/>
            <w:vAlign w:val="bottom"/>
            <w:tcBorders>
              <w:bottom w:val="single" w:sz="8" w:color="3E3935"/>
            </w:tcBorders>
          </w:tcPr>
          <w:p>
            <w:pPr>
              <w:spacing w:after="0"/>
              <w:rPr>
                <w:sz w:val="6"/>
                <w:szCs w:val="6"/>
                <w:color w:val="auto"/>
              </w:rPr>
            </w:pPr>
          </w:p>
        </w:tc>
        <w:tc>
          <w:tcPr>
            <w:tcW w:w="84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Arial" w:cs="Arial" w:eastAsia="Arial" w:hAnsi="Arial"/>
                <w:sz w:val="12"/>
                <w:szCs w:val="12"/>
                <w:color w:val="3E3935"/>
              </w:rPr>
              <w:t>PSU</w:t>
            </w:r>
            <w:r>
              <w:rPr>
                <w:rFonts w:ascii="Arial" w:cs="Arial" w:eastAsia="Arial" w:hAnsi="Arial"/>
                <w:sz w:val="10"/>
                <w:szCs w:val="10"/>
                <w:color w:val="3E3935"/>
              </w:rPr>
              <w:t>(2)</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2/12/2020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25,822</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103,287</w:t>
            </w:r>
          </w:p>
        </w:tc>
        <w:tc>
          <w:tcPr>
            <w:tcW w:w="640" w:type="dxa"/>
            <w:vAlign w:val="bottom"/>
          </w:tcPr>
          <w:p>
            <w:pPr>
              <w:jc w:val="right"/>
              <w:spacing w:after="0"/>
              <w:rPr>
                <w:sz w:val="20"/>
                <w:szCs w:val="20"/>
                <w:color w:val="auto"/>
              </w:rPr>
            </w:pPr>
            <w:r>
              <w:rPr>
                <w:rFonts w:ascii="Arial" w:cs="Arial" w:eastAsia="Arial" w:hAnsi="Arial"/>
                <w:sz w:val="12"/>
                <w:szCs w:val="12"/>
                <w:color w:val="3E3935"/>
              </w:rPr>
              <w:t>206,574</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4,232,180</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Arial" w:cs="Arial" w:eastAsia="Arial" w:hAnsi="Arial"/>
                <w:sz w:val="12"/>
                <w:szCs w:val="12"/>
                <w:color w:val="3E3935"/>
              </w:rPr>
              <w:t>RSU</w:t>
            </w:r>
            <w:r>
              <w:rPr>
                <w:rFonts w:ascii="Arial" w:cs="Arial" w:eastAsia="Arial" w:hAnsi="Arial"/>
                <w:sz w:val="10"/>
                <w:szCs w:val="10"/>
                <w:color w:val="3E3935"/>
              </w:rPr>
              <w:t>(2)</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5/7/2020</w:t>
            </w:r>
          </w:p>
        </w:tc>
        <w:tc>
          <w:tcPr>
            <w:tcW w:w="70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2,563</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57,514</w:t>
            </w:r>
          </w:p>
        </w:tc>
        <w:tc>
          <w:tcPr>
            <w:tcW w:w="0" w:type="dxa"/>
            <w:vAlign w:val="bottom"/>
          </w:tcPr>
          <w:p>
            <w:pPr>
              <w:spacing w:after="0"/>
              <w:rPr>
                <w:sz w:val="1"/>
                <w:szCs w:val="1"/>
                <w:color w:val="auto"/>
              </w:rPr>
            </w:pPr>
          </w:p>
        </w:tc>
      </w:tr>
      <w:tr>
        <w:trPr>
          <w:trHeight w:val="58"/>
        </w:trPr>
        <w:tc>
          <w:tcPr>
            <w:tcW w:w="130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80"/>
              <w:spacing w:after="0"/>
              <w:rPr>
                <w:sz w:val="20"/>
                <w:szCs w:val="20"/>
                <w:color w:val="auto"/>
              </w:rPr>
            </w:pPr>
            <w:r>
              <w:rPr>
                <w:rFonts w:ascii="Arial" w:cs="Arial" w:eastAsia="Arial" w:hAnsi="Arial"/>
                <w:sz w:val="12"/>
                <w:szCs w:val="12"/>
                <w:color w:val="3E3935"/>
              </w:rPr>
              <w:t>John P. Stapleton</w:t>
            </w:r>
          </w:p>
        </w:tc>
        <w:tc>
          <w:tcPr>
            <w:tcW w:w="780" w:type="dxa"/>
            <w:vAlign w:val="bottom"/>
          </w:tcPr>
          <w:p>
            <w:pPr>
              <w:jc w:val="center"/>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1/1/2020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48,832</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781,300</w:t>
            </w:r>
          </w:p>
        </w:tc>
        <w:tc>
          <w:tcPr>
            <w:tcW w:w="700" w:type="dxa"/>
            <w:vAlign w:val="bottom"/>
          </w:tcPr>
          <w:p>
            <w:pPr>
              <w:jc w:val="right"/>
              <w:spacing w:after="0"/>
              <w:rPr>
                <w:sz w:val="20"/>
                <w:szCs w:val="20"/>
                <w:color w:val="auto"/>
              </w:rPr>
            </w:pPr>
            <w:r>
              <w:rPr>
                <w:rFonts w:ascii="Arial" w:cs="Arial" w:eastAsia="Arial" w:hAnsi="Arial"/>
                <w:sz w:val="12"/>
                <w:szCs w:val="12"/>
                <w:color w:val="3E3935"/>
              </w:rPr>
              <w:t>1,562,600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780" w:type="dxa"/>
            <w:vAlign w:val="bottom"/>
          </w:tcPr>
          <w:p>
            <w:pPr>
              <w:jc w:val="right"/>
              <w:ind w:right="158"/>
              <w:spacing w:after="0"/>
              <w:rPr>
                <w:sz w:val="20"/>
                <w:szCs w:val="20"/>
                <w:color w:val="auto"/>
              </w:rPr>
            </w:pPr>
            <w:r>
              <w:rPr>
                <w:rFonts w:ascii="Arial" w:cs="Arial" w:eastAsia="Arial" w:hAnsi="Arial"/>
                <w:sz w:val="12"/>
                <w:szCs w:val="12"/>
                <w:color w:val="3E3935"/>
              </w:rPr>
              <w:t>Options</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2/12/2020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44,643</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225,001</w:t>
            </w:r>
          </w:p>
        </w:tc>
        <w:tc>
          <w:tcPr>
            <w:tcW w:w="0" w:type="dxa"/>
            <w:vAlign w:val="bottom"/>
          </w:tcPr>
          <w:p>
            <w:pPr>
              <w:spacing w:after="0"/>
              <w:rPr>
                <w:sz w:val="1"/>
                <w:szCs w:val="1"/>
                <w:color w:val="auto"/>
              </w:rPr>
            </w:pPr>
          </w:p>
        </w:tc>
      </w:tr>
      <w:tr>
        <w:trPr>
          <w:trHeight w:val="71"/>
        </w:trPr>
        <w:tc>
          <w:tcPr>
            <w:tcW w:w="1300" w:type="dxa"/>
            <w:vAlign w:val="bottom"/>
          </w:tcPr>
          <w:p>
            <w:pPr>
              <w:spacing w:after="0"/>
              <w:rPr>
                <w:sz w:val="6"/>
                <w:szCs w:val="6"/>
                <w:color w:val="auto"/>
              </w:rPr>
            </w:pPr>
          </w:p>
        </w:tc>
        <w:tc>
          <w:tcPr>
            <w:tcW w:w="780" w:type="dxa"/>
            <w:vAlign w:val="bottom"/>
            <w:tcBorders>
              <w:bottom w:val="single" w:sz="8" w:color="3E3935"/>
            </w:tcBorders>
          </w:tcPr>
          <w:p>
            <w:pPr>
              <w:spacing w:after="0"/>
              <w:rPr>
                <w:sz w:val="6"/>
                <w:szCs w:val="6"/>
                <w:color w:val="auto"/>
              </w:rPr>
            </w:pPr>
          </w:p>
        </w:tc>
        <w:tc>
          <w:tcPr>
            <w:tcW w:w="74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720" w:type="dxa"/>
            <w:vAlign w:val="bottom"/>
            <w:tcBorders>
              <w:bottom w:val="single" w:sz="8" w:color="3E3935"/>
            </w:tcBorders>
          </w:tcPr>
          <w:p>
            <w:pPr>
              <w:spacing w:after="0"/>
              <w:rPr>
                <w:sz w:val="6"/>
                <w:szCs w:val="6"/>
                <w:color w:val="auto"/>
              </w:rPr>
            </w:pPr>
          </w:p>
        </w:tc>
        <w:tc>
          <w:tcPr>
            <w:tcW w:w="820" w:type="dxa"/>
            <w:vAlign w:val="bottom"/>
            <w:tcBorders>
              <w:bottom w:val="single" w:sz="8" w:color="3E3935"/>
            </w:tcBorders>
          </w:tcPr>
          <w:p>
            <w:pPr>
              <w:spacing w:after="0"/>
              <w:rPr>
                <w:sz w:val="6"/>
                <w:szCs w:val="6"/>
                <w:color w:val="auto"/>
              </w:rPr>
            </w:pPr>
          </w:p>
        </w:tc>
        <w:tc>
          <w:tcPr>
            <w:tcW w:w="700" w:type="dxa"/>
            <w:vAlign w:val="bottom"/>
            <w:tcBorders>
              <w:bottom w:val="single" w:sz="8" w:color="3E3935"/>
            </w:tcBorders>
          </w:tcPr>
          <w:p>
            <w:pPr>
              <w:spacing w:after="0"/>
              <w:rPr>
                <w:sz w:val="6"/>
                <w:szCs w:val="6"/>
                <w:color w:val="auto"/>
              </w:rPr>
            </w:pPr>
          </w:p>
        </w:tc>
        <w:tc>
          <w:tcPr>
            <w:tcW w:w="760" w:type="dxa"/>
            <w:vAlign w:val="bottom"/>
            <w:tcBorders>
              <w:bottom w:val="single" w:sz="8" w:color="3E3935"/>
            </w:tcBorders>
          </w:tcPr>
          <w:p>
            <w:pPr>
              <w:spacing w:after="0"/>
              <w:rPr>
                <w:sz w:val="6"/>
                <w:szCs w:val="6"/>
                <w:color w:val="auto"/>
              </w:rPr>
            </w:pPr>
          </w:p>
        </w:tc>
        <w:tc>
          <w:tcPr>
            <w:tcW w:w="680" w:type="dxa"/>
            <w:vAlign w:val="bottom"/>
            <w:tcBorders>
              <w:bottom w:val="single" w:sz="8" w:color="3E3935"/>
            </w:tcBorders>
          </w:tcPr>
          <w:p>
            <w:pPr>
              <w:spacing w:after="0"/>
              <w:rPr>
                <w:sz w:val="6"/>
                <w:szCs w:val="6"/>
                <w:color w:val="auto"/>
              </w:rPr>
            </w:pPr>
          </w:p>
        </w:tc>
        <w:tc>
          <w:tcPr>
            <w:tcW w:w="640" w:type="dxa"/>
            <w:vAlign w:val="bottom"/>
            <w:tcBorders>
              <w:bottom w:val="single" w:sz="8" w:color="3E3935"/>
            </w:tcBorders>
          </w:tcPr>
          <w:p>
            <w:pPr>
              <w:spacing w:after="0"/>
              <w:rPr>
                <w:sz w:val="6"/>
                <w:szCs w:val="6"/>
                <w:color w:val="auto"/>
              </w:rPr>
            </w:pPr>
          </w:p>
        </w:tc>
        <w:tc>
          <w:tcPr>
            <w:tcW w:w="780" w:type="dxa"/>
            <w:vAlign w:val="bottom"/>
            <w:tcBorders>
              <w:bottom w:val="single" w:sz="8" w:color="3E3935"/>
            </w:tcBorders>
          </w:tcPr>
          <w:p>
            <w:pPr>
              <w:spacing w:after="0"/>
              <w:rPr>
                <w:sz w:val="6"/>
                <w:szCs w:val="6"/>
                <w:color w:val="auto"/>
              </w:rPr>
            </w:pPr>
          </w:p>
        </w:tc>
        <w:tc>
          <w:tcPr>
            <w:tcW w:w="800" w:type="dxa"/>
            <w:vAlign w:val="bottom"/>
            <w:tcBorders>
              <w:bottom w:val="single" w:sz="8" w:color="3E3935"/>
            </w:tcBorders>
          </w:tcPr>
          <w:p>
            <w:pPr>
              <w:spacing w:after="0"/>
              <w:rPr>
                <w:sz w:val="6"/>
                <w:szCs w:val="6"/>
                <w:color w:val="auto"/>
              </w:rPr>
            </w:pPr>
          </w:p>
        </w:tc>
        <w:tc>
          <w:tcPr>
            <w:tcW w:w="660" w:type="dxa"/>
            <w:vAlign w:val="bottom"/>
            <w:tcBorders>
              <w:bottom w:val="single" w:sz="8" w:color="3E3935"/>
            </w:tcBorders>
          </w:tcPr>
          <w:p>
            <w:pPr>
              <w:spacing w:after="0"/>
              <w:rPr>
                <w:sz w:val="6"/>
                <w:szCs w:val="6"/>
                <w:color w:val="auto"/>
              </w:rPr>
            </w:pPr>
          </w:p>
        </w:tc>
        <w:tc>
          <w:tcPr>
            <w:tcW w:w="84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ind w:left="38"/>
              <w:spacing w:after="0"/>
              <w:rPr>
                <w:sz w:val="20"/>
                <w:szCs w:val="20"/>
                <w:color w:val="auto"/>
              </w:rPr>
            </w:pPr>
            <w:r>
              <w:rPr>
                <w:rFonts w:ascii="Arial" w:cs="Arial" w:eastAsia="Arial" w:hAnsi="Arial"/>
                <w:sz w:val="12"/>
                <w:szCs w:val="12"/>
                <w:color w:val="3E3935"/>
                <w:w w:val="97"/>
              </w:rPr>
              <w:t>PSU</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2/12/2020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4,755</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19,020</w:t>
            </w:r>
          </w:p>
        </w:tc>
        <w:tc>
          <w:tcPr>
            <w:tcW w:w="640" w:type="dxa"/>
            <w:vAlign w:val="bottom"/>
          </w:tcPr>
          <w:p>
            <w:pPr>
              <w:jc w:val="right"/>
              <w:spacing w:after="0"/>
              <w:rPr>
                <w:sz w:val="20"/>
                <w:szCs w:val="20"/>
                <w:color w:val="auto"/>
              </w:rPr>
            </w:pPr>
            <w:r>
              <w:rPr>
                <w:rFonts w:ascii="Arial" w:cs="Arial" w:eastAsia="Arial" w:hAnsi="Arial"/>
                <w:sz w:val="12"/>
                <w:szCs w:val="12"/>
                <w:color w:val="3E3935"/>
              </w:rPr>
              <w:t>38,040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779,345</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ind w:left="38"/>
              <w:spacing w:after="0"/>
              <w:rPr>
                <w:sz w:val="20"/>
                <w:szCs w:val="20"/>
                <w:color w:val="auto"/>
              </w:rPr>
            </w:pPr>
            <w:r>
              <w:rPr>
                <w:rFonts w:ascii="Arial" w:cs="Arial" w:eastAsia="Arial" w:hAnsi="Arial"/>
                <w:sz w:val="12"/>
                <w:szCs w:val="12"/>
                <w:color w:val="3E3935"/>
                <w:w w:val="97"/>
              </w:rPr>
              <w:t>PSU</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10/1/2020</w:t>
            </w:r>
          </w:p>
        </w:tc>
        <w:tc>
          <w:tcPr>
            <w:tcW w:w="700" w:type="dxa"/>
            <w:vAlign w:val="bottom"/>
          </w:tcPr>
          <w:p>
            <w:pPr>
              <w:jc w:val="right"/>
              <w:spacing w:after="0"/>
              <w:rPr>
                <w:sz w:val="20"/>
                <w:szCs w:val="20"/>
                <w:color w:val="auto"/>
              </w:rPr>
            </w:pPr>
            <w:r>
              <w:rPr>
                <w:rFonts w:ascii="Arial" w:cs="Arial" w:eastAsia="Arial" w:hAnsi="Arial"/>
                <w:sz w:val="12"/>
                <w:szCs w:val="12"/>
                <w:color w:val="3E3935"/>
              </w:rPr>
              <w:t>8/10/2020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8,229</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32,917</w:t>
            </w:r>
          </w:p>
        </w:tc>
        <w:tc>
          <w:tcPr>
            <w:tcW w:w="640" w:type="dxa"/>
            <w:vAlign w:val="bottom"/>
          </w:tcPr>
          <w:p>
            <w:pPr>
              <w:jc w:val="right"/>
              <w:spacing w:after="0"/>
              <w:rPr>
                <w:sz w:val="20"/>
                <w:szCs w:val="20"/>
                <w:color w:val="auto"/>
              </w:rPr>
            </w:pPr>
            <w:r>
              <w:rPr>
                <w:rFonts w:ascii="Arial" w:cs="Arial" w:eastAsia="Arial" w:hAnsi="Arial"/>
                <w:sz w:val="12"/>
                <w:szCs w:val="12"/>
                <w:color w:val="3E3935"/>
              </w:rPr>
              <w:t>65,834</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1,119,998</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ind w:left="18"/>
              <w:spacing w:after="0"/>
              <w:rPr>
                <w:sz w:val="20"/>
                <w:szCs w:val="20"/>
                <w:color w:val="auto"/>
              </w:rPr>
            </w:pPr>
            <w:r>
              <w:rPr>
                <w:rFonts w:ascii="Arial" w:cs="Arial" w:eastAsia="Arial" w:hAnsi="Arial"/>
                <w:sz w:val="12"/>
                <w:szCs w:val="12"/>
                <w:color w:val="3E3935"/>
              </w:rPr>
              <w:t>RSU</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5/7/2020</w:t>
            </w:r>
          </w:p>
        </w:tc>
        <w:tc>
          <w:tcPr>
            <w:tcW w:w="70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1,255</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28,163</w:t>
            </w:r>
          </w:p>
        </w:tc>
        <w:tc>
          <w:tcPr>
            <w:tcW w:w="0" w:type="dxa"/>
            <w:vAlign w:val="bottom"/>
          </w:tcPr>
          <w:p>
            <w:pPr>
              <w:spacing w:after="0"/>
              <w:rPr>
                <w:sz w:val="1"/>
                <w:szCs w:val="1"/>
                <w:color w:val="auto"/>
              </w:rPr>
            </w:pPr>
          </w:p>
        </w:tc>
      </w:tr>
      <w:tr>
        <w:trPr>
          <w:trHeight w:val="58"/>
        </w:trPr>
        <w:tc>
          <w:tcPr>
            <w:tcW w:w="130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80"/>
              <w:spacing w:after="0"/>
              <w:rPr>
                <w:sz w:val="20"/>
                <w:szCs w:val="20"/>
                <w:color w:val="auto"/>
              </w:rPr>
            </w:pPr>
            <w:r>
              <w:rPr>
                <w:rFonts w:ascii="Arial" w:cs="Arial" w:eastAsia="Arial" w:hAnsi="Arial"/>
                <w:sz w:val="12"/>
                <w:szCs w:val="12"/>
                <w:color w:val="3E3935"/>
              </w:rPr>
              <w:t>Barry L. Engle II</w:t>
            </w:r>
          </w:p>
        </w:tc>
        <w:tc>
          <w:tcPr>
            <w:tcW w:w="780" w:type="dxa"/>
            <w:vAlign w:val="bottom"/>
          </w:tcPr>
          <w:p>
            <w:pPr>
              <w:jc w:val="center"/>
              <w:spacing w:after="0"/>
              <w:rPr>
                <w:sz w:val="20"/>
                <w:szCs w:val="20"/>
                <w:color w:val="auto"/>
              </w:rPr>
            </w:pPr>
            <w:r>
              <w:rPr>
                <w:rFonts w:ascii="Arial" w:cs="Arial" w:eastAsia="Arial" w:hAnsi="Arial"/>
                <w:sz w:val="12"/>
                <w:szCs w:val="12"/>
                <w:color w:val="3E3935"/>
              </w:rPr>
              <w:t>STIP</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1/1/2020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jc w:val="right"/>
              <w:spacing w:after="0"/>
              <w:rPr>
                <w:sz w:val="20"/>
                <w:szCs w:val="20"/>
                <w:color w:val="auto"/>
              </w:rPr>
            </w:pPr>
            <w:r>
              <w:rPr>
                <w:rFonts w:ascii="Arial" w:cs="Arial" w:eastAsia="Arial" w:hAnsi="Arial"/>
                <w:sz w:val="12"/>
                <w:szCs w:val="12"/>
                <w:color w:val="3E3935"/>
              </w:rPr>
              <w:t>66,407</w:t>
            </w:r>
          </w:p>
        </w:tc>
        <w:tc>
          <w:tcPr>
            <w:tcW w:w="820" w:type="dxa"/>
            <w:vAlign w:val="bottom"/>
          </w:tcPr>
          <w:p>
            <w:pPr>
              <w:jc w:val="right"/>
              <w:ind w:right="38"/>
              <w:spacing w:after="0"/>
              <w:rPr>
                <w:sz w:val="20"/>
                <w:szCs w:val="20"/>
                <w:color w:val="auto"/>
              </w:rPr>
            </w:pPr>
            <w:r>
              <w:rPr>
                <w:rFonts w:ascii="Arial" w:cs="Arial" w:eastAsia="Arial" w:hAnsi="Arial"/>
                <w:sz w:val="12"/>
                <w:szCs w:val="12"/>
                <w:color w:val="3E3935"/>
              </w:rPr>
              <w:t>1,062,500</w:t>
            </w:r>
          </w:p>
        </w:tc>
        <w:tc>
          <w:tcPr>
            <w:tcW w:w="700" w:type="dxa"/>
            <w:vAlign w:val="bottom"/>
          </w:tcPr>
          <w:p>
            <w:pPr>
              <w:jc w:val="right"/>
              <w:spacing w:after="0"/>
              <w:rPr>
                <w:sz w:val="20"/>
                <w:szCs w:val="20"/>
                <w:color w:val="auto"/>
              </w:rPr>
            </w:pPr>
            <w:r>
              <w:rPr>
                <w:rFonts w:ascii="Arial" w:cs="Arial" w:eastAsia="Arial" w:hAnsi="Arial"/>
                <w:sz w:val="12"/>
                <w:szCs w:val="12"/>
                <w:color w:val="3E3935"/>
              </w:rPr>
              <w:t>2,125,000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(3)</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2/12/2020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210,194</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1,059,378</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Arial" w:cs="Arial" w:eastAsia="Arial" w:hAnsi="Arial"/>
                <w:sz w:val="12"/>
                <w:szCs w:val="12"/>
                <w:color w:val="3E3935"/>
              </w:rPr>
              <w:t>PSU</w:t>
            </w:r>
            <w:r>
              <w:rPr>
                <w:rFonts w:ascii="Arial" w:cs="Arial" w:eastAsia="Arial" w:hAnsi="Arial"/>
                <w:sz w:val="10"/>
                <w:szCs w:val="10"/>
                <w:color w:val="3E3935"/>
              </w:rPr>
              <w:t>(3)</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2/12/2020</w:t>
            </w:r>
          </w:p>
        </w:tc>
        <w:tc>
          <w:tcPr>
            <w:tcW w:w="700" w:type="dxa"/>
            <w:vAlign w:val="bottom"/>
          </w:tcPr>
          <w:p>
            <w:pPr>
              <w:jc w:val="right"/>
              <w:spacing w:after="0"/>
              <w:rPr>
                <w:sz w:val="20"/>
                <w:szCs w:val="20"/>
                <w:color w:val="auto"/>
              </w:rPr>
            </w:pPr>
            <w:r>
              <w:rPr>
                <w:rFonts w:ascii="Arial" w:cs="Arial" w:eastAsia="Arial" w:hAnsi="Arial"/>
                <w:sz w:val="12"/>
                <w:szCs w:val="12"/>
                <w:color w:val="3E3935"/>
              </w:rPr>
              <w:t>12/9/2019</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3E3935"/>
              </w:rPr>
              <w:t>22,388</w:t>
            </w:r>
          </w:p>
        </w:tc>
        <w:tc>
          <w:tcPr>
            <w:tcW w:w="680" w:type="dxa"/>
            <w:vAlign w:val="bottom"/>
          </w:tcPr>
          <w:p>
            <w:pPr>
              <w:jc w:val="right"/>
              <w:ind w:right="78"/>
              <w:spacing w:after="0"/>
              <w:rPr>
                <w:sz w:val="20"/>
                <w:szCs w:val="20"/>
                <w:color w:val="auto"/>
              </w:rPr>
            </w:pPr>
            <w:r>
              <w:rPr>
                <w:rFonts w:ascii="Arial" w:cs="Arial" w:eastAsia="Arial" w:hAnsi="Arial"/>
                <w:sz w:val="12"/>
                <w:szCs w:val="12"/>
                <w:color w:val="3E3935"/>
              </w:rPr>
              <w:t>89,550</w:t>
            </w:r>
          </w:p>
        </w:tc>
        <w:tc>
          <w:tcPr>
            <w:tcW w:w="640" w:type="dxa"/>
            <w:vAlign w:val="bottom"/>
          </w:tcPr>
          <w:p>
            <w:pPr>
              <w:jc w:val="right"/>
              <w:spacing w:after="0"/>
              <w:rPr>
                <w:sz w:val="20"/>
                <w:szCs w:val="20"/>
                <w:color w:val="auto"/>
              </w:rPr>
            </w:pPr>
            <w:r>
              <w:rPr>
                <w:rFonts w:ascii="Arial" w:cs="Arial" w:eastAsia="Arial" w:hAnsi="Arial"/>
                <w:sz w:val="12"/>
                <w:szCs w:val="12"/>
                <w:color w:val="3E3935"/>
              </w:rPr>
              <w:t>179,100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3,669,312</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Arial" w:cs="Arial" w:eastAsia="Arial" w:hAnsi="Arial"/>
                <w:sz w:val="12"/>
                <w:szCs w:val="12"/>
                <w:color w:val="3E3935"/>
              </w:rPr>
              <w:t>RSU</w:t>
            </w:r>
            <w:r>
              <w:rPr>
                <w:rFonts w:ascii="Arial" w:cs="Arial" w:eastAsia="Arial" w:hAnsi="Arial"/>
                <w:sz w:val="10"/>
                <w:szCs w:val="10"/>
                <w:color w:val="3E3935"/>
              </w:rPr>
              <w:t>(3)</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5/7/2020</w:t>
            </w:r>
          </w:p>
        </w:tc>
        <w:tc>
          <w:tcPr>
            <w:tcW w:w="700" w:type="dxa"/>
            <w:vAlign w:val="bottom"/>
          </w:tcPr>
          <w:p>
            <w:pPr>
              <w:jc w:val="right"/>
              <w:spacing w:after="0"/>
              <w:rPr>
                <w:sz w:val="20"/>
                <w:szCs w:val="20"/>
                <w:color w:val="auto"/>
              </w:rPr>
            </w:pPr>
            <w:r>
              <w:rPr>
                <w:rFonts w:ascii="Arial" w:cs="Arial" w:eastAsia="Arial" w:hAnsi="Arial"/>
                <w:sz w:val="12"/>
                <w:szCs w:val="12"/>
                <w:color w:val="3E3935"/>
              </w:rPr>
              <w:t>3/25/2020</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3E3935"/>
              </w:rPr>
              <w:t>1,894</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3E3935"/>
              </w:rPr>
              <w:t>42,502</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(4)</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7/6/2020</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70,065</w:t>
            </w:r>
          </w:p>
        </w:tc>
        <w:tc>
          <w:tcPr>
            <w:tcW w:w="660" w:type="dxa"/>
            <w:vAlign w:val="bottom"/>
          </w:tcPr>
          <w:p>
            <w:pPr>
              <w:jc w:val="right"/>
              <w:spacing w:after="0"/>
              <w:rPr>
                <w:sz w:val="20"/>
                <w:szCs w:val="20"/>
                <w:color w:val="auto"/>
              </w:rPr>
            </w:pPr>
            <w:r>
              <w:rPr>
                <w:rFonts w:ascii="Arial" w:cs="Arial" w:eastAsia="Arial" w:hAnsi="Arial"/>
                <w:sz w:val="12"/>
                <w:szCs w:val="12"/>
                <w:color w:val="3E3935"/>
              </w:rPr>
              <w:t>35.49</w:t>
            </w:r>
          </w:p>
        </w:tc>
        <w:tc>
          <w:tcPr>
            <w:tcW w:w="840" w:type="dxa"/>
            <w:vAlign w:val="bottom"/>
          </w:tcPr>
          <w:p>
            <w:pPr>
              <w:jc w:val="right"/>
              <w:spacing w:after="0"/>
              <w:rPr>
                <w:sz w:val="20"/>
                <w:szCs w:val="20"/>
                <w:color w:val="auto"/>
              </w:rPr>
            </w:pPr>
            <w:r>
              <w:rPr>
                <w:rFonts w:ascii="Arial" w:cs="Arial" w:eastAsia="Arial" w:hAnsi="Arial"/>
                <w:sz w:val="12"/>
                <w:szCs w:val="12"/>
                <w:color w:val="3E3935"/>
              </w:rPr>
              <w:t>80,575</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(4)</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7/6/2020</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20,966</w:t>
            </w:r>
          </w:p>
        </w:tc>
        <w:tc>
          <w:tcPr>
            <w:tcW w:w="660" w:type="dxa"/>
            <w:vAlign w:val="bottom"/>
          </w:tcPr>
          <w:p>
            <w:pPr>
              <w:jc w:val="right"/>
              <w:spacing w:after="0"/>
              <w:rPr>
                <w:sz w:val="20"/>
                <w:szCs w:val="20"/>
                <w:color w:val="auto"/>
              </w:rPr>
            </w:pPr>
            <w:r>
              <w:rPr>
                <w:rFonts w:ascii="Arial" w:cs="Arial" w:eastAsia="Arial" w:hAnsi="Arial"/>
                <w:sz w:val="12"/>
                <w:szCs w:val="12"/>
                <w:color w:val="3E3935"/>
              </w:rPr>
              <w:t>37.76</w:t>
            </w:r>
          </w:p>
        </w:tc>
        <w:tc>
          <w:tcPr>
            <w:tcW w:w="840" w:type="dxa"/>
            <w:vAlign w:val="bottom"/>
          </w:tcPr>
          <w:p>
            <w:pPr>
              <w:jc w:val="right"/>
              <w:spacing w:after="0"/>
              <w:rPr>
                <w:sz w:val="20"/>
                <w:szCs w:val="20"/>
                <w:color w:val="auto"/>
              </w:rPr>
            </w:pPr>
            <w:r>
              <w:rPr>
                <w:rFonts w:ascii="Arial" w:cs="Arial" w:eastAsia="Arial" w:hAnsi="Arial"/>
                <w:sz w:val="12"/>
                <w:szCs w:val="12"/>
                <w:color w:val="3E3935"/>
              </w:rPr>
              <w:t>18,136</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(4)</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7/6/2020</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53,334</w:t>
            </w:r>
          </w:p>
        </w:tc>
        <w:tc>
          <w:tcPr>
            <w:tcW w:w="660" w:type="dxa"/>
            <w:vAlign w:val="bottom"/>
          </w:tcPr>
          <w:p>
            <w:pPr>
              <w:jc w:val="right"/>
              <w:spacing w:after="0"/>
              <w:rPr>
                <w:sz w:val="20"/>
                <w:szCs w:val="20"/>
                <w:color w:val="auto"/>
              </w:rPr>
            </w:pPr>
            <w:r>
              <w:rPr>
                <w:rFonts w:ascii="Arial" w:cs="Arial" w:eastAsia="Arial" w:hAnsi="Arial"/>
                <w:sz w:val="12"/>
                <w:szCs w:val="12"/>
                <w:color w:val="3E3935"/>
              </w:rPr>
              <w:t>39.00</w:t>
            </w:r>
          </w:p>
        </w:tc>
        <w:tc>
          <w:tcPr>
            <w:tcW w:w="840" w:type="dxa"/>
            <w:vAlign w:val="bottom"/>
          </w:tcPr>
          <w:p>
            <w:pPr>
              <w:jc w:val="right"/>
              <w:spacing w:after="0"/>
              <w:rPr>
                <w:sz w:val="20"/>
                <w:szCs w:val="20"/>
                <w:color w:val="auto"/>
              </w:rPr>
            </w:pPr>
            <w:r>
              <w:rPr>
                <w:rFonts w:ascii="Arial" w:cs="Arial" w:eastAsia="Arial" w:hAnsi="Arial"/>
                <w:sz w:val="12"/>
                <w:szCs w:val="12"/>
                <w:color w:val="3E3935"/>
              </w:rPr>
              <w:t>43,201</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(4)</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7/6/2020</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66,426</w:t>
            </w:r>
          </w:p>
        </w:tc>
        <w:tc>
          <w:tcPr>
            <w:tcW w:w="660" w:type="dxa"/>
            <w:vAlign w:val="bottom"/>
          </w:tcPr>
          <w:p>
            <w:pPr>
              <w:jc w:val="right"/>
              <w:spacing w:after="0"/>
              <w:rPr>
                <w:sz w:val="20"/>
                <w:szCs w:val="20"/>
                <w:color w:val="auto"/>
              </w:rPr>
            </w:pPr>
            <w:r>
              <w:rPr>
                <w:rFonts w:ascii="Arial" w:cs="Arial" w:eastAsia="Arial" w:hAnsi="Arial"/>
                <w:sz w:val="12"/>
                <w:szCs w:val="12"/>
                <w:color w:val="3E3935"/>
              </w:rPr>
              <w:t>41.40</w:t>
            </w:r>
          </w:p>
        </w:tc>
        <w:tc>
          <w:tcPr>
            <w:tcW w:w="840" w:type="dxa"/>
            <w:vAlign w:val="bottom"/>
          </w:tcPr>
          <w:p>
            <w:pPr>
              <w:jc w:val="right"/>
              <w:spacing w:after="0"/>
              <w:rPr>
                <w:sz w:val="20"/>
                <w:szCs w:val="20"/>
                <w:color w:val="auto"/>
              </w:rPr>
            </w:pPr>
            <w:r>
              <w:rPr>
                <w:rFonts w:ascii="Arial" w:cs="Arial" w:eastAsia="Arial" w:hAnsi="Arial"/>
                <w:sz w:val="12"/>
                <w:szCs w:val="12"/>
                <w:color w:val="3E3935"/>
              </w:rPr>
              <w:t>42,513</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(4)</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7/6/2020</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78,750</w:t>
            </w:r>
          </w:p>
        </w:tc>
        <w:tc>
          <w:tcPr>
            <w:tcW w:w="660" w:type="dxa"/>
            <w:vAlign w:val="bottom"/>
          </w:tcPr>
          <w:p>
            <w:pPr>
              <w:jc w:val="right"/>
              <w:spacing w:after="0"/>
              <w:rPr>
                <w:sz w:val="20"/>
                <w:szCs w:val="20"/>
                <w:color w:val="auto"/>
              </w:rPr>
            </w:pPr>
            <w:r>
              <w:rPr>
                <w:rFonts w:ascii="Arial" w:cs="Arial" w:eastAsia="Arial" w:hAnsi="Arial"/>
                <w:sz w:val="12"/>
                <w:szCs w:val="12"/>
                <w:color w:val="3E3935"/>
              </w:rPr>
              <w:t>34.34</w:t>
            </w:r>
          </w:p>
        </w:tc>
        <w:tc>
          <w:tcPr>
            <w:tcW w:w="840" w:type="dxa"/>
            <w:vAlign w:val="bottom"/>
          </w:tcPr>
          <w:p>
            <w:pPr>
              <w:jc w:val="right"/>
              <w:spacing w:after="0"/>
              <w:rPr>
                <w:sz w:val="20"/>
                <w:szCs w:val="20"/>
                <w:color w:val="auto"/>
              </w:rPr>
            </w:pPr>
            <w:r>
              <w:rPr>
                <w:rFonts w:ascii="Arial" w:cs="Arial" w:eastAsia="Arial" w:hAnsi="Arial"/>
                <w:sz w:val="12"/>
                <w:szCs w:val="12"/>
                <w:color w:val="3E3935"/>
              </w:rPr>
              <w:t>67,725</w:t>
            </w:r>
          </w:p>
        </w:tc>
        <w:tc>
          <w:tcPr>
            <w:tcW w:w="0" w:type="dxa"/>
            <w:vAlign w:val="bottom"/>
          </w:tcPr>
          <w:p>
            <w:pPr>
              <w:spacing w:after="0"/>
              <w:rPr>
                <w:sz w:val="1"/>
                <w:szCs w:val="1"/>
                <w:color w:val="auto"/>
              </w:rPr>
            </w:pPr>
          </w:p>
        </w:tc>
      </w:tr>
      <w:tr>
        <w:trPr>
          <w:trHeight w:val="58"/>
        </w:trPr>
        <w:tc>
          <w:tcPr>
            <w:tcW w:w="1300" w:type="dxa"/>
            <w:vAlign w:val="bottom"/>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7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20" w:type="dxa"/>
            <w:vAlign w:val="bottom"/>
            <w:tcBorders>
              <w:bottom w:val="single" w:sz="8" w:color="3E3935"/>
            </w:tcBorders>
          </w:tcPr>
          <w:p>
            <w:pPr>
              <w:spacing w:after="0"/>
              <w:rPr>
                <w:sz w:val="5"/>
                <w:szCs w:val="5"/>
                <w:color w:val="auto"/>
              </w:rPr>
            </w:pPr>
          </w:p>
        </w:tc>
        <w:tc>
          <w:tcPr>
            <w:tcW w:w="82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680" w:type="dxa"/>
            <w:vAlign w:val="bottom"/>
            <w:tcBorders>
              <w:bottom w:val="single" w:sz="8" w:color="3E3935"/>
            </w:tcBorders>
          </w:tcPr>
          <w:p>
            <w:pPr>
              <w:spacing w:after="0"/>
              <w:rPr>
                <w:sz w:val="5"/>
                <w:szCs w:val="5"/>
                <w:color w:val="auto"/>
              </w:rPr>
            </w:pPr>
          </w:p>
        </w:tc>
        <w:tc>
          <w:tcPr>
            <w:tcW w:w="640" w:type="dxa"/>
            <w:vAlign w:val="bottom"/>
            <w:tcBorders>
              <w:bottom w:val="single" w:sz="8" w:color="3E3935"/>
            </w:tcBorders>
          </w:tcPr>
          <w:p>
            <w:pPr>
              <w:spacing w:after="0"/>
              <w:rPr>
                <w:sz w:val="5"/>
                <w:szCs w:val="5"/>
                <w:color w:val="auto"/>
              </w:rPr>
            </w:pPr>
          </w:p>
        </w:tc>
        <w:tc>
          <w:tcPr>
            <w:tcW w:w="780" w:type="dxa"/>
            <w:vAlign w:val="bottom"/>
            <w:tcBorders>
              <w:bottom w:val="single" w:sz="8" w:color="3E3935"/>
            </w:tcBorders>
          </w:tcPr>
          <w:p>
            <w:pPr>
              <w:spacing w:after="0"/>
              <w:rPr>
                <w:sz w:val="5"/>
                <w:szCs w:val="5"/>
                <w:color w:val="auto"/>
              </w:rPr>
            </w:pPr>
          </w:p>
        </w:tc>
        <w:tc>
          <w:tcPr>
            <w:tcW w:w="800" w:type="dxa"/>
            <w:vAlign w:val="bottom"/>
            <w:tcBorders>
              <w:bottom w:val="single" w:sz="8" w:color="3E3935"/>
            </w:tcBorders>
          </w:tcPr>
          <w:p>
            <w:pPr>
              <w:spacing w:after="0"/>
              <w:rPr>
                <w:sz w:val="5"/>
                <w:szCs w:val="5"/>
                <w:color w:val="auto"/>
              </w:rPr>
            </w:pPr>
          </w:p>
        </w:tc>
        <w:tc>
          <w:tcPr>
            <w:tcW w:w="6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3E3935"/>
              </w:rPr>
              <w:t>Options</w:t>
            </w:r>
            <w:r>
              <w:rPr>
                <w:rFonts w:ascii="Arial" w:cs="Arial" w:eastAsia="Arial" w:hAnsi="Arial"/>
                <w:sz w:val="10"/>
                <w:szCs w:val="10"/>
                <w:color w:val="3E3935"/>
              </w:rPr>
              <w:t>(4)</w:t>
            </w:r>
          </w:p>
        </w:tc>
        <w:tc>
          <w:tcPr>
            <w:tcW w:w="740" w:type="dxa"/>
            <w:vAlign w:val="bottom"/>
          </w:tcPr>
          <w:p>
            <w:pPr>
              <w:jc w:val="right"/>
              <w:ind w:right="18"/>
              <w:spacing w:after="0"/>
              <w:rPr>
                <w:sz w:val="20"/>
                <w:szCs w:val="20"/>
                <w:color w:val="auto"/>
              </w:rPr>
            </w:pPr>
            <w:r>
              <w:rPr>
                <w:rFonts w:ascii="Arial" w:cs="Arial" w:eastAsia="Arial" w:hAnsi="Arial"/>
                <w:sz w:val="12"/>
                <w:szCs w:val="12"/>
                <w:color w:val="3E3935"/>
              </w:rPr>
              <w:t>7/6/2020</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3E3935"/>
              </w:rPr>
              <w:t>151,327</w:t>
            </w:r>
          </w:p>
        </w:tc>
        <w:tc>
          <w:tcPr>
            <w:tcW w:w="660" w:type="dxa"/>
            <w:vAlign w:val="bottom"/>
          </w:tcPr>
          <w:p>
            <w:pPr>
              <w:jc w:val="right"/>
              <w:spacing w:after="0"/>
              <w:rPr>
                <w:sz w:val="20"/>
                <w:szCs w:val="20"/>
                <w:color w:val="auto"/>
              </w:rPr>
            </w:pPr>
            <w:r>
              <w:rPr>
                <w:rFonts w:ascii="Arial" w:cs="Arial" w:eastAsia="Arial" w:hAnsi="Arial"/>
                <w:sz w:val="12"/>
                <w:szCs w:val="12"/>
                <w:color w:val="3E3935"/>
              </w:rPr>
              <w:t>30.67</w:t>
            </w:r>
          </w:p>
        </w:tc>
        <w:tc>
          <w:tcPr>
            <w:tcW w:w="840" w:type="dxa"/>
            <w:vAlign w:val="bottom"/>
          </w:tcPr>
          <w:p>
            <w:pPr>
              <w:jc w:val="right"/>
              <w:spacing w:after="0"/>
              <w:rPr>
                <w:sz w:val="20"/>
                <w:szCs w:val="20"/>
                <w:color w:val="auto"/>
              </w:rPr>
            </w:pPr>
            <w:r>
              <w:rPr>
                <w:rFonts w:ascii="Arial" w:cs="Arial" w:eastAsia="Arial" w:hAnsi="Arial"/>
                <w:sz w:val="12"/>
                <w:szCs w:val="12"/>
                <w:color w:val="3E3935"/>
              </w:rPr>
              <w:t>152,841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2" w:lineRule="exact"/>
        <w:rPr>
          <w:sz w:val="20"/>
          <w:szCs w:val="20"/>
          <w:color w:val="auto"/>
        </w:rPr>
      </w:pPr>
    </w:p>
    <w:p>
      <w:pPr>
        <w:jc w:val="both"/>
        <w:ind w:left="600" w:hanging="433"/>
        <w:spacing w:after="0" w:line="246" w:lineRule="auto"/>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This column shows the aggregate grant date fair value of equity awards granted to the NEOs in 2020. The aggregate grant date fair value is the amount that the Company expects to expense in its financial statements over the vesting schedule. All grant date fair values have been computed in accordance with FASB ASC Topic 718.</w:t>
      </w:r>
    </w:p>
    <w:p>
      <w:pPr>
        <w:spacing w:after="0" w:line="45"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Upon her termination, Ms. Suryadevara forfeited all Stock Options, PSUs, and a portion of the Salary Reduction RSUs.</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Upon his termination, Mr. Engle forfeited a portion of the Stock Options, all PSUs, and a portion of the Salary Reduction RSUs.</w:t>
      </w:r>
    </w:p>
    <w:p>
      <w:pPr>
        <w:spacing w:after="0" w:line="73" w:lineRule="exact"/>
        <w:rPr>
          <w:rFonts w:ascii="Arial" w:cs="Arial" w:eastAsia="Arial" w:hAnsi="Arial"/>
          <w:sz w:val="18"/>
          <w:szCs w:val="18"/>
          <w:i w:val="1"/>
          <w:iCs w:val="1"/>
          <w:color w:val="3E3935"/>
        </w:rPr>
      </w:pPr>
    </w:p>
    <w:p>
      <w:pPr>
        <w:jc w:val="both"/>
        <w:ind w:left="600" w:hanging="433"/>
        <w:spacing w:after="0" w:line="239" w:lineRule="auto"/>
        <w:tabs>
          <w:tab w:leader="none" w:pos="600" w:val="left"/>
        </w:tabs>
        <w:numPr>
          <w:ilvl w:val="0"/>
          <w:numId w:val="133"/>
        </w:numPr>
        <w:rPr>
          <w:rFonts w:ascii="Arial" w:cs="Arial" w:eastAsia="Arial" w:hAnsi="Arial"/>
          <w:sz w:val="18"/>
          <w:szCs w:val="18"/>
          <w:i w:val="1"/>
          <w:iCs w:val="1"/>
          <w:color w:val="3E3935"/>
        </w:rPr>
      </w:pPr>
      <w:r>
        <w:rPr>
          <w:rFonts w:ascii="Arial" w:cs="Arial" w:eastAsia="Arial" w:hAnsi="Arial"/>
          <w:sz w:val="18"/>
          <w:szCs w:val="18"/>
          <w:i w:val="1"/>
          <w:iCs w:val="1"/>
          <w:color w:val="3E3935"/>
        </w:rPr>
        <w:t>The grant date fair value for Stock Options on July 6, 2020, represents the incremental fair value computed in accordance with FASB ASC Topic 718 associated with modifications made to previously granted Stock Option awards granted under the 2017 LTIP in connection with the separation agreement, which provided for an extended exercise period. The previously granted Stock Options include, listed in the order in which they are disclosed, Stock Options granted on February 12, 2020; April 1, 2019; February 13, 2019; February 13, 2018; June 7, 2017; and October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87630</wp:posOffset>
            </wp:positionV>
            <wp:extent cx="5927725" cy="1016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2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73</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34"/>
        </w:numPr>
        <w:rPr>
          <w:rFonts w:ascii="Arial" w:cs="Arial" w:eastAsia="Arial" w:hAnsi="Arial"/>
          <w:sz w:val="21"/>
          <w:szCs w:val="21"/>
          <w:color w:val="0071CE"/>
        </w:rPr>
      </w:pPr>
      <w:r>
        <w:rPr>
          <w:rFonts w:ascii="Arial" w:cs="Arial" w:eastAsia="Arial" w:hAnsi="Arial"/>
          <w:sz w:val="25"/>
          <w:szCs w:val="25"/>
          <w:color w:val="3E3935"/>
        </w:rPr>
        <w:t>Outstanding Equity Awards at Fiscal Year-End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1780" w:type="dxa"/>
            <w:vAlign w:val="bottom"/>
            <w:tcBorders>
              <w:top w:val="single" w:sz="8" w:color="00C1DE"/>
            </w:tcBorders>
          </w:tcPr>
          <w:p>
            <w:pPr>
              <w:spacing w:after="0"/>
              <w:rPr>
                <w:sz w:val="13"/>
                <w:szCs w:val="13"/>
                <w:color w:val="auto"/>
              </w:rPr>
            </w:pPr>
          </w:p>
        </w:tc>
        <w:tc>
          <w:tcPr>
            <w:tcW w:w="160" w:type="dxa"/>
            <w:vAlign w:val="bottom"/>
            <w:tcBorders>
              <w:top w:val="single" w:sz="8" w:color="00C1DE"/>
            </w:tcBorders>
          </w:tcPr>
          <w:p>
            <w:pPr>
              <w:spacing w:after="0"/>
              <w:rPr>
                <w:sz w:val="13"/>
                <w:szCs w:val="13"/>
                <w:color w:val="auto"/>
              </w:rPr>
            </w:pPr>
          </w:p>
        </w:tc>
        <w:tc>
          <w:tcPr>
            <w:tcW w:w="700" w:type="dxa"/>
            <w:vAlign w:val="bottom"/>
            <w:tcBorders>
              <w:top w:val="single" w:sz="8" w:color="00C1DE"/>
              <w:bottom w:val="single" w:sz="8" w:color="00C1DE"/>
            </w:tcBorders>
          </w:tcPr>
          <w:p>
            <w:pPr>
              <w:spacing w:after="0"/>
              <w:rPr>
                <w:sz w:val="13"/>
                <w:szCs w:val="13"/>
                <w:color w:val="auto"/>
              </w:rPr>
            </w:pPr>
          </w:p>
        </w:tc>
        <w:tc>
          <w:tcPr>
            <w:tcW w:w="940" w:type="dxa"/>
            <w:vAlign w:val="bottom"/>
            <w:tcBorders>
              <w:top w:val="single" w:sz="8" w:color="00C1DE"/>
              <w:bottom w:val="single" w:sz="8" w:color="00C1DE"/>
            </w:tcBorders>
          </w:tcPr>
          <w:p>
            <w:pPr>
              <w:spacing w:after="0"/>
              <w:rPr>
                <w:sz w:val="13"/>
                <w:szCs w:val="13"/>
                <w:color w:val="auto"/>
              </w:rPr>
            </w:pPr>
          </w:p>
        </w:tc>
        <w:tc>
          <w:tcPr>
            <w:tcW w:w="1340" w:type="dxa"/>
            <w:vAlign w:val="bottom"/>
            <w:tcBorders>
              <w:top w:val="single" w:sz="8" w:color="00C1DE"/>
              <w:bottom w:val="single" w:sz="8" w:color="00C1DE"/>
            </w:tcBorders>
          </w:tcPr>
          <w:p>
            <w:pPr>
              <w:jc w:val="right"/>
              <w:ind w:right="278"/>
              <w:spacing w:after="0"/>
              <w:rPr>
                <w:sz w:val="20"/>
                <w:szCs w:val="20"/>
                <w:color w:val="auto"/>
              </w:rPr>
            </w:pPr>
            <w:r>
              <w:rPr>
                <w:rFonts w:ascii="Arial" w:cs="Arial" w:eastAsia="Arial" w:hAnsi="Arial"/>
                <w:sz w:val="12"/>
                <w:szCs w:val="12"/>
                <w:b w:val="1"/>
                <w:bCs w:val="1"/>
                <w:color w:val="00C1DE"/>
              </w:rPr>
              <w:t>Option Awards</w:t>
            </w:r>
          </w:p>
        </w:tc>
        <w:tc>
          <w:tcPr>
            <w:tcW w:w="700" w:type="dxa"/>
            <w:vAlign w:val="bottom"/>
            <w:tcBorders>
              <w:top w:val="single" w:sz="8" w:color="00C1DE"/>
              <w:bottom w:val="single" w:sz="8" w:color="00C1DE"/>
            </w:tcBorders>
          </w:tcPr>
          <w:p>
            <w:pPr>
              <w:spacing w:after="0"/>
              <w:rPr>
                <w:sz w:val="13"/>
                <w:szCs w:val="13"/>
                <w:color w:val="auto"/>
              </w:rPr>
            </w:pPr>
          </w:p>
        </w:tc>
        <w:tc>
          <w:tcPr>
            <w:tcW w:w="760" w:type="dxa"/>
            <w:vAlign w:val="bottom"/>
            <w:tcBorders>
              <w:top w:val="single" w:sz="8" w:color="00C1DE"/>
              <w:bottom w:val="single" w:sz="8" w:color="00C1DE"/>
            </w:tcBorders>
          </w:tcPr>
          <w:p>
            <w:pPr>
              <w:spacing w:after="0"/>
              <w:rPr>
                <w:sz w:val="13"/>
                <w:szCs w:val="13"/>
                <w:color w:val="auto"/>
              </w:rPr>
            </w:pPr>
          </w:p>
        </w:tc>
        <w:tc>
          <w:tcPr>
            <w:tcW w:w="140" w:type="dxa"/>
            <w:vAlign w:val="bottom"/>
            <w:tcBorders>
              <w:top w:val="single" w:sz="8" w:color="00C1DE"/>
            </w:tcBorders>
          </w:tcPr>
          <w:p>
            <w:pPr>
              <w:spacing w:after="0"/>
              <w:rPr>
                <w:sz w:val="13"/>
                <w:szCs w:val="13"/>
                <w:color w:val="auto"/>
              </w:rPr>
            </w:pPr>
          </w:p>
        </w:tc>
        <w:tc>
          <w:tcPr>
            <w:tcW w:w="1060" w:type="dxa"/>
            <w:vAlign w:val="bottom"/>
            <w:tcBorders>
              <w:top w:val="single" w:sz="8" w:color="00C1DE"/>
              <w:bottom w:val="single" w:sz="8" w:color="00C1DE"/>
            </w:tcBorders>
          </w:tcPr>
          <w:p>
            <w:pPr>
              <w:spacing w:after="0"/>
              <w:rPr>
                <w:sz w:val="13"/>
                <w:szCs w:val="13"/>
                <w:color w:val="auto"/>
              </w:rPr>
            </w:pPr>
          </w:p>
        </w:tc>
        <w:tc>
          <w:tcPr>
            <w:tcW w:w="2220" w:type="dxa"/>
            <w:vAlign w:val="bottom"/>
            <w:tcBorders>
              <w:top w:val="single" w:sz="8" w:color="00C1DE"/>
              <w:bottom w:val="single" w:sz="8" w:color="00C1DE"/>
            </w:tcBorders>
            <w:gridSpan w:val="2"/>
          </w:tcPr>
          <w:p>
            <w:pPr>
              <w:jc w:val="right"/>
              <w:ind w:right="658"/>
              <w:spacing w:after="0"/>
              <w:rPr>
                <w:sz w:val="20"/>
                <w:szCs w:val="20"/>
                <w:color w:val="auto"/>
              </w:rPr>
            </w:pPr>
            <w:r>
              <w:rPr>
                <w:rFonts w:ascii="Arial" w:cs="Arial" w:eastAsia="Arial" w:hAnsi="Arial"/>
                <w:sz w:val="12"/>
                <w:szCs w:val="12"/>
                <w:b w:val="1"/>
                <w:bCs w:val="1"/>
                <w:color w:val="00C1DE"/>
              </w:rPr>
              <w:t>Stock Awards</w:t>
            </w:r>
            <w:r>
              <w:rPr>
                <w:rFonts w:ascii="Arial" w:cs="Arial" w:eastAsia="Arial" w:hAnsi="Arial"/>
                <w:sz w:val="10"/>
                <w:szCs w:val="10"/>
                <w:b w:val="1"/>
                <w:bCs w:val="1"/>
                <w:color w:val="00C1DE"/>
              </w:rPr>
              <w:t>(1)</w:t>
            </w:r>
          </w:p>
        </w:tc>
        <w:tc>
          <w:tcPr>
            <w:tcW w:w="1120" w:type="dxa"/>
            <w:vAlign w:val="bottom"/>
            <w:tcBorders>
              <w:top w:val="single" w:sz="8" w:color="00C1DE"/>
              <w:bottom w:val="single" w:sz="8" w:color="00C1DE"/>
            </w:tcBorders>
          </w:tcPr>
          <w:p>
            <w:pPr>
              <w:spacing w:after="0"/>
              <w:rPr>
                <w:sz w:val="13"/>
                <w:szCs w:val="13"/>
                <w:color w:val="auto"/>
              </w:rPr>
            </w:pPr>
          </w:p>
        </w:tc>
      </w:tr>
      <w:tr>
        <w:trPr>
          <w:trHeight w:val="107"/>
        </w:trPr>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20" w:type="dxa"/>
            <w:vAlign w:val="bottom"/>
          </w:tcPr>
          <w:p>
            <w:pPr>
              <w:jc w:val="right"/>
              <w:ind w:right="158"/>
              <w:spacing w:after="0" w:line="107" w:lineRule="exact"/>
              <w:rPr>
                <w:sz w:val="20"/>
                <w:szCs w:val="20"/>
                <w:color w:val="auto"/>
              </w:rPr>
            </w:pPr>
            <w:r>
              <w:rPr>
                <w:rFonts w:ascii="Arial" w:cs="Arial" w:eastAsia="Arial" w:hAnsi="Arial"/>
                <w:sz w:val="12"/>
                <w:szCs w:val="12"/>
                <w:b w:val="1"/>
                <w:bCs w:val="1"/>
                <w:color w:val="00C1DE"/>
              </w:rPr>
              <w:t>Equity</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Equity</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Incentive</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Incentive</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Plan Awards:</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Plan Awards:</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Market or</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Number of</w:t>
            </w:r>
          </w:p>
        </w:tc>
        <w:tc>
          <w:tcPr>
            <w:tcW w:w="1340" w:type="dxa"/>
            <w:vAlign w:val="bottom"/>
          </w:tcPr>
          <w:p>
            <w:pPr>
              <w:jc w:val="right"/>
              <w:ind w:right="338"/>
              <w:spacing w:after="0" w:line="134" w:lineRule="exact"/>
              <w:rPr>
                <w:sz w:val="20"/>
                <w:szCs w:val="20"/>
                <w:color w:val="auto"/>
              </w:rPr>
            </w:pPr>
            <w:r>
              <w:rPr>
                <w:rFonts w:ascii="Arial" w:cs="Arial" w:eastAsia="Arial" w:hAnsi="Arial"/>
                <w:sz w:val="12"/>
                <w:szCs w:val="12"/>
                <w:b w:val="1"/>
                <w:bCs w:val="1"/>
                <w:color w:val="00C1DE"/>
              </w:rPr>
              <w:t>Number of</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Market</w:t>
            </w: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Number of</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Payout Value</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Securities</w:t>
            </w:r>
          </w:p>
        </w:tc>
        <w:tc>
          <w:tcPr>
            <w:tcW w:w="1340" w:type="dxa"/>
            <w:vAlign w:val="bottom"/>
          </w:tcPr>
          <w:p>
            <w:pPr>
              <w:jc w:val="right"/>
              <w:ind w:right="338"/>
              <w:spacing w:after="0" w:line="134" w:lineRule="exact"/>
              <w:rPr>
                <w:sz w:val="20"/>
                <w:szCs w:val="20"/>
                <w:color w:val="auto"/>
              </w:rPr>
            </w:pPr>
            <w:r>
              <w:rPr>
                <w:rFonts w:ascii="Arial" w:cs="Arial" w:eastAsia="Arial" w:hAnsi="Arial"/>
                <w:sz w:val="12"/>
                <w:szCs w:val="12"/>
                <w:b w:val="1"/>
                <w:bCs w:val="1"/>
                <w:color w:val="00C1DE"/>
              </w:rPr>
              <w:t>Securities</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358"/>
              <w:spacing w:after="0" w:line="134" w:lineRule="exact"/>
              <w:rPr>
                <w:sz w:val="20"/>
                <w:szCs w:val="20"/>
                <w:color w:val="auto"/>
              </w:rPr>
            </w:pPr>
            <w:r>
              <w:rPr>
                <w:rFonts w:ascii="Arial" w:cs="Arial" w:eastAsia="Arial" w:hAnsi="Arial"/>
                <w:sz w:val="12"/>
                <w:szCs w:val="12"/>
                <w:b w:val="1"/>
                <w:bCs w:val="1"/>
                <w:color w:val="00C1DE"/>
              </w:rPr>
              <w:t>Number</w:t>
            </w: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Value of</w:t>
            </w: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Unearned</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of Unearned</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Underlying</w:t>
            </w:r>
          </w:p>
        </w:tc>
        <w:tc>
          <w:tcPr>
            <w:tcW w:w="1340" w:type="dxa"/>
            <w:vAlign w:val="bottom"/>
          </w:tcPr>
          <w:p>
            <w:pPr>
              <w:jc w:val="right"/>
              <w:ind w:right="338"/>
              <w:spacing w:after="0" w:line="134" w:lineRule="exact"/>
              <w:rPr>
                <w:sz w:val="20"/>
                <w:szCs w:val="20"/>
                <w:color w:val="auto"/>
              </w:rPr>
            </w:pPr>
            <w:r>
              <w:rPr>
                <w:rFonts w:ascii="Arial" w:cs="Arial" w:eastAsia="Arial" w:hAnsi="Arial"/>
                <w:sz w:val="12"/>
                <w:szCs w:val="12"/>
                <w:b w:val="1"/>
                <w:bCs w:val="1"/>
                <w:color w:val="00C1DE"/>
              </w:rPr>
              <w:t>Underlying</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358"/>
              <w:spacing w:after="0" w:line="134" w:lineRule="exact"/>
              <w:rPr>
                <w:sz w:val="20"/>
                <w:szCs w:val="20"/>
                <w:color w:val="auto"/>
              </w:rPr>
            </w:pPr>
            <w:r>
              <w:rPr>
                <w:rFonts w:ascii="Arial" w:cs="Arial" w:eastAsia="Arial" w:hAnsi="Arial"/>
                <w:sz w:val="12"/>
                <w:szCs w:val="12"/>
                <w:b w:val="1"/>
                <w:bCs w:val="1"/>
                <w:color w:val="00C1DE"/>
              </w:rPr>
              <w:t>of Shares</w:t>
            </w: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Shares or</w:t>
            </w: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Shares, Units,</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Shares, Units,</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Unexercised</w:t>
            </w:r>
          </w:p>
        </w:tc>
        <w:tc>
          <w:tcPr>
            <w:tcW w:w="1340" w:type="dxa"/>
            <w:vAlign w:val="bottom"/>
          </w:tcPr>
          <w:p>
            <w:pPr>
              <w:jc w:val="right"/>
              <w:ind w:right="338"/>
              <w:spacing w:after="0" w:line="134" w:lineRule="exact"/>
              <w:rPr>
                <w:sz w:val="20"/>
                <w:szCs w:val="20"/>
                <w:color w:val="auto"/>
              </w:rPr>
            </w:pPr>
            <w:r>
              <w:rPr>
                <w:rFonts w:ascii="Arial" w:cs="Arial" w:eastAsia="Arial" w:hAnsi="Arial"/>
                <w:sz w:val="12"/>
                <w:szCs w:val="12"/>
                <w:b w:val="1"/>
                <w:bCs w:val="1"/>
                <w:color w:val="00C1DE"/>
              </w:rPr>
              <w:t>Unexercised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358"/>
              <w:spacing w:after="0" w:line="134" w:lineRule="exact"/>
              <w:rPr>
                <w:sz w:val="20"/>
                <w:szCs w:val="20"/>
                <w:color w:val="auto"/>
              </w:rPr>
            </w:pPr>
            <w:r>
              <w:rPr>
                <w:rFonts w:ascii="Arial" w:cs="Arial" w:eastAsia="Arial" w:hAnsi="Arial"/>
                <w:sz w:val="12"/>
                <w:szCs w:val="12"/>
                <w:b w:val="1"/>
                <w:bCs w:val="1"/>
                <w:color w:val="00C1DE"/>
              </w:rPr>
              <w:t>or Units of</w:t>
            </w: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Units of</w:t>
            </w: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or Other</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or Other</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Options</w:t>
            </w:r>
          </w:p>
        </w:tc>
        <w:tc>
          <w:tcPr>
            <w:tcW w:w="1340" w:type="dxa"/>
            <w:vAlign w:val="bottom"/>
          </w:tcPr>
          <w:p>
            <w:pPr>
              <w:jc w:val="right"/>
              <w:ind w:right="338"/>
              <w:spacing w:after="0" w:line="134" w:lineRule="exact"/>
              <w:rPr>
                <w:sz w:val="20"/>
                <w:szCs w:val="20"/>
                <w:color w:val="auto"/>
              </w:rPr>
            </w:pPr>
            <w:r>
              <w:rPr>
                <w:rFonts w:ascii="Arial" w:cs="Arial" w:eastAsia="Arial" w:hAnsi="Arial"/>
                <w:sz w:val="12"/>
                <w:szCs w:val="12"/>
                <w:b w:val="1"/>
                <w:bCs w:val="1"/>
                <w:color w:val="00C1DE"/>
              </w:rPr>
              <w:t>Options</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Option</w:t>
            </w: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00C1DE"/>
              </w:rPr>
              <w:t>Option</w:t>
            </w:r>
          </w:p>
        </w:tc>
        <w:tc>
          <w:tcPr>
            <w:tcW w:w="1060" w:type="dxa"/>
            <w:vAlign w:val="bottom"/>
          </w:tcPr>
          <w:p>
            <w:pPr>
              <w:jc w:val="right"/>
              <w:ind w:right="358"/>
              <w:spacing w:after="0" w:line="134" w:lineRule="exact"/>
              <w:rPr>
                <w:sz w:val="20"/>
                <w:szCs w:val="20"/>
                <w:color w:val="auto"/>
              </w:rPr>
            </w:pPr>
            <w:r>
              <w:rPr>
                <w:rFonts w:ascii="Arial" w:cs="Arial" w:eastAsia="Arial" w:hAnsi="Arial"/>
                <w:sz w:val="12"/>
                <w:szCs w:val="12"/>
                <w:b w:val="1"/>
                <w:bCs w:val="1"/>
                <w:color w:val="00C1DE"/>
              </w:rPr>
              <w:t>Stock That</w:t>
            </w: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Stock That</w:t>
            </w: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Rights That</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Rights That</w:t>
            </w:r>
          </w:p>
        </w:tc>
      </w:tr>
      <w:tr>
        <w:trPr>
          <w:trHeight w:val="134"/>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Grant</w:t>
            </w: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Exercisable</w:t>
            </w:r>
          </w:p>
        </w:tc>
        <w:tc>
          <w:tcPr>
            <w:tcW w:w="1340" w:type="dxa"/>
            <w:vAlign w:val="bottom"/>
          </w:tcPr>
          <w:p>
            <w:pPr>
              <w:jc w:val="right"/>
              <w:ind w:right="338"/>
              <w:spacing w:after="0" w:line="134" w:lineRule="exact"/>
              <w:rPr>
                <w:sz w:val="20"/>
                <w:szCs w:val="20"/>
                <w:color w:val="auto"/>
              </w:rPr>
            </w:pPr>
            <w:r>
              <w:rPr>
                <w:rFonts w:ascii="Arial" w:cs="Arial" w:eastAsia="Arial" w:hAnsi="Arial"/>
                <w:sz w:val="12"/>
                <w:szCs w:val="12"/>
                <w:b w:val="1"/>
                <w:bCs w:val="1"/>
                <w:color w:val="00C1DE"/>
              </w:rPr>
              <w:t>Unexercisable</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C1DE"/>
              </w:rPr>
              <w:t>Exercise</w:t>
            </w:r>
          </w:p>
        </w:tc>
        <w:tc>
          <w:tcPr>
            <w:tcW w:w="90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00C1DE"/>
              </w:rPr>
              <w:t>Expiration</w:t>
            </w:r>
          </w:p>
        </w:tc>
        <w:tc>
          <w:tcPr>
            <w:tcW w:w="1060" w:type="dxa"/>
            <w:vAlign w:val="bottom"/>
          </w:tcPr>
          <w:p>
            <w:pPr>
              <w:jc w:val="right"/>
              <w:ind w:right="358"/>
              <w:spacing w:after="0" w:line="134" w:lineRule="exact"/>
              <w:rPr>
                <w:sz w:val="20"/>
                <w:szCs w:val="20"/>
                <w:color w:val="auto"/>
              </w:rPr>
            </w:pPr>
            <w:r>
              <w:rPr>
                <w:rFonts w:ascii="Arial" w:cs="Arial" w:eastAsia="Arial" w:hAnsi="Arial"/>
                <w:sz w:val="12"/>
                <w:szCs w:val="12"/>
                <w:b w:val="1"/>
                <w:bCs w:val="1"/>
                <w:color w:val="00C1DE"/>
              </w:rPr>
              <w:t>Have Not</w:t>
            </w: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C1DE"/>
              </w:rPr>
              <w:t>Have Not</w:t>
            </w:r>
          </w:p>
        </w:tc>
        <w:tc>
          <w:tcPr>
            <w:tcW w:w="1380" w:type="dxa"/>
            <w:vAlign w:val="bottom"/>
          </w:tcPr>
          <w:p>
            <w:pPr>
              <w:jc w:val="right"/>
              <w:ind w:right="378"/>
              <w:spacing w:after="0" w:line="134" w:lineRule="exact"/>
              <w:rPr>
                <w:sz w:val="20"/>
                <w:szCs w:val="20"/>
                <w:color w:val="auto"/>
              </w:rPr>
            </w:pPr>
            <w:r>
              <w:rPr>
                <w:rFonts w:ascii="Arial" w:cs="Arial" w:eastAsia="Arial" w:hAnsi="Arial"/>
                <w:sz w:val="12"/>
                <w:szCs w:val="12"/>
                <w:b w:val="1"/>
                <w:bCs w:val="1"/>
                <w:color w:val="00C1DE"/>
              </w:rPr>
              <w:t>Have Not</w:t>
            </w:r>
          </w:p>
        </w:tc>
        <w:tc>
          <w:tcPr>
            <w:tcW w:w="112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C1DE"/>
              </w:rPr>
              <w:t>Have Not</w:t>
            </w:r>
          </w:p>
        </w:tc>
      </w:tr>
      <w:tr>
        <w:trPr>
          <w:trHeight w:val="187"/>
        </w:trPr>
        <w:tc>
          <w:tcPr>
            <w:tcW w:w="1780" w:type="dxa"/>
            <w:vAlign w:val="bottom"/>
            <w:tcBorders>
              <w:bottom w:val="single" w:sz="8" w:color="00C1DE"/>
            </w:tcBorders>
          </w:tcPr>
          <w:p>
            <w:pPr>
              <w:ind w:left="80"/>
              <w:spacing w:after="0"/>
              <w:rPr>
                <w:sz w:val="20"/>
                <w:szCs w:val="20"/>
                <w:color w:val="auto"/>
              </w:rPr>
            </w:pPr>
            <w:r>
              <w:rPr>
                <w:rFonts w:ascii="Arial" w:cs="Arial" w:eastAsia="Arial" w:hAnsi="Arial"/>
                <w:sz w:val="12"/>
                <w:szCs w:val="12"/>
                <w:b w:val="1"/>
                <w:bCs w:val="1"/>
                <w:color w:val="00C1DE"/>
              </w:rPr>
              <w:t>Name</w:t>
            </w:r>
          </w:p>
        </w:tc>
        <w:tc>
          <w:tcPr>
            <w:tcW w:w="160" w:type="dxa"/>
            <w:vAlign w:val="bottom"/>
            <w:tcBorders>
              <w:bottom w:val="single" w:sz="8" w:color="00C1DE"/>
            </w:tcBorders>
          </w:tcPr>
          <w:p>
            <w:pPr>
              <w:spacing w:after="0"/>
              <w:rPr>
                <w:sz w:val="16"/>
                <w:szCs w:val="16"/>
                <w:color w:val="auto"/>
              </w:rPr>
            </w:pPr>
          </w:p>
        </w:tc>
        <w:tc>
          <w:tcPr>
            <w:tcW w:w="70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Date</w:t>
            </w:r>
          </w:p>
        </w:tc>
        <w:tc>
          <w:tcPr>
            <w:tcW w:w="94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w:t>
            </w:r>
          </w:p>
        </w:tc>
        <w:tc>
          <w:tcPr>
            <w:tcW w:w="1340" w:type="dxa"/>
            <w:vAlign w:val="bottom"/>
            <w:tcBorders>
              <w:bottom w:val="single" w:sz="8" w:color="00C1DE"/>
            </w:tcBorders>
          </w:tcPr>
          <w:p>
            <w:pPr>
              <w:jc w:val="right"/>
              <w:ind w:right="338"/>
              <w:spacing w:after="0"/>
              <w:rPr>
                <w:sz w:val="20"/>
                <w:szCs w:val="20"/>
                <w:color w:val="auto"/>
              </w:rPr>
            </w:pPr>
            <w:r>
              <w:rPr>
                <w:rFonts w:ascii="Arial" w:cs="Arial" w:eastAsia="Arial" w:hAnsi="Arial"/>
                <w:sz w:val="12"/>
                <w:szCs w:val="12"/>
                <w:b w:val="1"/>
                <w:bCs w:val="1"/>
                <w:color w:val="00C1DE"/>
              </w:rPr>
              <w:t>(#)</w:t>
            </w:r>
          </w:p>
        </w:tc>
        <w:tc>
          <w:tcPr>
            <w:tcW w:w="700" w:type="dxa"/>
            <w:vAlign w:val="bottom"/>
            <w:tcBorders>
              <w:bottom w:val="single" w:sz="8" w:color="00C1DE"/>
            </w:tcBorders>
          </w:tcPr>
          <w:p>
            <w:pPr>
              <w:jc w:val="right"/>
              <w:ind w:right="18"/>
              <w:spacing w:after="0"/>
              <w:rPr>
                <w:sz w:val="20"/>
                <w:szCs w:val="20"/>
                <w:color w:val="auto"/>
              </w:rPr>
            </w:pPr>
            <w:r>
              <w:rPr>
                <w:rFonts w:ascii="Arial" w:cs="Arial" w:eastAsia="Arial" w:hAnsi="Arial"/>
                <w:sz w:val="12"/>
                <w:szCs w:val="12"/>
                <w:b w:val="1"/>
                <w:bCs w:val="1"/>
                <w:color w:val="00C1DE"/>
              </w:rPr>
              <w:t>Price ($)</w:t>
            </w:r>
          </w:p>
        </w:tc>
        <w:tc>
          <w:tcPr>
            <w:tcW w:w="900" w:type="dxa"/>
            <w:vAlign w:val="bottom"/>
            <w:tcBorders>
              <w:bottom w:val="single" w:sz="8" w:color="00C1DE"/>
            </w:tcBorders>
            <w:gridSpan w:val="2"/>
          </w:tcPr>
          <w:p>
            <w:pPr>
              <w:jc w:val="right"/>
              <w:ind w:right="180"/>
              <w:spacing w:after="0"/>
              <w:rPr>
                <w:sz w:val="20"/>
                <w:szCs w:val="20"/>
                <w:color w:val="auto"/>
              </w:rPr>
            </w:pPr>
            <w:r>
              <w:rPr>
                <w:rFonts w:ascii="Arial" w:cs="Arial" w:eastAsia="Arial" w:hAnsi="Arial"/>
                <w:sz w:val="12"/>
                <w:szCs w:val="12"/>
                <w:b w:val="1"/>
                <w:bCs w:val="1"/>
                <w:color w:val="00C1DE"/>
              </w:rPr>
              <w:t>Date</w:t>
            </w:r>
          </w:p>
        </w:tc>
        <w:tc>
          <w:tcPr>
            <w:tcW w:w="1060" w:type="dxa"/>
            <w:vAlign w:val="bottom"/>
            <w:tcBorders>
              <w:bottom w:val="single" w:sz="8" w:color="00C1DE"/>
            </w:tcBorders>
          </w:tcPr>
          <w:p>
            <w:pPr>
              <w:jc w:val="right"/>
              <w:ind w:right="358"/>
              <w:spacing w:after="0"/>
              <w:rPr>
                <w:sz w:val="20"/>
                <w:szCs w:val="20"/>
                <w:color w:val="auto"/>
              </w:rPr>
            </w:pPr>
            <w:r>
              <w:rPr>
                <w:rFonts w:ascii="Arial" w:cs="Arial" w:eastAsia="Arial" w:hAnsi="Arial"/>
                <w:sz w:val="12"/>
                <w:szCs w:val="12"/>
                <w:b w:val="1"/>
                <w:bCs w:val="1"/>
                <w:color w:val="00C1DE"/>
              </w:rPr>
              <w:t>Vested (#)</w:t>
            </w:r>
          </w:p>
        </w:tc>
        <w:tc>
          <w:tcPr>
            <w:tcW w:w="840" w:type="dxa"/>
            <w:vAlign w:val="bottom"/>
            <w:tcBorders>
              <w:bottom w:val="single" w:sz="8" w:color="00C1DE"/>
            </w:tcBorders>
          </w:tcPr>
          <w:p>
            <w:pPr>
              <w:jc w:val="right"/>
              <w:ind w:right="38"/>
              <w:spacing w:after="0"/>
              <w:rPr>
                <w:sz w:val="20"/>
                <w:szCs w:val="20"/>
                <w:color w:val="auto"/>
              </w:rPr>
            </w:pPr>
            <w:r>
              <w:rPr>
                <w:rFonts w:ascii="Arial" w:cs="Arial" w:eastAsia="Arial" w:hAnsi="Arial"/>
                <w:sz w:val="12"/>
                <w:szCs w:val="12"/>
                <w:b w:val="1"/>
                <w:bCs w:val="1"/>
                <w:color w:val="00C1DE"/>
              </w:rPr>
              <w:t>Vested ($)</w:t>
            </w:r>
          </w:p>
        </w:tc>
        <w:tc>
          <w:tcPr>
            <w:tcW w:w="1380" w:type="dxa"/>
            <w:vAlign w:val="bottom"/>
            <w:tcBorders>
              <w:bottom w:val="single" w:sz="8" w:color="00C1DE"/>
            </w:tcBorders>
          </w:tcPr>
          <w:p>
            <w:pPr>
              <w:jc w:val="right"/>
              <w:ind w:right="378"/>
              <w:spacing w:after="0"/>
              <w:rPr>
                <w:sz w:val="20"/>
                <w:szCs w:val="20"/>
                <w:color w:val="auto"/>
              </w:rPr>
            </w:pPr>
            <w:r>
              <w:rPr>
                <w:rFonts w:ascii="Arial" w:cs="Arial" w:eastAsia="Arial" w:hAnsi="Arial"/>
                <w:sz w:val="12"/>
                <w:szCs w:val="12"/>
                <w:b w:val="1"/>
                <w:bCs w:val="1"/>
                <w:color w:val="00C1DE"/>
              </w:rPr>
              <w:t>Vested (#)</w:t>
            </w:r>
          </w:p>
        </w:tc>
        <w:tc>
          <w:tcPr>
            <w:tcW w:w="1120" w:type="dxa"/>
            <w:vAlign w:val="bottom"/>
            <w:tcBorders>
              <w:bottom w:val="single" w:sz="8" w:color="00C1DE"/>
            </w:tcBorders>
          </w:tcPr>
          <w:p>
            <w:pPr>
              <w:jc w:val="right"/>
              <w:ind w:right="158"/>
              <w:spacing w:after="0"/>
              <w:rPr>
                <w:sz w:val="20"/>
                <w:szCs w:val="20"/>
                <w:color w:val="auto"/>
              </w:rPr>
            </w:pPr>
            <w:r>
              <w:rPr>
                <w:rFonts w:ascii="Arial" w:cs="Arial" w:eastAsia="Arial" w:hAnsi="Arial"/>
                <w:sz w:val="12"/>
                <w:szCs w:val="12"/>
                <w:b w:val="1"/>
                <w:bCs w:val="1"/>
                <w:color w:val="00C1DE"/>
              </w:rPr>
              <w:t>Vested ($)</w:t>
            </w:r>
          </w:p>
        </w:tc>
      </w:tr>
      <w:tr>
        <w:trPr>
          <w:trHeight w:val="196"/>
        </w:trPr>
        <w:tc>
          <w:tcPr>
            <w:tcW w:w="1780" w:type="dxa"/>
            <w:vAlign w:val="bottom"/>
          </w:tcPr>
          <w:p>
            <w:pPr>
              <w:ind w:left="80"/>
              <w:spacing w:after="0"/>
              <w:rPr>
                <w:sz w:val="20"/>
                <w:szCs w:val="20"/>
                <w:color w:val="auto"/>
              </w:rPr>
            </w:pPr>
            <w:r>
              <w:rPr>
                <w:rFonts w:ascii="Arial" w:cs="Arial" w:eastAsia="Arial" w:hAnsi="Arial"/>
                <w:sz w:val="12"/>
                <w:szCs w:val="12"/>
                <w:color w:val="3E3935"/>
              </w:rPr>
              <w:t>Mary T. Barra</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4,680</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194,875</w:t>
            </w: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744,048</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316,991</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13,199,505</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156,667</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313,333</w:t>
            </w:r>
            <w:r>
              <w:rPr>
                <w:rFonts w:ascii="Arial" w:cs="Arial" w:eastAsia="Arial" w:hAnsi="Arial"/>
                <w:sz w:val="10"/>
                <w:szCs w:val="10"/>
                <w:color w:val="3E3935"/>
              </w:rPr>
              <w:t>(3)</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271,154</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11,290,853</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2/13/2018</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275,765</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137,883</w:t>
            </w:r>
            <w:r>
              <w:rPr>
                <w:rFonts w:ascii="Arial" w:cs="Arial" w:eastAsia="Arial" w:hAnsi="Arial"/>
                <w:sz w:val="10"/>
                <w:szCs w:val="10"/>
                <w:color w:val="3E3935"/>
              </w:rPr>
              <w:t>(4)</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41.40</w:t>
            </w:r>
          </w:p>
        </w:tc>
        <w:tc>
          <w:tcPr>
            <w:tcW w:w="760" w:type="dxa"/>
            <w:vAlign w:val="bottom"/>
          </w:tcPr>
          <w:p>
            <w:pPr>
              <w:jc w:val="right"/>
              <w:spacing w:after="0"/>
              <w:rPr>
                <w:sz w:val="20"/>
                <w:szCs w:val="20"/>
                <w:color w:val="auto"/>
              </w:rPr>
            </w:pPr>
            <w:r>
              <w:rPr>
                <w:rFonts w:ascii="Arial" w:cs="Arial" w:eastAsia="Arial" w:hAnsi="Arial"/>
                <w:sz w:val="12"/>
                <w:szCs w:val="12"/>
                <w:color w:val="3E3935"/>
              </w:rPr>
              <w:t>2/11/2028</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464,114</w:t>
            </w:r>
            <w:r>
              <w:rPr>
                <w:rFonts w:ascii="Arial" w:cs="Arial" w:eastAsia="Arial" w:hAnsi="Arial"/>
                <w:sz w:val="10"/>
                <w:szCs w:val="10"/>
                <w:color w:val="3E3935"/>
              </w:rPr>
              <w:t>(9)</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19,325,707</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Paul A. Jacobson</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12/1/2020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37,961</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44.68</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55,954</w:t>
            </w:r>
            <w:r>
              <w:rPr>
                <w:rFonts w:ascii="Arial" w:cs="Arial" w:eastAsia="Arial" w:hAnsi="Arial"/>
                <w:sz w:val="10"/>
                <w:szCs w:val="10"/>
                <w:color w:val="3E3935"/>
              </w:rPr>
              <w:t>(7)</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2,329,925</w:t>
            </w:r>
          </w:p>
        </w:tc>
        <w:tc>
          <w:tcPr>
            <w:tcW w:w="1380" w:type="dxa"/>
            <w:vAlign w:val="bottom"/>
          </w:tcPr>
          <w:p>
            <w:pPr>
              <w:jc w:val="right"/>
              <w:spacing w:after="0"/>
              <w:rPr>
                <w:sz w:val="20"/>
                <w:szCs w:val="20"/>
                <w:color w:val="auto"/>
              </w:rPr>
            </w:pPr>
            <w:r>
              <w:rPr>
                <w:rFonts w:ascii="Arial" w:cs="Arial" w:eastAsia="Arial" w:hAnsi="Arial"/>
                <w:sz w:val="12"/>
                <w:szCs w:val="12"/>
                <w:color w:val="3E3935"/>
              </w:rPr>
              <w:t>35,251</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1,467,852</w:t>
            </w:r>
            <w:r>
              <w:rPr>
                <w:rFonts w:ascii="Arial" w:cs="Arial" w:eastAsia="Arial" w:hAnsi="Arial"/>
                <w:sz w:val="10"/>
                <w:szCs w:val="10"/>
                <w:color w:val="3E3935"/>
              </w:rPr>
              <w:t>(11)</w:t>
            </w: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Mark L. Reuss</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2,897</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120,631</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295,139</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125,740</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5,235,814</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53,334</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106,666</w:t>
            </w:r>
            <w:r>
              <w:rPr>
                <w:rFonts w:ascii="Arial" w:cs="Arial" w:eastAsia="Arial" w:hAnsi="Arial"/>
                <w:sz w:val="10"/>
                <w:szCs w:val="10"/>
                <w:color w:val="3E3935"/>
              </w:rPr>
              <w:t>(3)</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92,308</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3,843,705</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2/13/2018</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81,522</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40,761</w:t>
            </w:r>
            <w:r>
              <w:rPr>
                <w:rFonts w:ascii="Arial" w:cs="Arial" w:eastAsia="Arial" w:hAnsi="Arial"/>
                <w:sz w:val="10"/>
                <w:szCs w:val="10"/>
                <w:color w:val="3E3935"/>
              </w:rPr>
              <w:t>(4)</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41.40</w:t>
            </w:r>
          </w:p>
        </w:tc>
        <w:tc>
          <w:tcPr>
            <w:tcW w:w="760" w:type="dxa"/>
            <w:vAlign w:val="bottom"/>
          </w:tcPr>
          <w:p>
            <w:pPr>
              <w:jc w:val="right"/>
              <w:spacing w:after="0"/>
              <w:rPr>
                <w:sz w:val="20"/>
                <w:szCs w:val="20"/>
                <w:color w:val="auto"/>
              </w:rPr>
            </w:pPr>
            <w:r>
              <w:rPr>
                <w:rFonts w:ascii="Arial" w:cs="Arial" w:eastAsia="Arial" w:hAnsi="Arial"/>
                <w:sz w:val="12"/>
                <w:szCs w:val="12"/>
                <w:color w:val="3E3935"/>
              </w:rPr>
              <w:t>2/11/2028</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137,202</w:t>
            </w:r>
            <w:r>
              <w:rPr>
                <w:rFonts w:ascii="Arial" w:cs="Arial" w:eastAsia="Arial" w:hAnsi="Arial"/>
                <w:sz w:val="10"/>
                <w:szCs w:val="10"/>
                <w:color w:val="3E3935"/>
              </w:rPr>
              <w:t>(9)</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5,713,091</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Douglas L. Parks</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10/1/2020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33,417</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30.38</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32,867</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1,368,582</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1,727</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71,912</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136,717</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58,246</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2,425,363</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8,167</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16,333</w:t>
            </w:r>
            <w:r>
              <w:rPr>
                <w:rFonts w:ascii="Arial" w:cs="Arial" w:eastAsia="Arial" w:hAnsi="Arial"/>
                <w:sz w:val="10"/>
                <w:szCs w:val="10"/>
                <w:color w:val="3E3935"/>
              </w:rPr>
              <w:t>(3)</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14,135</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588,581</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2/13/2018</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14,795</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7,398</w:t>
            </w:r>
            <w:r>
              <w:rPr>
                <w:rFonts w:ascii="Arial" w:cs="Arial" w:eastAsia="Arial" w:hAnsi="Arial"/>
                <w:sz w:val="10"/>
                <w:szCs w:val="10"/>
                <w:color w:val="3E3935"/>
              </w:rPr>
              <w:t>(4)</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41.40</w:t>
            </w:r>
          </w:p>
        </w:tc>
        <w:tc>
          <w:tcPr>
            <w:tcW w:w="760" w:type="dxa"/>
            <w:vAlign w:val="bottom"/>
          </w:tcPr>
          <w:p>
            <w:pPr>
              <w:jc w:val="right"/>
              <w:spacing w:after="0"/>
              <w:rPr>
                <w:sz w:val="20"/>
                <w:szCs w:val="20"/>
                <w:color w:val="auto"/>
              </w:rPr>
            </w:pPr>
            <w:r>
              <w:rPr>
                <w:rFonts w:ascii="Arial" w:cs="Arial" w:eastAsia="Arial" w:hAnsi="Arial"/>
                <w:sz w:val="12"/>
                <w:szCs w:val="12"/>
                <w:color w:val="3E3935"/>
              </w:rPr>
              <w:t>2/11/2028</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24,901</w:t>
            </w:r>
            <w:r>
              <w:rPr>
                <w:rFonts w:ascii="Arial" w:cs="Arial" w:eastAsia="Arial" w:hAnsi="Arial"/>
                <w:sz w:val="10"/>
                <w:szCs w:val="10"/>
                <w:color w:val="3E3935"/>
              </w:rPr>
              <w:t>(9)</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1,036,878</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Stephen K. Carlisle</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12/1/2020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6,715</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279,613</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10/1/2020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49,574</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30.38</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48,758</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2,030,283</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1,560</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64,958</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2/12/2020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75,645</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32,228</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1,341,974</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15,278</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30,556</w:t>
            </w:r>
            <w:r>
              <w:rPr>
                <w:rFonts w:ascii="Arial" w:cs="Arial" w:eastAsia="Arial" w:hAnsi="Arial"/>
                <w:sz w:val="10"/>
                <w:szCs w:val="10"/>
                <w:color w:val="3E3935"/>
              </w:rPr>
              <w:t>(3)</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26,443</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1,101,087</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7/2/2018</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12,377</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6,188</w:t>
            </w:r>
            <w:r>
              <w:rPr>
                <w:rFonts w:ascii="Arial" w:cs="Arial" w:eastAsia="Arial" w:hAnsi="Arial"/>
                <w:sz w:val="10"/>
                <w:szCs w:val="10"/>
                <w:color w:val="3E3935"/>
              </w:rPr>
              <w:t>(4)</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39.50</w:t>
            </w:r>
          </w:p>
        </w:tc>
        <w:tc>
          <w:tcPr>
            <w:tcW w:w="760" w:type="dxa"/>
            <w:vAlign w:val="bottom"/>
          </w:tcPr>
          <w:p>
            <w:pPr>
              <w:jc w:val="right"/>
              <w:spacing w:after="0"/>
              <w:rPr>
                <w:sz w:val="20"/>
                <w:szCs w:val="20"/>
                <w:color w:val="auto"/>
              </w:rPr>
            </w:pPr>
            <w:r>
              <w:rPr>
                <w:rFonts w:ascii="Arial" w:cs="Arial" w:eastAsia="Arial" w:hAnsi="Arial"/>
                <w:sz w:val="12"/>
                <w:szCs w:val="12"/>
                <w:color w:val="3E3935"/>
              </w:rPr>
              <w:t>2/11/2028</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18,643</w:t>
            </w:r>
            <w:r>
              <w:rPr>
                <w:rFonts w:ascii="Arial" w:cs="Arial" w:eastAsia="Arial" w:hAnsi="Arial"/>
                <w:sz w:val="10"/>
                <w:szCs w:val="10"/>
                <w:color w:val="3E3935"/>
              </w:rPr>
              <w:t>(9)</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776,295</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2/13/2018</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16,204</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8,102</w:t>
            </w:r>
            <w:r>
              <w:rPr>
                <w:rFonts w:ascii="Arial" w:cs="Arial" w:eastAsia="Arial" w:hAnsi="Arial"/>
                <w:sz w:val="10"/>
                <w:szCs w:val="10"/>
                <w:color w:val="3E3935"/>
              </w:rPr>
              <w:t>(4)</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41.40</w:t>
            </w:r>
          </w:p>
        </w:tc>
        <w:tc>
          <w:tcPr>
            <w:tcW w:w="760" w:type="dxa"/>
            <w:vAlign w:val="bottom"/>
          </w:tcPr>
          <w:p>
            <w:pPr>
              <w:jc w:val="right"/>
              <w:spacing w:after="0"/>
              <w:rPr>
                <w:sz w:val="20"/>
                <w:szCs w:val="20"/>
                <w:color w:val="auto"/>
              </w:rPr>
            </w:pPr>
            <w:r>
              <w:rPr>
                <w:rFonts w:ascii="Arial" w:cs="Arial" w:eastAsia="Arial" w:hAnsi="Arial"/>
                <w:sz w:val="12"/>
                <w:szCs w:val="12"/>
                <w:color w:val="3E3935"/>
              </w:rPr>
              <w:t>2/11/2028</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27,273</w:t>
            </w:r>
            <w:r>
              <w:rPr>
                <w:rFonts w:ascii="Arial" w:cs="Arial" w:eastAsia="Arial" w:hAnsi="Arial"/>
                <w:sz w:val="10"/>
                <w:szCs w:val="10"/>
                <w:color w:val="3E3935"/>
              </w:rPr>
              <w:t>(9)</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1,135,648</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Dhivya Suryadevara</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2,136</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88,943</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John P. Stapleton</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10/1/2020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32,917</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1,370,664</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1,255</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52,258</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2/12/2020</w:t>
            </w:r>
          </w:p>
        </w:tc>
        <w:tc>
          <w:tcPr>
            <w:tcW w:w="940" w:type="dxa"/>
            <w:vAlign w:val="bottom"/>
          </w:tcPr>
          <w:p>
            <w:pPr>
              <w:spacing w:after="0"/>
              <w:rPr>
                <w:sz w:val="16"/>
                <w:szCs w:val="16"/>
                <w:color w:val="auto"/>
              </w:rPr>
            </w:pP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44,643</w:t>
            </w:r>
            <w:r>
              <w:rPr>
                <w:rFonts w:ascii="Arial" w:cs="Arial" w:eastAsia="Arial" w:hAnsi="Arial"/>
                <w:sz w:val="10"/>
                <w:szCs w:val="10"/>
                <w:color w:val="3E3935"/>
              </w:rPr>
              <w:t>(2)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2/12/2030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19,020</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791,993</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2/13/2019</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10,000</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20,000</w:t>
            </w:r>
            <w:r>
              <w:rPr>
                <w:rFonts w:ascii="Arial" w:cs="Arial" w:eastAsia="Arial" w:hAnsi="Arial"/>
                <w:sz w:val="10"/>
                <w:szCs w:val="10"/>
                <w:color w:val="3E3935"/>
              </w:rPr>
              <w:t>(3)</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2/13/2029</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3E3935"/>
              </w:rPr>
              <w:t>17,308</w:t>
            </w:r>
            <w:r>
              <w:rPr>
                <w:rFonts w:ascii="Arial" w:cs="Arial" w:eastAsia="Arial" w:hAnsi="Arial"/>
                <w:sz w:val="10"/>
                <w:szCs w:val="10"/>
                <w:color w:val="3E3935"/>
              </w:rPr>
              <w:t>(10)(11)</w:t>
            </w:r>
          </w:p>
        </w:tc>
        <w:tc>
          <w:tcPr>
            <w:tcW w:w="1120" w:type="dxa"/>
            <w:vAlign w:val="bottom"/>
          </w:tcPr>
          <w:p>
            <w:pPr>
              <w:jc w:val="right"/>
              <w:spacing w:after="0"/>
              <w:rPr>
                <w:sz w:val="20"/>
                <w:szCs w:val="20"/>
                <w:color w:val="auto"/>
              </w:rPr>
            </w:pPr>
            <w:r>
              <w:rPr>
                <w:rFonts w:ascii="Arial" w:cs="Arial" w:eastAsia="Arial" w:hAnsi="Arial"/>
                <w:sz w:val="12"/>
                <w:szCs w:val="12"/>
                <w:color w:val="3E3935"/>
              </w:rPr>
              <w:t>720,705</w:t>
            </w:r>
            <w:r>
              <w:rPr>
                <w:rFonts w:ascii="Arial" w:cs="Arial" w:eastAsia="Arial" w:hAnsi="Arial"/>
                <w:sz w:val="10"/>
                <w:szCs w:val="10"/>
                <w:color w:val="3E3935"/>
              </w:rPr>
              <w:t>(11)</w:t>
            </w: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10/1/2018</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17,544</w:t>
            </w:r>
            <w:r>
              <w:rPr>
                <w:rFonts w:ascii="Arial" w:cs="Arial" w:eastAsia="Arial" w:hAnsi="Arial"/>
                <w:sz w:val="10"/>
                <w:szCs w:val="10"/>
                <w:color w:val="3E3935"/>
              </w:rPr>
              <w:t>(8)</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730,532</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2/13/2018</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14,795</w:t>
            </w:r>
          </w:p>
        </w:tc>
        <w:tc>
          <w:tcPr>
            <w:tcW w:w="1340" w:type="dxa"/>
            <w:vAlign w:val="bottom"/>
          </w:tcPr>
          <w:p>
            <w:pPr>
              <w:jc w:val="right"/>
              <w:ind w:right="218"/>
              <w:spacing w:after="0"/>
              <w:rPr>
                <w:sz w:val="20"/>
                <w:szCs w:val="20"/>
                <w:color w:val="auto"/>
              </w:rPr>
            </w:pPr>
            <w:r>
              <w:rPr>
                <w:rFonts w:ascii="Arial" w:cs="Arial" w:eastAsia="Arial" w:hAnsi="Arial"/>
                <w:sz w:val="12"/>
                <w:szCs w:val="12"/>
                <w:color w:val="3E3935"/>
              </w:rPr>
              <w:t>7,398</w:t>
            </w:r>
            <w:r>
              <w:rPr>
                <w:rFonts w:ascii="Arial" w:cs="Arial" w:eastAsia="Arial" w:hAnsi="Arial"/>
                <w:sz w:val="10"/>
                <w:szCs w:val="10"/>
                <w:color w:val="3E3935"/>
              </w:rPr>
              <w:t>(4)</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41.40</w:t>
            </w:r>
          </w:p>
        </w:tc>
        <w:tc>
          <w:tcPr>
            <w:tcW w:w="760" w:type="dxa"/>
            <w:vAlign w:val="bottom"/>
          </w:tcPr>
          <w:p>
            <w:pPr>
              <w:jc w:val="right"/>
              <w:spacing w:after="0"/>
              <w:rPr>
                <w:sz w:val="20"/>
                <w:szCs w:val="20"/>
                <w:color w:val="auto"/>
              </w:rPr>
            </w:pPr>
            <w:r>
              <w:rPr>
                <w:rFonts w:ascii="Arial" w:cs="Arial" w:eastAsia="Arial" w:hAnsi="Arial"/>
                <w:sz w:val="12"/>
                <w:szCs w:val="12"/>
                <w:color w:val="3E3935"/>
              </w:rPr>
              <w:t>2/11/2028</w:t>
            </w: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24,901</w:t>
            </w:r>
            <w:r>
              <w:rPr>
                <w:rFonts w:ascii="Arial" w:cs="Arial" w:eastAsia="Arial" w:hAnsi="Arial"/>
                <w:sz w:val="10"/>
                <w:szCs w:val="10"/>
                <w:color w:val="3E3935"/>
              </w:rPr>
              <w:t>(9)</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1,036,878</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Borders>
              <w:bottom w:val="single" w:sz="8" w:color="3E3935"/>
            </w:tcBorders>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ind w:left="80"/>
              <w:spacing w:after="0"/>
              <w:rPr>
                <w:sz w:val="20"/>
                <w:szCs w:val="20"/>
                <w:color w:val="auto"/>
              </w:rPr>
            </w:pPr>
            <w:r>
              <w:rPr>
                <w:rFonts w:ascii="Arial" w:cs="Arial" w:eastAsia="Arial" w:hAnsi="Arial"/>
                <w:sz w:val="12"/>
                <w:szCs w:val="12"/>
                <w:color w:val="3E3935"/>
              </w:rPr>
              <w:t>Barry L. Engle II</w:t>
            </w: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7/6/2020</w:t>
            </w:r>
          </w:p>
        </w:tc>
        <w:tc>
          <w:tcPr>
            <w:tcW w:w="940" w:type="dxa"/>
            <w:vAlign w:val="bottom"/>
          </w:tcPr>
          <w:p>
            <w:pPr>
              <w:spacing w:after="0"/>
              <w:rPr>
                <w:sz w:val="16"/>
                <w:szCs w:val="16"/>
                <w:color w:val="auto"/>
              </w:rPr>
            </w:pPr>
          </w:p>
        </w:tc>
        <w:tc>
          <w:tcPr>
            <w:tcW w:w="1340" w:type="dxa"/>
            <w:vAlign w:val="bottom"/>
          </w:tcPr>
          <w:p>
            <w:pPr>
              <w:jc w:val="right"/>
              <w:ind w:right="18"/>
              <w:spacing w:after="0"/>
              <w:rPr>
                <w:sz w:val="20"/>
                <w:szCs w:val="20"/>
                <w:color w:val="auto"/>
              </w:rPr>
            </w:pPr>
            <w:r>
              <w:rPr>
                <w:rFonts w:ascii="Arial" w:cs="Arial" w:eastAsia="Arial" w:hAnsi="Arial"/>
                <w:sz w:val="12"/>
                <w:szCs w:val="12"/>
                <w:color w:val="3E3935"/>
              </w:rPr>
              <w:t>70,065</w:t>
            </w:r>
            <w:r>
              <w:rPr>
                <w:rFonts w:ascii="Arial" w:cs="Arial" w:eastAsia="Arial" w:hAnsi="Arial"/>
                <w:sz w:val="10"/>
                <w:szCs w:val="10"/>
                <w:color w:val="3E3935"/>
              </w:rPr>
              <w:t>(5)(12)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35.49</w:t>
            </w:r>
          </w:p>
        </w:tc>
        <w:tc>
          <w:tcPr>
            <w:tcW w:w="760" w:type="dxa"/>
            <w:vAlign w:val="bottom"/>
          </w:tcPr>
          <w:p>
            <w:pPr>
              <w:jc w:val="right"/>
              <w:spacing w:after="0"/>
              <w:rPr>
                <w:sz w:val="20"/>
                <w:szCs w:val="20"/>
                <w:color w:val="auto"/>
              </w:rPr>
            </w:pPr>
            <w:r>
              <w:rPr>
                <w:rFonts w:ascii="Arial" w:cs="Arial" w:eastAsia="Arial" w:hAnsi="Arial"/>
                <w:sz w:val="12"/>
                <w:szCs w:val="12"/>
                <w:color w:val="3E3935"/>
              </w:rPr>
              <w:t>8/31/2021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7/6/2020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10,482</w:t>
            </w:r>
          </w:p>
        </w:tc>
        <w:tc>
          <w:tcPr>
            <w:tcW w:w="1340" w:type="dxa"/>
            <w:vAlign w:val="bottom"/>
          </w:tcPr>
          <w:p>
            <w:pPr>
              <w:jc w:val="right"/>
              <w:ind w:right="18"/>
              <w:spacing w:after="0"/>
              <w:rPr>
                <w:sz w:val="20"/>
                <w:szCs w:val="20"/>
                <w:color w:val="auto"/>
              </w:rPr>
            </w:pPr>
            <w:r>
              <w:rPr>
                <w:rFonts w:ascii="Arial" w:cs="Arial" w:eastAsia="Arial" w:hAnsi="Arial"/>
                <w:sz w:val="12"/>
                <w:szCs w:val="12"/>
                <w:color w:val="3E3935"/>
              </w:rPr>
              <w:t>10,483</w:t>
            </w:r>
            <w:r>
              <w:rPr>
                <w:rFonts w:ascii="Arial" w:cs="Arial" w:eastAsia="Arial" w:hAnsi="Arial"/>
                <w:sz w:val="10"/>
                <w:szCs w:val="10"/>
                <w:color w:val="3E3935"/>
              </w:rPr>
              <w:t>(5)(12)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37.76</w:t>
            </w:r>
          </w:p>
        </w:tc>
        <w:tc>
          <w:tcPr>
            <w:tcW w:w="760" w:type="dxa"/>
            <w:vAlign w:val="bottom"/>
          </w:tcPr>
          <w:p>
            <w:pPr>
              <w:jc w:val="right"/>
              <w:spacing w:after="0"/>
              <w:rPr>
                <w:sz w:val="20"/>
                <w:szCs w:val="20"/>
                <w:color w:val="auto"/>
              </w:rPr>
            </w:pPr>
            <w:r>
              <w:rPr>
                <w:rFonts w:ascii="Arial" w:cs="Arial" w:eastAsia="Arial" w:hAnsi="Arial"/>
                <w:sz w:val="12"/>
                <w:szCs w:val="12"/>
                <w:color w:val="3E3935"/>
              </w:rPr>
              <w:t>8/31/2021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7/6/2020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26,667</w:t>
            </w:r>
          </w:p>
        </w:tc>
        <w:tc>
          <w:tcPr>
            <w:tcW w:w="1340" w:type="dxa"/>
            <w:vAlign w:val="bottom"/>
          </w:tcPr>
          <w:p>
            <w:pPr>
              <w:jc w:val="right"/>
              <w:ind w:right="18"/>
              <w:spacing w:after="0"/>
              <w:rPr>
                <w:sz w:val="20"/>
                <w:szCs w:val="20"/>
                <w:color w:val="auto"/>
              </w:rPr>
            </w:pPr>
            <w:r>
              <w:rPr>
                <w:rFonts w:ascii="Arial" w:cs="Arial" w:eastAsia="Arial" w:hAnsi="Arial"/>
                <w:sz w:val="12"/>
                <w:szCs w:val="12"/>
                <w:color w:val="3E3935"/>
              </w:rPr>
              <w:t>26,667</w:t>
            </w:r>
            <w:r>
              <w:rPr>
                <w:rFonts w:ascii="Arial" w:cs="Arial" w:eastAsia="Arial" w:hAnsi="Arial"/>
                <w:sz w:val="10"/>
                <w:szCs w:val="10"/>
                <w:color w:val="3E3935"/>
              </w:rPr>
              <w:t>(5)(12)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39.00</w:t>
            </w:r>
          </w:p>
        </w:tc>
        <w:tc>
          <w:tcPr>
            <w:tcW w:w="760" w:type="dxa"/>
            <w:vAlign w:val="bottom"/>
          </w:tcPr>
          <w:p>
            <w:pPr>
              <w:jc w:val="right"/>
              <w:spacing w:after="0"/>
              <w:rPr>
                <w:sz w:val="20"/>
                <w:szCs w:val="20"/>
                <w:color w:val="auto"/>
              </w:rPr>
            </w:pPr>
            <w:r>
              <w:rPr>
                <w:rFonts w:ascii="Arial" w:cs="Arial" w:eastAsia="Arial" w:hAnsi="Arial"/>
                <w:sz w:val="12"/>
                <w:szCs w:val="12"/>
                <w:color w:val="3E3935"/>
              </w:rPr>
              <w:t>8/31/2021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7/6/2020</w:t>
            </w:r>
          </w:p>
        </w:tc>
        <w:tc>
          <w:tcPr>
            <w:tcW w:w="940" w:type="dxa"/>
            <w:vAlign w:val="bottom"/>
          </w:tcPr>
          <w:p>
            <w:pPr>
              <w:jc w:val="right"/>
              <w:ind w:right="38"/>
              <w:spacing w:after="0"/>
              <w:rPr>
                <w:sz w:val="20"/>
                <w:szCs w:val="20"/>
                <w:color w:val="auto"/>
              </w:rPr>
            </w:pPr>
            <w:r>
              <w:rPr>
                <w:rFonts w:ascii="Arial" w:cs="Arial" w:eastAsia="Arial" w:hAnsi="Arial"/>
                <w:sz w:val="12"/>
                <w:szCs w:val="12"/>
                <w:color w:val="3E3935"/>
              </w:rPr>
              <w:t>44,284</w:t>
            </w:r>
          </w:p>
        </w:tc>
        <w:tc>
          <w:tcPr>
            <w:tcW w:w="1340" w:type="dxa"/>
            <w:vAlign w:val="bottom"/>
          </w:tcPr>
          <w:p>
            <w:pPr>
              <w:jc w:val="right"/>
              <w:ind w:right="18"/>
              <w:spacing w:after="0"/>
              <w:rPr>
                <w:sz w:val="20"/>
                <w:szCs w:val="20"/>
                <w:color w:val="auto"/>
              </w:rPr>
            </w:pPr>
            <w:r>
              <w:rPr>
                <w:rFonts w:ascii="Arial" w:cs="Arial" w:eastAsia="Arial" w:hAnsi="Arial"/>
                <w:sz w:val="12"/>
                <w:szCs w:val="12"/>
                <w:color w:val="3E3935"/>
              </w:rPr>
              <w:t>22,142</w:t>
            </w:r>
            <w:r>
              <w:rPr>
                <w:rFonts w:ascii="Arial" w:cs="Arial" w:eastAsia="Arial" w:hAnsi="Arial"/>
                <w:sz w:val="10"/>
                <w:szCs w:val="10"/>
                <w:color w:val="3E3935"/>
              </w:rPr>
              <w:t>(5)(12)</w:t>
            </w:r>
          </w:p>
        </w:tc>
        <w:tc>
          <w:tcPr>
            <w:tcW w:w="700" w:type="dxa"/>
            <w:vAlign w:val="bottom"/>
          </w:tcPr>
          <w:p>
            <w:pPr>
              <w:jc w:val="right"/>
              <w:ind w:right="18"/>
              <w:spacing w:after="0"/>
              <w:rPr>
                <w:sz w:val="20"/>
                <w:szCs w:val="20"/>
                <w:color w:val="auto"/>
              </w:rPr>
            </w:pPr>
            <w:r>
              <w:rPr>
                <w:rFonts w:ascii="Arial" w:cs="Arial" w:eastAsia="Arial" w:hAnsi="Arial"/>
                <w:sz w:val="12"/>
                <w:szCs w:val="12"/>
                <w:color w:val="3E3935"/>
              </w:rPr>
              <w:t>41.40</w:t>
            </w:r>
          </w:p>
        </w:tc>
        <w:tc>
          <w:tcPr>
            <w:tcW w:w="760" w:type="dxa"/>
            <w:vAlign w:val="bottom"/>
          </w:tcPr>
          <w:p>
            <w:pPr>
              <w:jc w:val="right"/>
              <w:spacing w:after="0"/>
              <w:rPr>
                <w:sz w:val="20"/>
                <w:szCs w:val="20"/>
                <w:color w:val="auto"/>
              </w:rPr>
            </w:pPr>
            <w:r>
              <w:rPr>
                <w:rFonts w:ascii="Arial" w:cs="Arial" w:eastAsia="Arial" w:hAnsi="Arial"/>
                <w:sz w:val="12"/>
                <w:szCs w:val="12"/>
                <w:color w:val="3E3935"/>
              </w:rPr>
              <w:t>8/31/2021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5/7/2020</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2"/>
                <w:szCs w:val="12"/>
                <w:color w:val="3E3935"/>
              </w:rPr>
              <w:t>1,579</w:t>
            </w:r>
            <w:r>
              <w:rPr>
                <w:rFonts w:ascii="Arial" w:cs="Arial" w:eastAsia="Arial" w:hAnsi="Arial"/>
                <w:sz w:val="10"/>
                <w:szCs w:val="10"/>
                <w:color w:val="3E3935"/>
              </w:rPr>
              <w:t>(6)</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65,750</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8"/>
        </w:trPr>
        <w:tc>
          <w:tcPr>
            <w:tcW w:w="1780" w:type="dxa"/>
            <w:vAlign w:val="bottom"/>
          </w:tcPr>
          <w:p>
            <w:pPr>
              <w:spacing w:after="0"/>
              <w:rPr>
                <w:sz w:val="5"/>
                <w:szCs w:val="5"/>
                <w:color w:val="auto"/>
              </w:rPr>
            </w:pPr>
          </w:p>
        </w:tc>
        <w:tc>
          <w:tcPr>
            <w:tcW w:w="16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340" w:type="dxa"/>
            <w:vAlign w:val="bottom"/>
            <w:tcBorders>
              <w:bottom w:val="single" w:sz="8" w:color="3E3935"/>
            </w:tcBorders>
          </w:tcPr>
          <w:p>
            <w:pPr>
              <w:spacing w:after="0"/>
              <w:rPr>
                <w:sz w:val="5"/>
                <w:szCs w:val="5"/>
                <w:color w:val="auto"/>
              </w:rPr>
            </w:pPr>
          </w:p>
        </w:tc>
        <w:tc>
          <w:tcPr>
            <w:tcW w:w="700" w:type="dxa"/>
            <w:vAlign w:val="bottom"/>
            <w:tcBorders>
              <w:bottom w:val="single" w:sz="8" w:color="3E3935"/>
            </w:tcBorders>
          </w:tcPr>
          <w:p>
            <w:pPr>
              <w:spacing w:after="0"/>
              <w:rPr>
                <w:sz w:val="5"/>
                <w:szCs w:val="5"/>
                <w:color w:val="auto"/>
              </w:rPr>
            </w:pPr>
          </w:p>
        </w:tc>
        <w:tc>
          <w:tcPr>
            <w:tcW w:w="760" w:type="dxa"/>
            <w:vAlign w:val="bottom"/>
            <w:tcBorders>
              <w:bottom w:val="single" w:sz="8" w:color="3E3935"/>
            </w:tcBorders>
          </w:tcPr>
          <w:p>
            <w:pPr>
              <w:spacing w:after="0"/>
              <w:rPr>
                <w:sz w:val="5"/>
                <w:szCs w:val="5"/>
                <w:color w:val="auto"/>
              </w:rPr>
            </w:pPr>
          </w:p>
        </w:tc>
        <w:tc>
          <w:tcPr>
            <w:tcW w:w="140" w:type="dxa"/>
            <w:vAlign w:val="bottom"/>
            <w:tcBorders>
              <w:bottom w:val="single" w:sz="8" w:color="3E3935"/>
            </w:tcBorders>
          </w:tcPr>
          <w:p>
            <w:pPr>
              <w:spacing w:after="0"/>
              <w:rPr>
                <w:sz w:val="5"/>
                <w:szCs w:val="5"/>
                <w:color w:val="auto"/>
              </w:rPr>
            </w:pPr>
          </w:p>
        </w:tc>
        <w:tc>
          <w:tcPr>
            <w:tcW w:w="1060" w:type="dxa"/>
            <w:vAlign w:val="bottom"/>
            <w:tcBorders>
              <w:bottom w:val="single" w:sz="8" w:color="3E3935"/>
            </w:tcBorders>
          </w:tcPr>
          <w:p>
            <w:pPr>
              <w:spacing w:after="0"/>
              <w:rPr>
                <w:sz w:val="5"/>
                <w:szCs w:val="5"/>
                <w:color w:val="auto"/>
              </w:rPr>
            </w:pPr>
          </w:p>
        </w:tc>
        <w:tc>
          <w:tcPr>
            <w:tcW w:w="840" w:type="dxa"/>
            <w:vAlign w:val="bottom"/>
            <w:tcBorders>
              <w:bottom w:val="single" w:sz="8" w:color="3E3935"/>
            </w:tcBorders>
          </w:tcPr>
          <w:p>
            <w:pPr>
              <w:spacing w:after="0"/>
              <w:rPr>
                <w:sz w:val="5"/>
                <w:szCs w:val="5"/>
                <w:color w:val="auto"/>
              </w:rPr>
            </w:pPr>
          </w:p>
        </w:tc>
        <w:tc>
          <w:tcPr>
            <w:tcW w:w="138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r>
      <w:tr>
        <w:trPr>
          <w:trHeight w:val="190"/>
        </w:trPr>
        <w:tc>
          <w:tcPr>
            <w:tcW w:w="1780" w:type="dxa"/>
            <w:vAlign w:val="bottom"/>
          </w:tcPr>
          <w:p>
            <w:pPr>
              <w:spacing w:after="0"/>
              <w:rPr>
                <w:sz w:val="16"/>
                <w:szCs w:val="16"/>
                <w:color w:val="auto"/>
              </w:rPr>
            </w:pPr>
          </w:p>
        </w:tc>
        <w:tc>
          <w:tcPr>
            <w:tcW w:w="860" w:type="dxa"/>
            <w:vAlign w:val="bottom"/>
            <w:gridSpan w:val="2"/>
          </w:tcPr>
          <w:p>
            <w:pPr>
              <w:jc w:val="right"/>
              <w:ind w:right="38"/>
              <w:spacing w:after="0"/>
              <w:rPr>
                <w:sz w:val="20"/>
                <w:szCs w:val="20"/>
                <w:color w:val="auto"/>
              </w:rPr>
            </w:pPr>
            <w:r>
              <w:rPr>
                <w:rFonts w:ascii="Arial" w:cs="Arial" w:eastAsia="Arial" w:hAnsi="Arial"/>
                <w:sz w:val="12"/>
                <w:szCs w:val="12"/>
                <w:color w:val="3E3935"/>
              </w:rPr>
              <w:t>2/13/2018</w:t>
            </w: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8"/>
              <w:spacing w:after="0"/>
              <w:rPr>
                <w:sz w:val="20"/>
                <w:szCs w:val="20"/>
                <w:color w:val="auto"/>
              </w:rPr>
            </w:pPr>
            <w:r>
              <w:rPr>
                <w:rFonts w:ascii="Arial" w:cs="Arial" w:eastAsia="Arial" w:hAnsi="Arial"/>
                <w:sz w:val="12"/>
                <w:szCs w:val="12"/>
                <w:color w:val="3E3935"/>
              </w:rPr>
              <w:t>74,531</w:t>
            </w:r>
            <w:r>
              <w:rPr>
                <w:rFonts w:ascii="Arial" w:cs="Arial" w:eastAsia="Arial" w:hAnsi="Arial"/>
                <w:sz w:val="10"/>
                <w:szCs w:val="10"/>
                <w:color w:val="3E3935"/>
              </w:rPr>
              <w:t>(9)(12)</w:t>
            </w:r>
          </w:p>
        </w:tc>
        <w:tc>
          <w:tcPr>
            <w:tcW w:w="840" w:type="dxa"/>
            <w:vAlign w:val="bottom"/>
          </w:tcPr>
          <w:p>
            <w:pPr>
              <w:jc w:val="right"/>
              <w:ind w:right="38"/>
              <w:spacing w:after="0"/>
              <w:rPr>
                <w:sz w:val="20"/>
                <w:szCs w:val="20"/>
                <w:color w:val="auto"/>
              </w:rPr>
            </w:pPr>
            <w:r>
              <w:rPr>
                <w:rFonts w:ascii="Arial" w:cs="Arial" w:eastAsia="Arial" w:hAnsi="Arial"/>
                <w:sz w:val="12"/>
                <w:szCs w:val="12"/>
                <w:color w:val="3E3935"/>
              </w:rPr>
              <w:t>3,103,471</w:t>
            </w:r>
          </w:p>
        </w:tc>
        <w:tc>
          <w:tcPr>
            <w:tcW w:w="13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2" w:lineRule="exact"/>
        <w:rPr>
          <w:sz w:val="20"/>
          <w:szCs w:val="20"/>
          <w:color w:val="auto"/>
        </w:rPr>
      </w:pPr>
    </w:p>
    <w:p>
      <w:pPr>
        <w:ind w:left="600" w:hanging="433"/>
        <w:spacing w:after="0"/>
        <w:tabs>
          <w:tab w:leader="none" w:pos="600" w:val="left"/>
        </w:tabs>
        <w:numPr>
          <w:ilvl w:val="0"/>
          <w:numId w:val="135"/>
        </w:numPr>
        <w:rPr>
          <w:rFonts w:ascii="Arial" w:cs="Arial" w:eastAsia="Arial" w:hAnsi="Arial"/>
          <w:sz w:val="18"/>
          <w:szCs w:val="18"/>
          <w:i w:val="1"/>
          <w:iCs w:val="1"/>
          <w:color w:val="3E3935"/>
        </w:rPr>
      </w:pPr>
      <w:r>
        <w:rPr>
          <w:rFonts w:ascii="Arial" w:cs="Arial" w:eastAsia="Arial" w:hAnsi="Arial"/>
          <w:sz w:val="18"/>
          <w:szCs w:val="18"/>
          <w:i w:val="1"/>
          <w:iCs w:val="1"/>
          <w:color w:val="3E3935"/>
        </w:rPr>
        <w:t>The awards are valued based on the closing price of common stock on the NYSE on December 31, 2020, which was $41.64.</w:t>
      </w:r>
    </w:p>
    <w:p>
      <w:pPr>
        <w:spacing w:after="0" w:line="73" w:lineRule="exact"/>
        <w:rPr>
          <w:rFonts w:ascii="Arial" w:cs="Arial" w:eastAsia="Arial" w:hAnsi="Arial"/>
          <w:sz w:val="18"/>
          <w:szCs w:val="18"/>
          <w:i w:val="1"/>
          <w:iCs w:val="1"/>
          <w:color w:val="3E3935"/>
        </w:rPr>
      </w:pPr>
    </w:p>
    <w:p>
      <w:pPr>
        <w:ind w:left="600" w:hanging="433"/>
        <w:spacing w:after="0" w:line="243" w:lineRule="auto"/>
        <w:tabs>
          <w:tab w:leader="none" w:pos="600" w:val="left"/>
        </w:tabs>
        <w:numPr>
          <w:ilvl w:val="0"/>
          <w:numId w:val="135"/>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12, 2020, October 1, 2020, and December 1, 2020, vest ratably each February 12 of 2021, 2022, and 2023.</w:t>
      </w:r>
    </w:p>
    <w:p>
      <w:pPr>
        <w:ind w:left="600" w:hanging="433"/>
        <w:spacing w:after="0"/>
        <w:tabs>
          <w:tab w:leader="none" w:pos="600" w:val="left"/>
        </w:tabs>
        <w:numPr>
          <w:ilvl w:val="0"/>
          <w:numId w:val="135"/>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13, 2019, vest ratably each February 13 of 2020, 2021, and 2022.</w:t>
      </w:r>
    </w:p>
    <w:p>
      <w:pPr>
        <w:spacing w:after="0" w:line="55"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5"/>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13, 2018, and July 2, 2018, vest ratably each February 13 of 2019,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101600</wp:posOffset>
            </wp:positionV>
            <wp:extent cx="5927725" cy="1016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44"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74</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600" w:hanging="433"/>
        <w:spacing w:after="0" w:line="242" w:lineRule="auto"/>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with a grant date of July 6, 2020, represent outstanding Stock Option awards granted under the 2017 LTIP that were modified in connection with the separation agreement, which provided for an extended exercise period. Listed in the order in which they are disclosed, the outstanding Stock Options vest on February 12, 2021, February 13, 2021, February 13, 2021, and February 13, 2021.</w:t>
      </w:r>
    </w:p>
    <w:p>
      <w:pPr>
        <w:spacing w:after="0" w:line="47"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RSU awards granted on May 7, 2020, vest and settle on April 1, 2021, prorated for service.</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RSU awards granted to Mr. Jacobson on December 1, 2020, vest ratably each December 1 of 2022 and 2023.</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RSU awards granted to Mr. Stapleton on October 1, 2018, cliff-vest on October 1, 2021.</w:t>
      </w:r>
    </w:p>
    <w:p>
      <w:pPr>
        <w:spacing w:after="0" w:line="73" w:lineRule="exact"/>
        <w:rPr>
          <w:rFonts w:ascii="Arial" w:cs="Arial" w:eastAsia="Arial" w:hAnsi="Arial"/>
          <w:sz w:val="18"/>
          <w:szCs w:val="18"/>
          <w:i w:val="1"/>
          <w:iCs w:val="1"/>
          <w:color w:val="3E3935"/>
        </w:rPr>
      </w:pPr>
    </w:p>
    <w:p>
      <w:pPr>
        <w:jc w:val="both"/>
        <w:ind w:left="600" w:hanging="433"/>
        <w:spacing w:after="0" w:line="246" w:lineRule="auto"/>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2018-2020 PSU awards granted on February 13, 2018, and July 2, 2018, cliff-vested on February 13, 2021, upon determination of results for the performance period January 1, 2018–December 31, 2020. The final performance of the 2018–2020 PSU award was 187% and is discussed on page 55 of this Proxy Statement.</w:t>
      </w:r>
    </w:p>
    <w:p>
      <w:pPr>
        <w:spacing w:after="0" w:line="45" w:lineRule="exact"/>
        <w:rPr>
          <w:rFonts w:ascii="Arial" w:cs="Arial" w:eastAsia="Arial" w:hAnsi="Arial"/>
          <w:sz w:val="18"/>
          <w:szCs w:val="18"/>
          <w:i w:val="1"/>
          <w:iCs w:val="1"/>
          <w:color w:val="3E3935"/>
        </w:rPr>
      </w:pPr>
    </w:p>
    <w:p>
      <w:pPr>
        <w:jc w:val="both"/>
        <w:ind w:left="600" w:hanging="433"/>
        <w:spacing w:after="0" w:line="242" w:lineRule="auto"/>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2020-2022 PSU awards granted on February 12, 2020, October 1, 2020, and December 1, 2020, cliff-vest on February 12, 2023, upon determination of results for the performance period January 1, 2020–December 31, 2022. 2019-2021 PSU awards granted on February 13, 2019, cliff-vest on February 13, 2022, upon determination of results for the performance period January 1, 2019– December 31, 2021.</w:t>
      </w:r>
    </w:p>
    <w:p>
      <w:pPr>
        <w:spacing w:after="0" w:line="47" w:lineRule="exact"/>
        <w:rPr>
          <w:rFonts w:ascii="Arial" w:cs="Arial" w:eastAsia="Arial" w:hAnsi="Arial"/>
          <w:sz w:val="18"/>
          <w:szCs w:val="18"/>
          <w:i w:val="1"/>
          <w:iCs w:val="1"/>
          <w:color w:val="3E3935"/>
        </w:rPr>
      </w:pPr>
    </w:p>
    <w:p>
      <w:pPr>
        <w:jc w:val="both"/>
        <w:ind w:left="600" w:hanging="433"/>
        <w:spacing w:after="0" w:line="235" w:lineRule="auto"/>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Assumes target-level payout of PSU awards. The number of shares (and market value of such shares) for maximum-level payout with respect to unvested 2019–2021 PSUs granted on February 13, 2019, outstanding as of December 31, 2020, for Ms. Barra is 542,308 ($22,581,705); for Mr. Reuss is 184,616 ($7,687,410); for Mr. Parks is 28,270 ($1,177,163); for Mr. Carlisle is 52,886 ($2,202,173); and for Mr. Stapleton is 34,616 ($1,441,410). The number of shares (and market value of such shares) for maximum-level payout with respect to unvested 2020–2022 PSUs granted on February 12, 2020, outstanding as of December 31, 2020, for Ms. Barra is 633,982 ($26,399,010); for Mr. Reuss is 251,480 ($10,471,627); for Mr. Parks is 116,492 ($4,850,727); for Mr. Carlisle is 64,456 ($2,683,948); and for Mr. Stapleton is 38,040 ($1,583,986). The number of shares (and market value of such shares) for maximum-level payout with respect to unvested 2020–2022 PSUs granted on October 1, 2020, outstanding as of December 31, 2020, for Mr. Parks is 65,734 ($2,737,164); for Mr. Carlisle is 97,516 ($4,060,566); and for Mr. Stapleton is 65,834 ($2,741,328). The number of shares (and market value of such shares) for maximum-level payout with respect to unvested 2020–2022 PSUs granted on December 1, 2020, outstanding as of December 31, 2020, for Mr. Jacobson is 70,502 ($2,935,703); and for Mr. Carlisle is 13,430 ($559,225).</w:t>
      </w:r>
    </w:p>
    <w:p>
      <w:pPr>
        <w:spacing w:after="0" w:line="55"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Awards will be cash-settled pursuant to the terms of the Executive Severance Program.</w:t>
      </w:r>
    </w:p>
    <w:p>
      <w:pPr>
        <w:spacing w:after="0" w:line="348" w:lineRule="exact"/>
        <w:rPr>
          <w:sz w:val="20"/>
          <w:szCs w:val="20"/>
          <w:color w:val="auto"/>
        </w:rPr>
      </w:pPr>
    </w:p>
    <w:p>
      <w:pPr>
        <w:ind w:left="700" w:hanging="533"/>
        <w:spacing w:after="0"/>
        <w:tabs>
          <w:tab w:leader="none" w:pos="700" w:val="left"/>
        </w:tabs>
        <w:numPr>
          <w:ilvl w:val="0"/>
          <w:numId w:val="137"/>
        </w:numPr>
        <w:rPr>
          <w:rFonts w:ascii="Arial" w:cs="Arial" w:eastAsia="Arial" w:hAnsi="Arial"/>
          <w:sz w:val="21"/>
          <w:szCs w:val="21"/>
          <w:color w:val="0071CE"/>
        </w:rPr>
      </w:pPr>
      <w:r>
        <w:rPr>
          <w:rFonts w:ascii="Arial" w:cs="Arial" w:eastAsia="Arial" w:hAnsi="Arial"/>
          <w:sz w:val="25"/>
          <w:szCs w:val="25"/>
          <w:color w:val="3E3935"/>
        </w:rPr>
        <w:t>Option Exercises and Stock Vested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460" w:type="dxa"/>
            <w:vAlign w:val="bottom"/>
            <w:tcBorders>
              <w:top w:val="single" w:sz="8" w:color="00C1DE"/>
            </w:tcBorders>
          </w:tcPr>
          <w:p>
            <w:pPr>
              <w:spacing w:after="0"/>
              <w:rPr>
                <w:sz w:val="20"/>
                <w:szCs w:val="20"/>
                <w:color w:val="auto"/>
              </w:rPr>
            </w:pPr>
          </w:p>
        </w:tc>
        <w:tc>
          <w:tcPr>
            <w:tcW w:w="4340" w:type="dxa"/>
            <w:vAlign w:val="bottom"/>
            <w:tcBorders>
              <w:top w:val="single" w:sz="8" w:color="00C1DE"/>
            </w:tcBorders>
            <w:gridSpan w:val="3"/>
          </w:tcPr>
          <w:p>
            <w:pPr>
              <w:ind w:left="1140"/>
              <w:spacing w:after="0"/>
              <w:rPr>
                <w:sz w:val="20"/>
                <w:szCs w:val="20"/>
                <w:color w:val="auto"/>
              </w:rPr>
            </w:pPr>
            <w:r>
              <w:rPr>
                <w:rFonts w:ascii="Arial" w:cs="Arial" w:eastAsia="Arial" w:hAnsi="Arial"/>
                <w:sz w:val="20"/>
                <w:szCs w:val="20"/>
                <w:b w:val="1"/>
                <w:bCs w:val="1"/>
                <w:color w:val="00C1DE"/>
              </w:rPr>
              <w:t>Option Awards</w:t>
            </w:r>
            <w:r>
              <w:rPr>
                <w:rFonts w:ascii="Arial" w:cs="Arial" w:eastAsia="Arial" w:hAnsi="Arial"/>
                <w:sz w:val="16"/>
                <w:szCs w:val="16"/>
                <w:b w:val="1"/>
                <w:bCs w:val="1"/>
                <w:color w:val="00C1DE"/>
              </w:rPr>
              <w:t>(1)</w:t>
            </w:r>
          </w:p>
        </w:tc>
        <w:tc>
          <w:tcPr>
            <w:tcW w:w="4120" w:type="dxa"/>
            <w:vAlign w:val="bottom"/>
            <w:tcBorders>
              <w:top w:val="single" w:sz="8" w:color="00C1DE"/>
            </w:tcBorders>
            <w:gridSpan w:val="2"/>
          </w:tcPr>
          <w:p>
            <w:pPr>
              <w:jc w:val="right"/>
              <w:ind w:right="1242"/>
              <w:spacing w:after="0"/>
              <w:rPr>
                <w:sz w:val="20"/>
                <w:szCs w:val="20"/>
                <w:color w:val="auto"/>
              </w:rPr>
            </w:pPr>
            <w:r>
              <w:rPr>
                <w:rFonts w:ascii="Arial" w:cs="Arial" w:eastAsia="Arial" w:hAnsi="Arial"/>
                <w:sz w:val="20"/>
                <w:szCs w:val="20"/>
                <w:b w:val="1"/>
                <w:bCs w:val="1"/>
                <w:color w:val="00C1DE"/>
              </w:rPr>
              <w:t>Stock Awards</w:t>
            </w:r>
            <w:r>
              <w:rPr>
                <w:rFonts w:ascii="Arial" w:cs="Arial" w:eastAsia="Arial" w:hAnsi="Arial"/>
                <w:sz w:val="16"/>
                <w:szCs w:val="16"/>
                <w:b w:val="1"/>
                <w:bCs w:val="1"/>
                <w:color w:val="00C1DE"/>
              </w:rPr>
              <w:t>(2)</w:t>
            </w:r>
          </w:p>
        </w:tc>
      </w:tr>
      <w:tr>
        <w:trPr>
          <w:trHeight w:val="180"/>
        </w:trPr>
        <w:tc>
          <w:tcPr>
            <w:tcW w:w="2460" w:type="dxa"/>
            <w:vAlign w:val="bottom"/>
          </w:tcPr>
          <w:p>
            <w:pPr>
              <w:spacing w:after="0"/>
              <w:rPr>
                <w:sz w:val="15"/>
                <w:szCs w:val="15"/>
                <w:color w:val="auto"/>
              </w:rPr>
            </w:pPr>
          </w:p>
        </w:tc>
        <w:tc>
          <w:tcPr>
            <w:tcW w:w="1940" w:type="dxa"/>
            <w:vAlign w:val="bottom"/>
            <w:tcBorders>
              <w:top w:val="single" w:sz="8" w:color="00C1DE"/>
            </w:tcBorders>
          </w:tcPr>
          <w:p>
            <w:pPr>
              <w:jc w:val="right"/>
              <w:ind w:right="142"/>
              <w:spacing w:after="0" w:line="180" w:lineRule="exact"/>
              <w:rPr>
                <w:sz w:val="20"/>
                <w:szCs w:val="20"/>
                <w:color w:val="auto"/>
              </w:rPr>
            </w:pPr>
            <w:r>
              <w:rPr>
                <w:rFonts w:ascii="Arial" w:cs="Arial" w:eastAsia="Arial" w:hAnsi="Arial"/>
                <w:sz w:val="20"/>
                <w:szCs w:val="20"/>
                <w:b w:val="1"/>
                <w:bCs w:val="1"/>
                <w:color w:val="00C1DE"/>
                <w:w w:val="97"/>
              </w:rPr>
              <w:t>Number of Shares</w:t>
            </w:r>
          </w:p>
        </w:tc>
        <w:tc>
          <w:tcPr>
            <w:tcW w:w="1980" w:type="dxa"/>
            <w:vAlign w:val="bottom"/>
            <w:tcBorders>
              <w:top w:val="single" w:sz="8" w:color="00C1DE"/>
            </w:tcBorders>
          </w:tcPr>
          <w:p>
            <w:pPr>
              <w:jc w:val="right"/>
              <w:spacing w:after="0" w:line="180" w:lineRule="exact"/>
              <w:rPr>
                <w:sz w:val="20"/>
                <w:szCs w:val="20"/>
                <w:color w:val="auto"/>
              </w:rPr>
            </w:pPr>
            <w:r>
              <w:rPr>
                <w:rFonts w:ascii="Arial" w:cs="Arial" w:eastAsia="Arial" w:hAnsi="Arial"/>
                <w:sz w:val="20"/>
                <w:szCs w:val="20"/>
                <w:b w:val="1"/>
                <w:bCs w:val="1"/>
                <w:color w:val="00C1DE"/>
              </w:rPr>
              <w:t>Value Realized on</w:t>
            </w:r>
          </w:p>
        </w:tc>
        <w:tc>
          <w:tcPr>
            <w:tcW w:w="420" w:type="dxa"/>
            <w:vAlign w:val="bottom"/>
          </w:tcPr>
          <w:p>
            <w:pPr>
              <w:spacing w:after="0"/>
              <w:rPr>
                <w:sz w:val="15"/>
                <w:szCs w:val="15"/>
                <w:color w:val="auto"/>
              </w:rPr>
            </w:pPr>
          </w:p>
        </w:tc>
        <w:tc>
          <w:tcPr>
            <w:tcW w:w="2140" w:type="dxa"/>
            <w:vAlign w:val="bottom"/>
            <w:tcBorders>
              <w:top w:val="single" w:sz="8" w:color="00C1DE"/>
            </w:tcBorders>
          </w:tcPr>
          <w:p>
            <w:pPr>
              <w:jc w:val="right"/>
              <w:ind w:right="142"/>
              <w:spacing w:after="0" w:line="180" w:lineRule="exact"/>
              <w:rPr>
                <w:sz w:val="20"/>
                <w:szCs w:val="20"/>
                <w:color w:val="auto"/>
              </w:rPr>
            </w:pPr>
            <w:r>
              <w:rPr>
                <w:rFonts w:ascii="Arial" w:cs="Arial" w:eastAsia="Arial" w:hAnsi="Arial"/>
                <w:sz w:val="20"/>
                <w:szCs w:val="20"/>
                <w:b w:val="1"/>
                <w:bCs w:val="1"/>
                <w:color w:val="00C1DE"/>
              </w:rPr>
              <w:t>Number of Shares</w:t>
            </w:r>
          </w:p>
        </w:tc>
        <w:tc>
          <w:tcPr>
            <w:tcW w:w="1980" w:type="dxa"/>
            <w:vAlign w:val="bottom"/>
            <w:tcBorders>
              <w:top w:val="single" w:sz="8" w:color="00C1DE"/>
            </w:tcBorders>
          </w:tcPr>
          <w:p>
            <w:pPr>
              <w:jc w:val="right"/>
              <w:spacing w:after="0" w:line="180" w:lineRule="exact"/>
              <w:rPr>
                <w:sz w:val="20"/>
                <w:szCs w:val="20"/>
                <w:color w:val="auto"/>
              </w:rPr>
            </w:pPr>
            <w:r>
              <w:rPr>
                <w:rFonts w:ascii="Arial" w:cs="Arial" w:eastAsia="Arial" w:hAnsi="Arial"/>
                <w:sz w:val="20"/>
                <w:szCs w:val="20"/>
                <w:b w:val="1"/>
                <w:bCs w:val="1"/>
                <w:color w:val="00C1DE"/>
              </w:rPr>
              <w:t>Value Realized on</w:t>
            </w:r>
          </w:p>
        </w:tc>
      </w:tr>
      <w:tr>
        <w:trPr>
          <w:trHeight w:val="214"/>
        </w:trPr>
        <w:tc>
          <w:tcPr>
            <w:tcW w:w="2460" w:type="dxa"/>
            <w:vAlign w:val="bottom"/>
          </w:tcPr>
          <w:p>
            <w:pPr>
              <w:spacing w:after="0"/>
              <w:rPr>
                <w:sz w:val="18"/>
                <w:szCs w:val="18"/>
                <w:color w:val="auto"/>
              </w:rPr>
            </w:pPr>
          </w:p>
        </w:tc>
        <w:tc>
          <w:tcPr>
            <w:tcW w:w="194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C1DE"/>
              </w:rPr>
              <w:t>Acquired on</w:t>
            </w:r>
          </w:p>
        </w:tc>
        <w:tc>
          <w:tcPr>
            <w:tcW w:w="2400" w:type="dxa"/>
            <w:vAlign w:val="bottom"/>
            <w:gridSpan w:val="2"/>
          </w:tcPr>
          <w:p>
            <w:pPr>
              <w:jc w:val="right"/>
              <w:ind w:right="500"/>
              <w:spacing w:after="0" w:line="214" w:lineRule="exact"/>
              <w:rPr>
                <w:sz w:val="20"/>
                <w:szCs w:val="20"/>
                <w:color w:val="auto"/>
              </w:rPr>
            </w:pPr>
            <w:r>
              <w:rPr>
                <w:rFonts w:ascii="Arial" w:cs="Arial" w:eastAsia="Arial" w:hAnsi="Arial"/>
                <w:sz w:val="20"/>
                <w:szCs w:val="20"/>
                <w:b w:val="1"/>
                <w:bCs w:val="1"/>
                <w:color w:val="00C1DE"/>
              </w:rPr>
              <w:t>Exercise</w:t>
            </w:r>
          </w:p>
        </w:tc>
        <w:tc>
          <w:tcPr>
            <w:tcW w:w="214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C1DE"/>
                <w:w w:val="96"/>
              </w:rPr>
              <w:t>Acquired on Vesting</w:t>
            </w:r>
          </w:p>
        </w:tc>
        <w:tc>
          <w:tcPr>
            <w:tcW w:w="19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Vesting</w:t>
            </w:r>
          </w:p>
        </w:tc>
      </w:tr>
      <w:tr>
        <w:trPr>
          <w:trHeight w:val="277"/>
        </w:trPr>
        <w:tc>
          <w:tcPr>
            <w:tcW w:w="2460" w:type="dxa"/>
            <w:vAlign w:val="bottom"/>
            <w:tcBorders>
              <w:bottom w:val="single" w:sz="8" w:color="00C1DE"/>
            </w:tcBorders>
          </w:tcPr>
          <w:p>
            <w:pPr>
              <w:ind w:left="120"/>
              <w:spacing w:after="0"/>
              <w:rPr>
                <w:sz w:val="20"/>
                <w:szCs w:val="20"/>
                <w:color w:val="auto"/>
              </w:rPr>
            </w:pPr>
            <w:r>
              <w:rPr>
                <w:rFonts w:ascii="Arial" w:cs="Arial" w:eastAsia="Arial" w:hAnsi="Arial"/>
                <w:sz w:val="20"/>
                <w:szCs w:val="20"/>
                <w:b w:val="1"/>
                <w:bCs w:val="1"/>
                <w:color w:val="00C1DE"/>
              </w:rPr>
              <w:t>Name</w:t>
            </w:r>
          </w:p>
        </w:tc>
        <w:tc>
          <w:tcPr>
            <w:tcW w:w="1940" w:type="dxa"/>
            <w:vAlign w:val="bottom"/>
            <w:tcBorders>
              <w:bottom w:val="single" w:sz="8" w:color="00C1DE"/>
            </w:tcBorders>
          </w:tcPr>
          <w:p>
            <w:pPr>
              <w:jc w:val="right"/>
              <w:ind w:right="142"/>
              <w:spacing w:after="0"/>
              <w:rPr>
                <w:sz w:val="20"/>
                <w:szCs w:val="20"/>
                <w:color w:val="auto"/>
              </w:rPr>
            </w:pPr>
            <w:r>
              <w:rPr>
                <w:rFonts w:ascii="Arial" w:cs="Arial" w:eastAsia="Arial" w:hAnsi="Arial"/>
                <w:sz w:val="20"/>
                <w:szCs w:val="20"/>
                <w:b w:val="1"/>
                <w:bCs w:val="1"/>
                <w:color w:val="00C1DE"/>
              </w:rPr>
              <w:t>Exercise (#)</w:t>
            </w:r>
          </w:p>
        </w:tc>
        <w:tc>
          <w:tcPr>
            <w:tcW w:w="198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420" w:type="dxa"/>
            <w:vAlign w:val="bottom"/>
            <w:tcBorders>
              <w:bottom w:val="single" w:sz="8" w:color="00C1DE"/>
            </w:tcBorders>
          </w:tcPr>
          <w:p>
            <w:pPr>
              <w:spacing w:after="0"/>
              <w:rPr>
                <w:sz w:val="24"/>
                <w:szCs w:val="24"/>
                <w:color w:val="auto"/>
              </w:rPr>
            </w:pPr>
          </w:p>
        </w:tc>
        <w:tc>
          <w:tcPr>
            <w:tcW w:w="2140" w:type="dxa"/>
            <w:vAlign w:val="bottom"/>
            <w:tcBorders>
              <w:bottom w:val="single" w:sz="8" w:color="00C1DE"/>
            </w:tcBorders>
          </w:tcPr>
          <w:p>
            <w:pPr>
              <w:jc w:val="right"/>
              <w:ind w:right="142"/>
              <w:spacing w:after="0"/>
              <w:rPr>
                <w:sz w:val="20"/>
                <w:szCs w:val="20"/>
                <w:color w:val="auto"/>
              </w:rPr>
            </w:pPr>
            <w:r>
              <w:rPr>
                <w:rFonts w:ascii="Arial" w:cs="Arial" w:eastAsia="Arial" w:hAnsi="Arial"/>
                <w:sz w:val="20"/>
                <w:szCs w:val="20"/>
                <w:b w:val="1"/>
                <w:bCs w:val="1"/>
                <w:color w:val="00C1DE"/>
              </w:rPr>
              <w:t>(#)</w:t>
            </w:r>
          </w:p>
        </w:tc>
        <w:tc>
          <w:tcPr>
            <w:tcW w:w="198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r>
      <w:tr>
        <w:trPr>
          <w:trHeight w:val="297"/>
        </w:trPr>
        <w:tc>
          <w:tcPr>
            <w:tcW w:w="2460" w:type="dxa"/>
            <w:vAlign w:val="bottom"/>
          </w:tcPr>
          <w:p>
            <w:pPr>
              <w:ind w:left="100"/>
              <w:spacing w:after="0"/>
              <w:rPr>
                <w:sz w:val="20"/>
                <w:szCs w:val="20"/>
                <w:color w:val="auto"/>
              </w:rPr>
            </w:pPr>
            <w:r>
              <w:rPr>
                <w:rFonts w:ascii="Arial" w:cs="Arial" w:eastAsia="Arial" w:hAnsi="Arial"/>
                <w:sz w:val="20"/>
                <w:szCs w:val="20"/>
                <w:color w:val="3E3935"/>
              </w:rPr>
              <w:t>Mary T. Barra</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1,600,000</w:t>
            </w:r>
          </w:p>
        </w:tc>
        <w:tc>
          <w:tcPr>
            <w:tcW w:w="1980" w:type="dxa"/>
            <w:vAlign w:val="bottom"/>
          </w:tcPr>
          <w:p>
            <w:pPr>
              <w:jc w:val="right"/>
              <w:spacing w:after="0"/>
              <w:rPr>
                <w:sz w:val="20"/>
                <w:szCs w:val="20"/>
                <w:color w:val="auto"/>
              </w:rPr>
            </w:pPr>
            <w:r>
              <w:rPr>
                <w:rFonts w:ascii="Arial" w:cs="Arial" w:eastAsia="Arial" w:hAnsi="Arial"/>
                <w:sz w:val="20"/>
                <w:szCs w:val="20"/>
                <w:color w:val="3E3935"/>
              </w:rPr>
              <w:t>17,890,924</w:t>
            </w:r>
          </w:p>
        </w:tc>
        <w:tc>
          <w:tcPr>
            <w:tcW w:w="420" w:type="dxa"/>
            <w:vAlign w:val="bottom"/>
          </w:tcPr>
          <w:p>
            <w:pPr>
              <w:spacing w:after="0"/>
              <w:rPr>
                <w:sz w:val="24"/>
                <w:szCs w:val="24"/>
                <w:color w:val="auto"/>
              </w:rPr>
            </w:pP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460,797</w:t>
            </w:r>
          </w:p>
        </w:tc>
        <w:tc>
          <w:tcPr>
            <w:tcW w:w="1980" w:type="dxa"/>
            <w:vAlign w:val="bottom"/>
          </w:tcPr>
          <w:p>
            <w:pPr>
              <w:jc w:val="right"/>
              <w:spacing w:after="0"/>
              <w:rPr>
                <w:sz w:val="20"/>
                <w:szCs w:val="20"/>
                <w:color w:val="auto"/>
              </w:rPr>
            </w:pPr>
            <w:r>
              <w:rPr>
                <w:rFonts w:ascii="Arial" w:cs="Arial" w:eastAsia="Arial" w:hAnsi="Arial"/>
                <w:sz w:val="20"/>
                <w:szCs w:val="20"/>
                <w:color w:val="3E3935"/>
              </w:rPr>
              <w:t>16,017,304</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Paul A. Jacobson</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w:t>
            </w:r>
          </w:p>
        </w:tc>
        <w:tc>
          <w:tcPr>
            <w:tcW w:w="2400" w:type="dxa"/>
            <w:vAlign w:val="bottom"/>
            <w:gridSpan w:val="2"/>
          </w:tcPr>
          <w:p>
            <w:pPr>
              <w:jc w:val="right"/>
              <w:ind w:right="500"/>
              <w:spacing w:after="0"/>
              <w:rPr>
                <w:sz w:val="20"/>
                <w:szCs w:val="20"/>
                <w:color w:val="auto"/>
              </w:rPr>
            </w:pPr>
            <w:r>
              <w:rPr>
                <w:rFonts w:ascii="Arial" w:cs="Arial" w:eastAsia="Arial" w:hAnsi="Arial"/>
                <w:sz w:val="20"/>
                <w:szCs w:val="20"/>
                <w:color w:val="3E3935"/>
              </w:rPr>
              <w:t>—</w:t>
            </w: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w:t>
            </w:r>
          </w:p>
        </w:tc>
        <w:tc>
          <w:tcPr>
            <w:tcW w:w="1980" w:type="dxa"/>
            <w:vAlign w:val="bottom"/>
          </w:tcPr>
          <w:p>
            <w:pPr>
              <w:jc w:val="right"/>
              <w:spacing w:after="0"/>
              <w:rPr>
                <w:sz w:val="20"/>
                <w:szCs w:val="20"/>
                <w:color w:val="auto"/>
              </w:rPr>
            </w:pPr>
            <w:r>
              <w:rPr>
                <w:rFonts w:ascii="Arial" w:cs="Arial" w:eastAsia="Arial" w:hAnsi="Arial"/>
                <w:sz w:val="20"/>
                <w:szCs w:val="20"/>
                <w:color w:val="3E3935"/>
              </w:rPr>
              <w:t>—</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Mark L. Reuss</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165,943</w:t>
            </w:r>
          </w:p>
        </w:tc>
        <w:tc>
          <w:tcPr>
            <w:tcW w:w="1980" w:type="dxa"/>
            <w:vAlign w:val="bottom"/>
          </w:tcPr>
          <w:p>
            <w:pPr>
              <w:jc w:val="right"/>
              <w:spacing w:after="0"/>
              <w:rPr>
                <w:sz w:val="20"/>
                <w:szCs w:val="20"/>
                <w:color w:val="auto"/>
              </w:rPr>
            </w:pPr>
            <w:r>
              <w:rPr>
                <w:rFonts w:ascii="Arial" w:cs="Arial" w:eastAsia="Arial" w:hAnsi="Arial"/>
                <w:sz w:val="20"/>
                <w:szCs w:val="20"/>
                <w:color w:val="3E3935"/>
              </w:rPr>
              <w:t>1,287,280</w:t>
            </w:r>
          </w:p>
        </w:tc>
        <w:tc>
          <w:tcPr>
            <w:tcW w:w="420" w:type="dxa"/>
            <w:vAlign w:val="bottom"/>
          </w:tcPr>
          <w:p>
            <w:pPr>
              <w:spacing w:after="0"/>
              <w:rPr>
                <w:sz w:val="24"/>
                <w:szCs w:val="24"/>
                <w:color w:val="auto"/>
              </w:rPr>
            </w:pP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143,557</w:t>
            </w:r>
          </w:p>
        </w:tc>
        <w:tc>
          <w:tcPr>
            <w:tcW w:w="1980" w:type="dxa"/>
            <w:vAlign w:val="bottom"/>
          </w:tcPr>
          <w:p>
            <w:pPr>
              <w:jc w:val="right"/>
              <w:spacing w:after="0"/>
              <w:rPr>
                <w:sz w:val="20"/>
                <w:szCs w:val="20"/>
                <w:color w:val="auto"/>
              </w:rPr>
            </w:pPr>
            <w:r>
              <w:rPr>
                <w:rFonts w:ascii="Arial" w:cs="Arial" w:eastAsia="Arial" w:hAnsi="Arial"/>
                <w:sz w:val="20"/>
                <w:szCs w:val="20"/>
                <w:color w:val="3E3935"/>
              </w:rPr>
              <w:t>4,990,041</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Douglas L. Parks</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w:t>
            </w:r>
          </w:p>
        </w:tc>
        <w:tc>
          <w:tcPr>
            <w:tcW w:w="2400" w:type="dxa"/>
            <w:vAlign w:val="bottom"/>
            <w:gridSpan w:val="2"/>
          </w:tcPr>
          <w:p>
            <w:pPr>
              <w:jc w:val="right"/>
              <w:ind w:right="500"/>
              <w:spacing w:after="0"/>
              <w:rPr>
                <w:sz w:val="20"/>
                <w:szCs w:val="20"/>
                <w:color w:val="auto"/>
              </w:rPr>
            </w:pPr>
            <w:r>
              <w:rPr>
                <w:rFonts w:ascii="Arial" w:cs="Arial" w:eastAsia="Arial" w:hAnsi="Arial"/>
                <w:sz w:val="20"/>
                <w:szCs w:val="20"/>
                <w:color w:val="3E3935"/>
              </w:rPr>
              <w:t>—</w:t>
            </w: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43,848</w:t>
            </w:r>
          </w:p>
        </w:tc>
        <w:tc>
          <w:tcPr>
            <w:tcW w:w="1980" w:type="dxa"/>
            <w:vAlign w:val="bottom"/>
          </w:tcPr>
          <w:p>
            <w:pPr>
              <w:jc w:val="right"/>
              <w:spacing w:after="0"/>
              <w:rPr>
                <w:sz w:val="20"/>
                <w:szCs w:val="20"/>
                <w:color w:val="auto"/>
              </w:rPr>
            </w:pPr>
            <w:r>
              <w:rPr>
                <w:rFonts w:ascii="Arial" w:cs="Arial" w:eastAsia="Arial" w:hAnsi="Arial"/>
                <w:sz w:val="20"/>
                <w:szCs w:val="20"/>
                <w:color w:val="3E3935"/>
              </w:rPr>
              <w:t>1,447,642</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Stephen K. Carlisle</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10,217</w:t>
            </w:r>
          </w:p>
        </w:tc>
        <w:tc>
          <w:tcPr>
            <w:tcW w:w="1980" w:type="dxa"/>
            <w:vAlign w:val="bottom"/>
          </w:tcPr>
          <w:p>
            <w:pPr>
              <w:jc w:val="right"/>
              <w:spacing w:after="0"/>
              <w:rPr>
                <w:sz w:val="20"/>
                <w:szCs w:val="20"/>
                <w:color w:val="auto"/>
              </w:rPr>
            </w:pPr>
            <w:r>
              <w:rPr>
                <w:rFonts w:ascii="Arial" w:cs="Arial" w:eastAsia="Arial" w:hAnsi="Arial"/>
                <w:sz w:val="20"/>
                <w:szCs w:val="20"/>
                <w:color w:val="3E3935"/>
              </w:rPr>
              <w:t>117,812</w:t>
            </w:r>
          </w:p>
        </w:tc>
        <w:tc>
          <w:tcPr>
            <w:tcW w:w="420" w:type="dxa"/>
            <w:vAlign w:val="bottom"/>
          </w:tcPr>
          <w:p>
            <w:pPr>
              <w:spacing w:after="0"/>
              <w:rPr>
                <w:sz w:val="24"/>
                <w:szCs w:val="24"/>
                <w:color w:val="auto"/>
              </w:rPr>
            </w:pP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28,535</w:t>
            </w:r>
          </w:p>
        </w:tc>
        <w:tc>
          <w:tcPr>
            <w:tcW w:w="1980" w:type="dxa"/>
            <w:vAlign w:val="bottom"/>
          </w:tcPr>
          <w:p>
            <w:pPr>
              <w:jc w:val="right"/>
              <w:spacing w:after="0"/>
              <w:rPr>
                <w:sz w:val="20"/>
                <w:szCs w:val="20"/>
                <w:color w:val="auto"/>
              </w:rPr>
            </w:pPr>
            <w:r>
              <w:rPr>
                <w:rFonts w:ascii="Arial" w:cs="Arial" w:eastAsia="Arial" w:hAnsi="Arial"/>
                <w:sz w:val="20"/>
                <w:szCs w:val="20"/>
                <w:color w:val="3E3935"/>
              </w:rPr>
              <w:t>991,877</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Dhivya Suryadevara</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279,195</w:t>
            </w:r>
          </w:p>
        </w:tc>
        <w:tc>
          <w:tcPr>
            <w:tcW w:w="1980" w:type="dxa"/>
            <w:vAlign w:val="bottom"/>
          </w:tcPr>
          <w:p>
            <w:pPr>
              <w:jc w:val="right"/>
              <w:spacing w:after="0"/>
              <w:rPr>
                <w:sz w:val="20"/>
                <w:szCs w:val="20"/>
                <w:color w:val="auto"/>
              </w:rPr>
            </w:pPr>
            <w:r>
              <w:rPr>
                <w:rFonts w:ascii="Arial" w:cs="Arial" w:eastAsia="Arial" w:hAnsi="Arial"/>
                <w:sz w:val="20"/>
                <w:szCs w:val="20"/>
                <w:color w:val="3E3935"/>
              </w:rPr>
              <w:t>361,557</w:t>
            </w:r>
          </w:p>
        </w:tc>
        <w:tc>
          <w:tcPr>
            <w:tcW w:w="420" w:type="dxa"/>
            <w:vAlign w:val="bottom"/>
          </w:tcPr>
          <w:p>
            <w:pPr>
              <w:spacing w:after="0"/>
              <w:rPr>
                <w:sz w:val="24"/>
                <w:szCs w:val="24"/>
                <w:color w:val="auto"/>
              </w:rPr>
            </w:pP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26,054</w:t>
            </w:r>
          </w:p>
        </w:tc>
        <w:tc>
          <w:tcPr>
            <w:tcW w:w="1980" w:type="dxa"/>
            <w:vAlign w:val="bottom"/>
          </w:tcPr>
          <w:p>
            <w:pPr>
              <w:jc w:val="right"/>
              <w:spacing w:after="0"/>
              <w:rPr>
                <w:sz w:val="20"/>
                <w:szCs w:val="20"/>
                <w:color w:val="auto"/>
              </w:rPr>
            </w:pPr>
            <w:r>
              <w:rPr>
                <w:rFonts w:ascii="Arial" w:cs="Arial" w:eastAsia="Arial" w:hAnsi="Arial"/>
                <w:sz w:val="20"/>
                <w:szCs w:val="20"/>
                <w:color w:val="3E3935"/>
              </w:rPr>
              <w:t>905,637</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John P. Stapleton</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w:t>
            </w:r>
          </w:p>
        </w:tc>
        <w:tc>
          <w:tcPr>
            <w:tcW w:w="2400" w:type="dxa"/>
            <w:vAlign w:val="bottom"/>
            <w:gridSpan w:val="2"/>
          </w:tcPr>
          <w:p>
            <w:pPr>
              <w:jc w:val="right"/>
              <w:ind w:right="500"/>
              <w:spacing w:after="0"/>
              <w:rPr>
                <w:sz w:val="20"/>
                <w:szCs w:val="20"/>
                <w:color w:val="auto"/>
              </w:rPr>
            </w:pPr>
            <w:r>
              <w:rPr>
                <w:rFonts w:ascii="Arial" w:cs="Arial" w:eastAsia="Arial" w:hAnsi="Arial"/>
                <w:sz w:val="20"/>
                <w:szCs w:val="20"/>
                <w:color w:val="3E3935"/>
              </w:rPr>
              <w:t>—</w:t>
            </w: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26,054</w:t>
            </w:r>
          </w:p>
        </w:tc>
        <w:tc>
          <w:tcPr>
            <w:tcW w:w="1980" w:type="dxa"/>
            <w:vAlign w:val="bottom"/>
          </w:tcPr>
          <w:p>
            <w:pPr>
              <w:jc w:val="right"/>
              <w:spacing w:after="0"/>
              <w:rPr>
                <w:sz w:val="20"/>
                <w:szCs w:val="20"/>
                <w:color w:val="auto"/>
              </w:rPr>
            </w:pPr>
            <w:r>
              <w:rPr>
                <w:rFonts w:ascii="Arial" w:cs="Arial" w:eastAsia="Arial" w:hAnsi="Arial"/>
                <w:sz w:val="20"/>
                <w:szCs w:val="20"/>
                <w:color w:val="3E3935"/>
              </w:rPr>
              <w:t>905,637</w:t>
            </w:r>
          </w:p>
        </w:tc>
      </w:tr>
      <w:tr>
        <w:trPr>
          <w:trHeight w:val="62"/>
        </w:trPr>
        <w:tc>
          <w:tcPr>
            <w:tcW w:w="2460" w:type="dxa"/>
            <w:vAlign w:val="bottom"/>
            <w:tcBorders>
              <w:bottom w:val="single" w:sz="8" w:color="3E3935"/>
            </w:tcBorders>
          </w:tcPr>
          <w:p>
            <w:pPr>
              <w:spacing w:after="0"/>
              <w:rPr>
                <w:sz w:val="5"/>
                <w:szCs w:val="5"/>
                <w:color w:val="auto"/>
              </w:rPr>
            </w:pPr>
          </w:p>
        </w:tc>
        <w:tc>
          <w:tcPr>
            <w:tcW w:w="19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c>
          <w:tcPr>
            <w:tcW w:w="42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1980" w:type="dxa"/>
            <w:vAlign w:val="bottom"/>
            <w:tcBorders>
              <w:bottom w:val="single" w:sz="8" w:color="3E3935"/>
            </w:tcBorders>
          </w:tcPr>
          <w:p>
            <w:pPr>
              <w:spacing w:after="0"/>
              <w:rPr>
                <w:sz w:val="5"/>
                <w:szCs w:val="5"/>
                <w:color w:val="auto"/>
              </w:rPr>
            </w:pPr>
          </w:p>
        </w:tc>
      </w:tr>
      <w:tr>
        <w:trPr>
          <w:trHeight w:val="292"/>
        </w:trPr>
        <w:tc>
          <w:tcPr>
            <w:tcW w:w="2460" w:type="dxa"/>
            <w:vAlign w:val="bottom"/>
          </w:tcPr>
          <w:p>
            <w:pPr>
              <w:ind w:left="100"/>
              <w:spacing w:after="0"/>
              <w:rPr>
                <w:sz w:val="20"/>
                <w:szCs w:val="20"/>
                <w:color w:val="auto"/>
              </w:rPr>
            </w:pPr>
            <w:r>
              <w:rPr>
                <w:rFonts w:ascii="Arial" w:cs="Arial" w:eastAsia="Arial" w:hAnsi="Arial"/>
                <w:sz w:val="20"/>
                <w:szCs w:val="20"/>
                <w:color w:val="3E3935"/>
              </w:rPr>
              <w:t>Barry L. Engle II</w:t>
            </w:r>
          </w:p>
        </w:tc>
        <w:tc>
          <w:tcPr>
            <w:tcW w:w="1940" w:type="dxa"/>
            <w:vAlign w:val="bottom"/>
          </w:tcPr>
          <w:p>
            <w:pPr>
              <w:jc w:val="right"/>
              <w:ind w:right="142"/>
              <w:spacing w:after="0"/>
              <w:rPr>
                <w:sz w:val="20"/>
                <w:szCs w:val="20"/>
                <w:color w:val="auto"/>
              </w:rPr>
            </w:pPr>
            <w:r>
              <w:rPr>
                <w:rFonts w:ascii="Arial" w:cs="Arial" w:eastAsia="Arial" w:hAnsi="Arial"/>
                <w:sz w:val="20"/>
                <w:szCs w:val="20"/>
                <w:color w:val="3E3935"/>
              </w:rPr>
              <w:t>311,510</w:t>
            </w:r>
          </w:p>
        </w:tc>
        <w:tc>
          <w:tcPr>
            <w:tcW w:w="1980" w:type="dxa"/>
            <w:vAlign w:val="bottom"/>
          </w:tcPr>
          <w:p>
            <w:pPr>
              <w:jc w:val="right"/>
              <w:spacing w:after="0"/>
              <w:rPr>
                <w:sz w:val="20"/>
                <w:szCs w:val="20"/>
                <w:color w:val="auto"/>
              </w:rPr>
            </w:pPr>
            <w:r>
              <w:rPr>
                <w:rFonts w:ascii="Arial" w:cs="Arial" w:eastAsia="Arial" w:hAnsi="Arial"/>
                <w:sz w:val="20"/>
                <w:szCs w:val="20"/>
                <w:color w:val="3E3935"/>
              </w:rPr>
              <w:t>1,565,593</w:t>
            </w:r>
          </w:p>
        </w:tc>
        <w:tc>
          <w:tcPr>
            <w:tcW w:w="420" w:type="dxa"/>
            <w:vAlign w:val="bottom"/>
          </w:tcPr>
          <w:p>
            <w:pPr>
              <w:spacing w:after="0"/>
              <w:rPr>
                <w:sz w:val="24"/>
                <w:szCs w:val="24"/>
                <w:color w:val="auto"/>
              </w:rPr>
            </w:pPr>
          </w:p>
        </w:tc>
        <w:tc>
          <w:tcPr>
            <w:tcW w:w="2140" w:type="dxa"/>
            <w:vAlign w:val="bottom"/>
          </w:tcPr>
          <w:p>
            <w:pPr>
              <w:jc w:val="right"/>
              <w:ind w:right="142"/>
              <w:spacing w:after="0"/>
              <w:rPr>
                <w:sz w:val="20"/>
                <w:szCs w:val="20"/>
                <w:color w:val="auto"/>
              </w:rPr>
            </w:pPr>
            <w:r>
              <w:rPr>
                <w:rFonts w:ascii="Arial" w:cs="Arial" w:eastAsia="Arial" w:hAnsi="Arial"/>
                <w:sz w:val="20"/>
                <w:szCs w:val="20"/>
                <w:color w:val="3E3935"/>
              </w:rPr>
              <w:t>55,606</w:t>
            </w:r>
          </w:p>
        </w:tc>
        <w:tc>
          <w:tcPr>
            <w:tcW w:w="1980" w:type="dxa"/>
            <w:vAlign w:val="bottom"/>
          </w:tcPr>
          <w:p>
            <w:pPr>
              <w:jc w:val="right"/>
              <w:spacing w:after="0"/>
              <w:rPr>
                <w:sz w:val="20"/>
                <w:szCs w:val="20"/>
                <w:color w:val="auto"/>
              </w:rPr>
            </w:pPr>
            <w:r>
              <w:rPr>
                <w:rFonts w:ascii="Arial" w:cs="Arial" w:eastAsia="Arial" w:hAnsi="Arial"/>
                <w:sz w:val="20"/>
                <w:szCs w:val="20"/>
                <w:color w:val="3E3935"/>
              </w:rPr>
              <w:t>1,932,865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line="260" w:lineRule="auto"/>
        <w:tabs>
          <w:tab w:leader="none" w:pos="600" w:val="left"/>
        </w:tabs>
        <w:numPr>
          <w:ilvl w:val="0"/>
          <w:numId w:val="138"/>
        </w:numPr>
        <w:rPr>
          <w:rFonts w:ascii="Arial" w:cs="Arial" w:eastAsia="Arial" w:hAnsi="Arial"/>
          <w:sz w:val="18"/>
          <w:szCs w:val="18"/>
          <w:i w:val="1"/>
          <w:iCs w:val="1"/>
          <w:color w:val="3E3935"/>
        </w:rPr>
      </w:pPr>
      <w:r>
        <w:rPr>
          <w:rFonts w:ascii="Arial" w:cs="Arial" w:eastAsia="Arial" w:hAnsi="Arial"/>
          <w:sz w:val="18"/>
          <w:szCs w:val="18"/>
          <w:i w:val="1"/>
          <w:iCs w:val="1"/>
          <w:color w:val="3E3935"/>
        </w:rPr>
        <w:t>The aggregate dollar value realized upon exercise is computed by multiplying the number of shares at exercise by the difference between the market price of common stock and the exercise price of the options.</w:t>
      </w:r>
    </w:p>
    <w:p>
      <w:pPr>
        <w:spacing w:after="0" w:line="32" w:lineRule="exact"/>
        <w:rPr>
          <w:rFonts w:ascii="Arial" w:cs="Arial" w:eastAsia="Arial" w:hAnsi="Arial"/>
          <w:sz w:val="18"/>
          <w:szCs w:val="18"/>
          <w:i w:val="1"/>
          <w:iCs w:val="1"/>
          <w:color w:val="3E3935"/>
        </w:rPr>
      </w:pPr>
    </w:p>
    <w:p>
      <w:pPr>
        <w:ind w:left="600" w:hanging="433"/>
        <w:spacing w:after="0" w:line="260" w:lineRule="auto"/>
        <w:tabs>
          <w:tab w:leader="none" w:pos="600" w:val="left"/>
        </w:tabs>
        <w:numPr>
          <w:ilvl w:val="0"/>
          <w:numId w:val="138"/>
        </w:numPr>
        <w:rPr>
          <w:rFonts w:ascii="Arial" w:cs="Arial" w:eastAsia="Arial" w:hAnsi="Arial"/>
          <w:sz w:val="18"/>
          <w:szCs w:val="18"/>
          <w:i w:val="1"/>
          <w:iCs w:val="1"/>
          <w:color w:val="3E3935"/>
        </w:rPr>
      </w:pPr>
      <w:r>
        <w:rPr>
          <w:rFonts w:ascii="Arial" w:cs="Arial" w:eastAsia="Arial" w:hAnsi="Arial"/>
          <w:sz w:val="18"/>
          <w:szCs w:val="18"/>
          <w:i w:val="1"/>
          <w:iCs w:val="1"/>
          <w:color w:val="3E3935"/>
        </w:rPr>
        <w:t>The aggregate dollar value realized upon vesting is computed by multiplying the number of shares vested by the closing stock price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75565</wp:posOffset>
            </wp:positionV>
            <wp:extent cx="5927725" cy="1016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75</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39"/>
        </w:numPr>
        <w:rPr>
          <w:rFonts w:ascii="Arial" w:cs="Arial" w:eastAsia="Arial" w:hAnsi="Arial"/>
          <w:sz w:val="21"/>
          <w:szCs w:val="21"/>
          <w:color w:val="0071CE"/>
        </w:rPr>
      </w:pPr>
      <w:r>
        <w:rPr>
          <w:rFonts w:ascii="Arial" w:cs="Arial" w:eastAsia="Arial" w:hAnsi="Arial"/>
          <w:sz w:val="25"/>
          <w:szCs w:val="25"/>
          <w:color w:val="3E3935"/>
        </w:rPr>
        <w:t>Pension Benefits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3E3935"/>
        </w:rPr>
        <w:t>GM Salaried Retirement Plan</w:t>
      </w:r>
    </w:p>
    <w:p>
      <w:pPr>
        <w:spacing w:after="0" w:line="120"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Salaried Retirement Plan (“SRP”) is a funded, tax-qualified retirement program that covers</w:t>
      </w:r>
      <w:r>
        <w:rPr>
          <w:rFonts w:ascii="Arial" w:cs="Arial" w:eastAsia="Arial" w:hAnsi="Arial"/>
          <w:sz w:val="20"/>
          <w:szCs w:val="20"/>
          <w:b w:val="1"/>
          <w:bCs w:val="1"/>
          <w:color w:val="0071CE"/>
        </w:rPr>
        <w:t xml:space="preserve"> </w:t>
      </w:r>
      <w:r>
        <w:rPr>
          <w:rFonts w:ascii="Arial" w:cs="Arial" w:eastAsia="Arial" w:hAnsi="Arial"/>
          <w:sz w:val="20"/>
          <w:szCs w:val="20"/>
          <w:color w:val="3E3935"/>
        </w:rPr>
        <w:t>eligible employees hired prior to 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Benefit Formula:</w:t>
      </w:r>
    </w:p>
    <w:p>
      <w:pPr>
        <w:spacing w:after="0" w:line="11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Service Prior to January 1, 2001: </w:t>
      </w:r>
      <w:r>
        <w:rPr>
          <w:rFonts w:ascii="Arial" w:cs="Arial" w:eastAsia="Arial" w:hAnsi="Arial"/>
          <w:sz w:val="20"/>
          <w:szCs w:val="20"/>
          <w:color w:val="3E3935"/>
        </w:rPr>
        <w:t>The plan provided benefits on both a contributory and noncontributory formula.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of the employee’s eligible earnings up to the IRS-prescribed limits for tax-qualified plans. The 1.25% accruals were frozen September 30, 2012.</w:t>
      </w:r>
    </w:p>
    <w:p>
      <w:pPr>
        <w:spacing w:after="0" w:line="105"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71CE"/>
        </w:rPr>
        <w:t xml:space="preserve">Service from January 1, 2001, to December 31, 2006: </w:t>
      </w:r>
      <w:r>
        <w:rPr>
          <w:rFonts w:ascii="Arial" w:cs="Arial" w:eastAsia="Arial" w:hAnsi="Arial"/>
          <w:sz w:val="20"/>
          <w:szCs w:val="20"/>
          <w:color w:val="3E3935"/>
        </w:rPr>
        <w:t>The plan provided benefits under a cash balance formula with pay</w:t>
      </w:r>
      <w:r>
        <w:rPr>
          <w:rFonts w:ascii="Arial" w:cs="Arial" w:eastAsia="Arial" w:hAnsi="Arial"/>
          <w:sz w:val="20"/>
          <w:szCs w:val="20"/>
          <w:b w:val="1"/>
          <w:bCs w:val="1"/>
          <w:color w:val="0071CE"/>
        </w:rPr>
        <w:t xml:space="preserve"> </w:t>
      </w:r>
      <w:r>
        <w:rPr>
          <w:rFonts w:ascii="Arial" w:cs="Arial" w:eastAsia="Arial" w:hAnsi="Arial"/>
          <w:sz w:val="20"/>
          <w:szCs w:val="20"/>
          <w:color w:val="3E3935"/>
        </w:rPr>
        <w:t>credits based on age through December 31, 2006, when the formula was frozen, with balances continuing to earn interest credits thereafter.</w:t>
      </w:r>
    </w:p>
    <w:p>
      <w:pPr>
        <w:spacing w:after="0" w:line="102" w:lineRule="exact"/>
        <w:rPr>
          <w:sz w:val="20"/>
          <w:szCs w:val="20"/>
          <w:color w:val="auto"/>
        </w:rPr>
      </w:pPr>
    </w:p>
    <w:p>
      <w:pPr>
        <w:jc w:val="both"/>
        <w:ind w:left="160"/>
        <w:spacing w:after="0"/>
        <w:rPr>
          <w:sz w:val="20"/>
          <w:szCs w:val="20"/>
          <w:color w:val="auto"/>
        </w:rPr>
      </w:pPr>
      <w:r>
        <w:rPr>
          <w:rFonts w:ascii="Arial" w:cs="Arial" w:eastAsia="Arial" w:hAnsi="Arial"/>
          <w:sz w:val="19"/>
          <w:szCs w:val="19"/>
          <w:b w:val="1"/>
          <w:bCs w:val="1"/>
          <w:color w:val="0071CE"/>
        </w:rPr>
        <w:t xml:space="preserve">Time and Form of Payment: </w:t>
      </w:r>
      <w:r>
        <w:rPr>
          <w:rFonts w:ascii="Arial" w:cs="Arial" w:eastAsia="Arial" w:hAnsi="Arial"/>
          <w:sz w:val="19"/>
          <w:szCs w:val="19"/>
          <w:color w:val="3E3935"/>
        </w:rPr>
        <w:t>For employees hired prior to January 1, 2001, the accumulated benefit an employee earns over</w:t>
      </w:r>
      <w:r>
        <w:rPr>
          <w:rFonts w:ascii="Arial" w:cs="Arial" w:eastAsia="Arial" w:hAnsi="Arial"/>
          <w:sz w:val="19"/>
          <w:szCs w:val="19"/>
          <w:b w:val="1"/>
          <w:bCs w:val="1"/>
          <w:color w:val="0071CE"/>
        </w:rPr>
        <w:t xml:space="preserve"> </w:t>
      </w:r>
      <w:r>
        <w:rPr>
          <w:rFonts w:ascii="Arial" w:cs="Arial" w:eastAsia="Arial" w:hAnsi="Arial"/>
          <w:sz w:val="19"/>
          <w:szCs w:val="19"/>
          <w:color w:val="3E3935"/>
        </w:rPr>
        <w:t>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2020, Ms. Barra and Messrs. Reuss, Parks, Carlisle, and Stapleton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lump sum option. For employees hired from January 1, 2001, to December 31, 2006, the plan provides a single-life annuity, a contingent annuitant optional form of payment, or a 100% lump sum option.</w:t>
      </w:r>
    </w:p>
    <w:p>
      <w:pPr>
        <w:spacing w:after="0" w:line="89"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Tax Code Limitations on Benefits: </w:t>
      </w:r>
      <w:r>
        <w:rPr>
          <w:rFonts w:ascii="Arial" w:cs="Arial" w:eastAsia="Arial" w:hAnsi="Arial"/>
          <w:sz w:val="20"/>
          <w:szCs w:val="20"/>
          <w:color w:val="3E3935"/>
        </w:rPr>
        <w:t>Section 415(b)(1)(A) of the IRC limits the benefits payable under the SRP. For 2020,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maximum single life annuity an NEO could have received under these limits was $230,000 per year. This ceiling is actuarially adjusted in accordance with IRS rules to reflect employee contributions, actual forms of distribution, and actual retirement dates.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3E3935"/>
        </w:rPr>
        <w:t>GM Executive Retirement Plan</w:t>
      </w:r>
    </w:p>
    <w:p>
      <w:pPr>
        <w:spacing w:after="0" w:line="160" w:lineRule="exact"/>
        <w:rPr>
          <w:sz w:val="20"/>
          <w:szCs w:val="20"/>
          <w:color w:val="auto"/>
        </w:rPr>
      </w:pPr>
    </w:p>
    <w:p>
      <w:pPr>
        <w:jc w:val="both"/>
        <w:ind w:left="160"/>
        <w:spacing w:after="0" w:line="280" w:lineRule="auto"/>
        <w:rPr>
          <w:sz w:val="20"/>
          <w:szCs w:val="20"/>
          <w:color w:val="auto"/>
        </w:rPr>
      </w:pPr>
      <w:r>
        <w:rPr>
          <w:rFonts w:ascii="Arial" w:cs="Arial" w:eastAsia="Arial" w:hAnsi="Arial"/>
          <w:sz w:val="19"/>
          <w:szCs w:val="19"/>
          <w:b w:val="1"/>
          <w:bCs w:val="1"/>
          <w:color w:val="0071CE"/>
        </w:rPr>
        <w:t xml:space="preserve">Eligibility and Vesting: </w:t>
      </w:r>
      <w:r>
        <w:rPr>
          <w:rFonts w:ascii="Arial" w:cs="Arial" w:eastAsia="Arial" w:hAnsi="Arial"/>
          <w:sz w:val="19"/>
          <w:szCs w:val="19"/>
          <w:color w:val="3E3935"/>
        </w:rPr>
        <w:t>The GM Executive Retirement Plan (“DB ERP”) is an unfunded, non-tax-qualified retirement program</w:t>
      </w:r>
      <w:r>
        <w:rPr>
          <w:rFonts w:ascii="Arial" w:cs="Arial" w:eastAsia="Arial" w:hAnsi="Arial"/>
          <w:sz w:val="19"/>
          <w:szCs w:val="19"/>
          <w:b w:val="1"/>
          <w:bCs w:val="1"/>
          <w:color w:val="0071CE"/>
        </w:rPr>
        <w:t xml:space="preserve"> </w:t>
      </w:r>
      <w:r>
        <w:rPr>
          <w:rFonts w:ascii="Arial" w:cs="Arial" w:eastAsia="Arial" w:hAnsi="Arial"/>
          <w:sz w:val="19"/>
          <w:szCs w:val="19"/>
          <w:color w:val="3E3935"/>
        </w:rPr>
        <w:t>that covers eligible executives to provide retirement benefits above amounts available under our other pension programs.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Benefit Formula:</w:t>
      </w:r>
    </w:p>
    <w:p>
      <w:pPr>
        <w:spacing w:after="0" w:line="131"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Service Prior to January 1, 2007: </w:t>
      </w:r>
      <w:r>
        <w:rPr>
          <w:rFonts w:ascii="Arial" w:cs="Arial" w:eastAsia="Arial" w:hAnsi="Arial"/>
          <w:sz w:val="20"/>
          <w:szCs w:val="20"/>
          <w:color w:val="3E3935"/>
        </w:rPr>
        <w:t>The supplemental pension will equal the greater of (a) 2% of the average monthly base</w:t>
      </w:r>
      <w:r>
        <w:rPr>
          <w:rFonts w:ascii="Arial" w:cs="Arial" w:eastAsia="Arial" w:hAnsi="Arial"/>
          <w:sz w:val="20"/>
          <w:szCs w:val="20"/>
          <w:b w:val="1"/>
          <w:bCs w:val="1"/>
          <w:color w:val="0071CE"/>
        </w:rPr>
        <w:t xml:space="preserve"> </w:t>
      </w:r>
      <w:r>
        <w:rPr>
          <w:rFonts w:ascii="Arial" w:cs="Arial" w:eastAsia="Arial" w:hAnsi="Arial"/>
          <w:sz w:val="20"/>
          <w:szCs w:val="20"/>
          <w:color w:val="3E3935"/>
        </w:rPr>
        <w:t>salary multiplied by all years of contributory service less the sum of all benefits payable under the SRP plus the maximum Social Security benefit as of January 2007 multiplied by all years of contributory service or (b) 1.5% of the average monthly base salary plus annual incentive plan compensation multiplied by all years of contributory service, up to a maximum of 35 years, less the sum of all benefits payable under the SRP plus 100% of the maximum Social Security benefit as of January 2007. In both cases,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82550</wp:posOffset>
            </wp:positionV>
            <wp:extent cx="5927725" cy="1016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5"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76</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salary and annual incentive plan payments are determined using the highest 60 months out of the last 120 months as of December 31, 2006. These DB accruals were frozen on December 31, 2006, with service continuing towards eligibility to retire.</w:t>
      </w:r>
    </w:p>
    <w:p>
      <w:pPr>
        <w:spacing w:after="0" w:line="104"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Service from January 1, 2007, to September 30, 2012: </w:t>
      </w:r>
      <w:r>
        <w:rPr>
          <w:rFonts w:ascii="Arial" w:cs="Arial" w:eastAsia="Arial" w:hAnsi="Arial"/>
          <w:sz w:val="20"/>
          <w:szCs w:val="20"/>
          <w:color w:val="3E3935"/>
        </w:rPr>
        <w:t>For employees hired prior to January 1, 2001, the supplemental</w:t>
      </w:r>
      <w:r>
        <w:rPr>
          <w:rFonts w:ascii="Arial" w:cs="Arial" w:eastAsia="Arial" w:hAnsi="Arial"/>
          <w:sz w:val="20"/>
          <w:szCs w:val="20"/>
          <w:b w:val="1"/>
          <w:bCs w:val="1"/>
          <w:color w:val="0071CE"/>
        </w:rPr>
        <w:t xml:space="preserve"> </w:t>
      </w:r>
      <w:r>
        <w:rPr>
          <w:rFonts w:ascii="Arial" w:cs="Arial" w:eastAsia="Arial" w:hAnsi="Arial"/>
          <w:sz w:val="20"/>
          <w:szCs w:val="20"/>
          <w:color w:val="3E3935"/>
        </w:rPr>
        <w:t>pension will equal 1.25% multiplied by their annual base salary plus short-term incentive payments and is applicable to amounts in excess of the IRS-prescribed limit applicable to tax-qualified plans. These DB accruals were frozen on September 30, 2012, with service continuing towards eligibility to retire.</w:t>
      </w:r>
    </w:p>
    <w:p>
      <w:pPr>
        <w:spacing w:after="0" w:line="102"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Time and Form of Payment: </w:t>
      </w:r>
      <w:r>
        <w:rPr>
          <w:rFonts w:ascii="Arial" w:cs="Arial" w:eastAsia="Arial" w:hAnsi="Arial"/>
          <w:sz w:val="20"/>
          <w:szCs w:val="20"/>
          <w:color w:val="3E3935"/>
        </w:rPr>
        <w:t>Normal retirement age under the plan is age 65; however, employees who commenced service</w:t>
      </w:r>
      <w:r>
        <w:rPr>
          <w:rFonts w:ascii="Arial" w:cs="Arial" w:eastAsia="Arial" w:hAnsi="Arial"/>
          <w:sz w:val="20"/>
          <w:szCs w:val="20"/>
          <w:b w:val="1"/>
          <w:bCs w:val="1"/>
          <w:color w:val="0071CE"/>
        </w:rPr>
        <w:t xml:space="preserve"> </w:t>
      </w:r>
      <w:r>
        <w:rPr>
          <w:rFonts w:ascii="Arial" w:cs="Arial" w:eastAsia="Arial" w:hAnsi="Arial"/>
          <w:sz w:val="20"/>
          <w:szCs w:val="20"/>
          <w:color w:val="3E3935"/>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SRP. As of December 31, 2020, Ms. Barra and Messrs. Reuss, Parks, and Carlisle were eligible for early retirement. The DB ERP is payable as a five-year certain annuity, with payments starting upon the retirement of the executive and continuing for 60 months.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3E3935"/>
        </w:rPr>
        <w:t>GM Canadian Retirement Program for Salaried Employees</w:t>
      </w:r>
    </w:p>
    <w:p>
      <w:pPr>
        <w:spacing w:after="0" w:line="160"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Canadian Retirement Program for Salaried Employees (“GM Canada Salaried Plan”) is a</w:t>
      </w:r>
      <w:r>
        <w:rPr>
          <w:rFonts w:ascii="Arial" w:cs="Arial" w:eastAsia="Arial" w:hAnsi="Arial"/>
          <w:sz w:val="20"/>
          <w:szCs w:val="20"/>
          <w:b w:val="1"/>
          <w:bCs w:val="1"/>
          <w:color w:val="0071CE"/>
        </w:rPr>
        <w:t xml:space="preserve"> </w:t>
      </w:r>
      <w:r>
        <w:rPr>
          <w:rFonts w:ascii="Arial" w:cs="Arial" w:eastAsia="Arial" w:hAnsi="Arial"/>
          <w:sz w:val="20"/>
          <w:szCs w:val="20"/>
          <w:color w:val="3E3935"/>
        </w:rPr>
        <w:t>funded DB plan open to all GM Canada employees hired prior to January 1, 2007, when it closed to new entrants. The plan permitted employee contributions, which vested immediately, until December 31, 2012. All DB accruals were frozen on December 31, 2012, with service continuing towards eligibility to retire.</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3E3935"/>
        </w:rPr>
        <w:t>Benefit Formula:</w:t>
      </w:r>
    </w:p>
    <w:p>
      <w:pPr>
        <w:spacing w:after="0" w:line="118"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Service Prior to January 1, 2007: </w:t>
      </w:r>
      <w:r>
        <w:rPr>
          <w:rFonts w:ascii="Arial" w:cs="Arial" w:eastAsia="Arial" w:hAnsi="Arial"/>
          <w:sz w:val="20"/>
          <w:szCs w:val="20"/>
          <w:color w:val="3E3935"/>
        </w:rPr>
        <w:t>1.0% of final 3-year average pay plus 0.75% of final 3-year average pay in excess of</w:t>
      </w:r>
      <w:r>
        <w:rPr>
          <w:rFonts w:ascii="Arial" w:cs="Arial" w:eastAsia="Arial" w:hAnsi="Arial"/>
          <w:sz w:val="20"/>
          <w:szCs w:val="20"/>
          <w:b w:val="1"/>
          <w:bCs w:val="1"/>
          <w:color w:val="0071CE"/>
        </w:rPr>
        <w:t xml:space="preserve"> </w:t>
      </w:r>
      <w:r>
        <w:rPr>
          <w:rFonts w:ascii="Arial" w:cs="Arial" w:eastAsia="Arial" w:hAnsi="Arial"/>
          <w:sz w:val="20"/>
          <w:szCs w:val="20"/>
          <w:color w:val="3E3935"/>
        </w:rPr>
        <w:t>3-year average Yearly Maximum Pensionable Earnings (“YMPE”) per year of contributory service (the 1.0% formula is subject to a Minimum Basic Benefit of $67 per month per year of contributory service prior to January 1, 2007, if retiring on or after October 1, 2006). Average pay and average YMPE were frozen as of December 31, 2006, for all those active as of December 31, 2006, except for Quebec active members, whose future earnings and YMPE growth are reflected.</w:t>
      </w:r>
    </w:p>
    <w:p>
      <w:pPr>
        <w:spacing w:after="0" w:line="10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Time and Form of Payment: </w:t>
      </w:r>
      <w:r>
        <w:rPr>
          <w:rFonts w:ascii="Arial" w:cs="Arial" w:eastAsia="Arial" w:hAnsi="Arial"/>
          <w:sz w:val="20"/>
          <w:szCs w:val="20"/>
          <w:color w:val="3E3935"/>
        </w:rPr>
        <w:t>Normal retirement age is defined as age 65. Employees who commenced service prior to 1988</w:t>
      </w:r>
      <w:r>
        <w:rPr>
          <w:rFonts w:ascii="Arial" w:cs="Arial" w:eastAsia="Arial" w:hAnsi="Arial"/>
          <w:sz w:val="20"/>
          <w:szCs w:val="20"/>
          <w:b w:val="1"/>
          <w:bCs w:val="1"/>
          <w:color w:val="0071CE"/>
        </w:rPr>
        <w:t xml:space="preserve"> </w:t>
      </w:r>
      <w:r>
        <w:rPr>
          <w:rFonts w:ascii="Arial" w:cs="Arial" w:eastAsia="Arial" w:hAnsi="Arial"/>
          <w:sz w:val="20"/>
          <w:szCs w:val="20"/>
          <w:color w:val="3E3935"/>
        </w:rPr>
        <w:t>may elect early retirement after 30 years of credited service, 85 points, based on combined age and service, or age 60 and 10 or more years of service, with certain age-reduction factors applied. As of December 31, 2020, Mr. Carlisle was eligible for early retirement. The plan also provides bridging supplements. The plan provides a single-life annuity, a spousal joint and survivor annuity, a contingent annuitant optional form of payment, or a 100% lump sum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84455</wp:posOffset>
            </wp:positionV>
            <wp:extent cx="5927725" cy="1016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77</w:t>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71CE"/>
        </w:rPr>
        <w:t xml:space="preserve">Tax Code Limitations on Benefits: </w:t>
      </w:r>
      <w:r>
        <w:rPr>
          <w:rFonts w:ascii="Arial" w:cs="Arial" w:eastAsia="Arial" w:hAnsi="Arial"/>
          <w:sz w:val="20"/>
          <w:szCs w:val="20"/>
          <w:color w:val="3E3935"/>
        </w:rPr>
        <w:t>The Income Tax Act limits the benefits payable from a registered pension plan.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The table below reflects pension benefits as of December 31, 2020, provided by the respective plans.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480" w:type="dxa"/>
            <w:vAlign w:val="bottom"/>
            <w:tcBorders>
              <w:top w:val="single" w:sz="8" w:color="00C1DE"/>
            </w:tcBorders>
          </w:tcPr>
          <w:p>
            <w:pPr>
              <w:spacing w:after="0"/>
              <w:rPr>
                <w:sz w:val="18"/>
                <w:szCs w:val="18"/>
                <w:color w:val="auto"/>
              </w:rPr>
            </w:pPr>
          </w:p>
        </w:tc>
        <w:tc>
          <w:tcPr>
            <w:tcW w:w="2860" w:type="dxa"/>
            <w:vAlign w:val="bottom"/>
            <w:tcBorders>
              <w:top w:val="single" w:sz="8" w:color="00C1DE"/>
            </w:tcBorders>
          </w:tcPr>
          <w:p>
            <w:pPr>
              <w:spacing w:after="0"/>
              <w:rPr>
                <w:sz w:val="18"/>
                <w:szCs w:val="18"/>
                <w:color w:val="auto"/>
              </w:rPr>
            </w:pPr>
          </w:p>
        </w:tc>
        <w:tc>
          <w:tcPr>
            <w:tcW w:w="2000" w:type="dxa"/>
            <w:vAlign w:val="bottom"/>
            <w:tcBorders>
              <w:top w:val="single" w:sz="8" w:color="00C1DE"/>
            </w:tcBorders>
          </w:tcPr>
          <w:p>
            <w:pPr>
              <w:jc w:val="right"/>
              <w:ind w:right="22"/>
              <w:spacing w:after="0" w:line="213" w:lineRule="exact"/>
              <w:rPr>
                <w:sz w:val="20"/>
                <w:szCs w:val="20"/>
                <w:color w:val="auto"/>
              </w:rPr>
            </w:pPr>
            <w:r>
              <w:rPr>
                <w:rFonts w:ascii="Arial" w:cs="Arial" w:eastAsia="Arial" w:hAnsi="Arial"/>
                <w:sz w:val="20"/>
                <w:szCs w:val="20"/>
                <w:b w:val="1"/>
                <w:bCs w:val="1"/>
                <w:color w:val="00C1DE"/>
              </w:rPr>
              <w:t>Number of Years</w:t>
            </w:r>
          </w:p>
        </w:tc>
        <w:tc>
          <w:tcPr>
            <w:tcW w:w="1760" w:type="dxa"/>
            <w:vAlign w:val="bottom"/>
            <w:tcBorders>
              <w:top w:val="single" w:sz="8" w:color="00C1DE"/>
            </w:tcBorders>
          </w:tcPr>
          <w:p>
            <w:pPr>
              <w:spacing w:after="0"/>
              <w:rPr>
                <w:sz w:val="18"/>
                <w:szCs w:val="18"/>
                <w:color w:val="auto"/>
              </w:rPr>
            </w:pPr>
          </w:p>
        </w:tc>
        <w:tc>
          <w:tcPr>
            <w:tcW w:w="1820" w:type="dxa"/>
            <w:vAlign w:val="bottom"/>
            <w:tcBorders>
              <w:top w:val="single" w:sz="8" w:color="00C1DE"/>
            </w:tcBorders>
          </w:tcPr>
          <w:p>
            <w:pPr>
              <w:spacing w:after="0"/>
              <w:rPr>
                <w:sz w:val="18"/>
                <w:szCs w:val="18"/>
                <w:color w:val="auto"/>
              </w:rPr>
            </w:pPr>
          </w:p>
        </w:tc>
      </w:tr>
      <w:tr>
        <w:trPr>
          <w:trHeight w:val="214"/>
        </w:trPr>
        <w:tc>
          <w:tcPr>
            <w:tcW w:w="2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tcPr>
          <w:p>
            <w:pPr>
              <w:jc w:val="right"/>
              <w:ind w:right="22"/>
              <w:spacing w:after="0" w:line="214" w:lineRule="exact"/>
              <w:rPr>
                <w:sz w:val="20"/>
                <w:szCs w:val="20"/>
                <w:color w:val="auto"/>
              </w:rPr>
            </w:pPr>
            <w:r>
              <w:rPr>
                <w:rFonts w:ascii="Arial" w:cs="Arial" w:eastAsia="Arial" w:hAnsi="Arial"/>
                <w:sz w:val="20"/>
                <w:szCs w:val="20"/>
                <w:b w:val="1"/>
                <w:bCs w:val="1"/>
                <w:color w:val="00C1DE"/>
              </w:rPr>
              <w:t>of Eligible Credited</w:t>
            </w:r>
          </w:p>
        </w:tc>
        <w:tc>
          <w:tcPr>
            <w:tcW w:w="176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C1DE"/>
              </w:rPr>
              <w:t>Present Value of</w:t>
            </w:r>
          </w:p>
        </w:tc>
        <w:tc>
          <w:tcPr>
            <w:tcW w:w="1820" w:type="dxa"/>
            <w:vAlign w:val="bottom"/>
          </w:tcPr>
          <w:p>
            <w:pPr>
              <w:spacing w:after="0"/>
              <w:rPr>
                <w:sz w:val="18"/>
                <w:szCs w:val="18"/>
                <w:color w:val="auto"/>
              </w:rPr>
            </w:pPr>
          </w:p>
        </w:tc>
      </w:tr>
      <w:tr>
        <w:trPr>
          <w:trHeight w:val="214"/>
        </w:trPr>
        <w:tc>
          <w:tcPr>
            <w:tcW w:w="2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tcPr>
          <w:p>
            <w:pPr>
              <w:jc w:val="right"/>
              <w:ind w:right="22"/>
              <w:spacing w:after="0" w:line="214" w:lineRule="exact"/>
              <w:rPr>
                <w:sz w:val="20"/>
                <w:szCs w:val="20"/>
                <w:color w:val="auto"/>
              </w:rPr>
            </w:pPr>
            <w:r>
              <w:rPr>
                <w:rFonts w:ascii="Arial" w:cs="Arial" w:eastAsia="Arial" w:hAnsi="Arial"/>
                <w:sz w:val="20"/>
                <w:szCs w:val="20"/>
                <w:b w:val="1"/>
                <w:bCs w:val="1"/>
                <w:color w:val="00C1DE"/>
              </w:rPr>
              <w:t>Service as of</w:t>
            </w:r>
          </w:p>
        </w:tc>
        <w:tc>
          <w:tcPr>
            <w:tcW w:w="176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C1DE"/>
              </w:rPr>
              <w:t>Accumulated</w:t>
            </w:r>
          </w:p>
        </w:tc>
        <w:tc>
          <w:tcPr>
            <w:tcW w:w="182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C1DE"/>
              </w:rPr>
              <w:t>Payments During</w:t>
            </w:r>
          </w:p>
        </w:tc>
      </w:tr>
      <w:tr>
        <w:trPr>
          <w:trHeight w:val="214"/>
        </w:trPr>
        <w:tc>
          <w:tcPr>
            <w:tcW w:w="2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tcPr>
          <w:p>
            <w:pPr>
              <w:jc w:val="right"/>
              <w:ind w:right="22"/>
              <w:spacing w:after="0" w:line="214" w:lineRule="exact"/>
              <w:rPr>
                <w:sz w:val="20"/>
                <w:szCs w:val="20"/>
                <w:color w:val="auto"/>
              </w:rPr>
            </w:pPr>
            <w:r>
              <w:rPr>
                <w:rFonts w:ascii="Arial" w:cs="Arial" w:eastAsia="Arial" w:hAnsi="Arial"/>
                <w:sz w:val="20"/>
                <w:szCs w:val="20"/>
                <w:b w:val="1"/>
                <w:bCs w:val="1"/>
                <w:color w:val="00C1DE"/>
              </w:rPr>
              <w:t>December 31,</w:t>
            </w:r>
          </w:p>
        </w:tc>
        <w:tc>
          <w:tcPr>
            <w:tcW w:w="176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C1DE"/>
              </w:rPr>
              <w:t>Benefits</w:t>
            </w:r>
            <w:r>
              <w:rPr>
                <w:rFonts w:ascii="Arial" w:cs="Arial" w:eastAsia="Arial" w:hAnsi="Arial"/>
                <w:sz w:val="16"/>
                <w:szCs w:val="16"/>
                <w:b w:val="1"/>
                <w:bCs w:val="1"/>
                <w:color w:val="00C1DE"/>
              </w:rPr>
              <w:t>(2)</w:t>
            </w:r>
          </w:p>
        </w:tc>
        <w:tc>
          <w:tcPr>
            <w:tcW w:w="182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C1DE"/>
              </w:rPr>
              <w:t>Last Fiscal Year</w:t>
            </w:r>
          </w:p>
        </w:tc>
      </w:tr>
      <w:tr>
        <w:trPr>
          <w:trHeight w:val="277"/>
        </w:trPr>
        <w:tc>
          <w:tcPr>
            <w:tcW w:w="2480" w:type="dxa"/>
            <w:vAlign w:val="bottom"/>
            <w:tcBorders>
              <w:bottom w:val="single" w:sz="8" w:color="00C1DE"/>
            </w:tcBorders>
          </w:tcPr>
          <w:p>
            <w:pPr>
              <w:ind w:left="120"/>
              <w:spacing w:after="0"/>
              <w:rPr>
                <w:sz w:val="20"/>
                <w:szCs w:val="20"/>
                <w:color w:val="auto"/>
              </w:rPr>
            </w:pPr>
            <w:r>
              <w:rPr>
                <w:rFonts w:ascii="Arial" w:cs="Arial" w:eastAsia="Arial" w:hAnsi="Arial"/>
                <w:sz w:val="20"/>
                <w:szCs w:val="20"/>
                <w:b w:val="1"/>
                <w:bCs w:val="1"/>
                <w:color w:val="00C1DE"/>
              </w:rPr>
              <w:t>Name</w:t>
            </w:r>
          </w:p>
        </w:tc>
        <w:tc>
          <w:tcPr>
            <w:tcW w:w="2860" w:type="dxa"/>
            <w:vAlign w:val="bottom"/>
            <w:tcBorders>
              <w:bottom w:val="single" w:sz="8" w:color="00C1DE"/>
            </w:tcBorders>
          </w:tcPr>
          <w:p>
            <w:pPr>
              <w:ind w:left="480"/>
              <w:spacing w:after="0"/>
              <w:rPr>
                <w:sz w:val="20"/>
                <w:szCs w:val="20"/>
                <w:color w:val="auto"/>
              </w:rPr>
            </w:pPr>
            <w:r>
              <w:rPr>
                <w:rFonts w:ascii="Arial" w:cs="Arial" w:eastAsia="Arial" w:hAnsi="Arial"/>
                <w:sz w:val="20"/>
                <w:szCs w:val="20"/>
                <w:b w:val="1"/>
                <w:bCs w:val="1"/>
                <w:color w:val="00C1DE"/>
              </w:rPr>
              <w:t>Plan Name</w:t>
            </w:r>
          </w:p>
        </w:tc>
        <w:tc>
          <w:tcPr>
            <w:tcW w:w="2000" w:type="dxa"/>
            <w:vAlign w:val="bottom"/>
            <w:tcBorders>
              <w:bottom w:val="single" w:sz="8" w:color="00C1DE"/>
            </w:tcBorders>
          </w:tcPr>
          <w:p>
            <w:pPr>
              <w:jc w:val="right"/>
              <w:ind w:right="22"/>
              <w:spacing w:after="0"/>
              <w:rPr>
                <w:sz w:val="20"/>
                <w:szCs w:val="20"/>
                <w:color w:val="auto"/>
              </w:rPr>
            </w:pPr>
            <w:r>
              <w:rPr>
                <w:rFonts w:ascii="Arial" w:cs="Arial" w:eastAsia="Arial" w:hAnsi="Arial"/>
                <w:sz w:val="20"/>
                <w:szCs w:val="20"/>
                <w:b w:val="1"/>
                <w:bCs w:val="1"/>
                <w:color w:val="00C1DE"/>
              </w:rPr>
              <w:t>2020</w:t>
            </w:r>
            <w:r>
              <w:rPr>
                <w:rFonts w:ascii="Arial" w:cs="Arial" w:eastAsia="Arial" w:hAnsi="Arial"/>
                <w:sz w:val="16"/>
                <w:szCs w:val="16"/>
                <w:b w:val="1"/>
                <w:bCs w:val="1"/>
                <w:color w:val="00C1DE"/>
              </w:rPr>
              <w:t>(1)</w:t>
            </w:r>
          </w:p>
        </w:tc>
        <w:tc>
          <w:tcPr>
            <w:tcW w:w="1760" w:type="dxa"/>
            <w:vAlign w:val="bottom"/>
            <w:tcBorders>
              <w:bottom w:val="single" w:sz="8" w:color="00C1DE"/>
            </w:tcBorders>
          </w:tcPr>
          <w:p>
            <w:pPr>
              <w:jc w:val="right"/>
              <w:ind w:right="2"/>
              <w:spacing w:after="0"/>
              <w:rPr>
                <w:sz w:val="20"/>
                <w:szCs w:val="20"/>
                <w:color w:val="auto"/>
              </w:rPr>
            </w:pPr>
            <w:r>
              <w:rPr>
                <w:rFonts w:ascii="Arial" w:cs="Arial" w:eastAsia="Arial" w:hAnsi="Arial"/>
                <w:sz w:val="20"/>
                <w:szCs w:val="20"/>
                <w:b w:val="1"/>
                <w:bCs w:val="1"/>
                <w:color w:val="00C1DE"/>
              </w:rPr>
              <w:t>($)</w:t>
            </w:r>
          </w:p>
        </w:tc>
        <w:tc>
          <w:tcPr>
            <w:tcW w:w="1820" w:type="dxa"/>
            <w:vAlign w:val="bottom"/>
            <w:tcBorders>
              <w:bottom w:val="single" w:sz="8" w:color="00C1DE"/>
            </w:tcBorders>
          </w:tcPr>
          <w:p>
            <w:pPr>
              <w:jc w:val="right"/>
              <w:ind w:right="2"/>
              <w:spacing w:after="0"/>
              <w:rPr>
                <w:sz w:val="20"/>
                <w:szCs w:val="20"/>
                <w:color w:val="auto"/>
              </w:rPr>
            </w:pPr>
            <w:r>
              <w:rPr>
                <w:rFonts w:ascii="Arial" w:cs="Arial" w:eastAsia="Arial" w:hAnsi="Arial"/>
                <w:sz w:val="20"/>
                <w:szCs w:val="20"/>
                <w:b w:val="1"/>
                <w:bCs w:val="1"/>
                <w:color w:val="00C1DE"/>
              </w:rPr>
              <w:t>($)</w:t>
            </w:r>
          </w:p>
        </w:tc>
      </w:tr>
      <w:tr>
        <w:trPr>
          <w:trHeight w:val="297"/>
        </w:trPr>
        <w:tc>
          <w:tcPr>
            <w:tcW w:w="2480" w:type="dxa"/>
            <w:vAlign w:val="bottom"/>
          </w:tcPr>
          <w:p>
            <w:pPr>
              <w:ind w:left="100"/>
              <w:spacing w:after="0"/>
              <w:rPr>
                <w:sz w:val="20"/>
                <w:szCs w:val="20"/>
                <w:color w:val="auto"/>
              </w:rPr>
            </w:pPr>
            <w:r>
              <w:rPr>
                <w:rFonts w:ascii="Arial" w:cs="Arial" w:eastAsia="Arial" w:hAnsi="Arial"/>
                <w:sz w:val="20"/>
                <w:szCs w:val="20"/>
                <w:color w:val="3E3935"/>
              </w:rPr>
              <w:t>Mary T. Barra</w:t>
            </w:r>
          </w:p>
        </w:tc>
        <w:tc>
          <w:tcPr>
            <w:tcW w:w="2860" w:type="dxa"/>
            <w:vAlign w:val="bottom"/>
          </w:tcPr>
          <w:p>
            <w:pPr>
              <w:ind w:left="480"/>
              <w:spacing w:after="0"/>
              <w:rPr>
                <w:sz w:val="20"/>
                <w:szCs w:val="20"/>
                <w:color w:val="auto"/>
              </w:rPr>
            </w:pPr>
            <w:r>
              <w:rPr>
                <w:rFonts w:ascii="Arial" w:cs="Arial" w:eastAsia="Arial" w:hAnsi="Arial"/>
                <w:sz w:val="20"/>
                <w:szCs w:val="20"/>
                <w:color w:val="3E3935"/>
              </w:rPr>
              <w:t>SRP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38.3</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1,433,801</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321"/>
        </w:trPr>
        <w:tc>
          <w:tcPr>
            <w:tcW w:w="248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Arial" w:cs="Arial" w:eastAsia="Arial" w:hAnsi="Arial"/>
                <w:sz w:val="20"/>
                <w:szCs w:val="20"/>
                <w:color w:val="3E3935"/>
              </w:rPr>
              <w:t>DB ERP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38.3</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1,297,654</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Paul A. Jacobson</w:t>
            </w:r>
            <w:r>
              <w:rPr>
                <w:rFonts w:ascii="Arial" w:cs="Arial" w:eastAsia="Arial" w:hAnsi="Arial"/>
                <w:sz w:val="16"/>
                <w:szCs w:val="16"/>
                <w:color w:val="3E3935"/>
              </w:rPr>
              <w:t>(3)</w:t>
            </w:r>
          </w:p>
        </w:tc>
        <w:tc>
          <w:tcPr>
            <w:tcW w:w="2860" w:type="dxa"/>
            <w:vAlign w:val="bottom"/>
          </w:tcPr>
          <w:p>
            <w:pPr>
              <w:ind w:left="480"/>
              <w:spacing w:after="0"/>
              <w:rPr>
                <w:sz w:val="20"/>
                <w:szCs w:val="20"/>
                <w:color w:val="auto"/>
              </w:rPr>
            </w:pPr>
            <w:r>
              <w:rPr>
                <w:rFonts w:ascii="Arial" w:cs="Arial" w:eastAsia="Arial" w:hAnsi="Arial"/>
                <w:sz w:val="20"/>
                <w:szCs w:val="20"/>
                <w:color w:val="3E3935"/>
              </w:rPr>
              <w:t>—</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Mark L. Reuss</w:t>
            </w:r>
          </w:p>
        </w:tc>
        <w:tc>
          <w:tcPr>
            <w:tcW w:w="2860" w:type="dxa"/>
            <w:vAlign w:val="bottom"/>
          </w:tcPr>
          <w:p>
            <w:pPr>
              <w:ind w:left="480"/>
              <w:spacing w:after="0"/>
              <w:rPr>
                <w:sz w:val="20"/>
                <w:szCs w:val="20"/>
                <w:color w:val="auto"/>
              </w:rPr>
            </w:pPr>
            <w:r>
              <w:rPr>
                <w:rFonts w:ascii="Arial" w:cs="Arial" w:eastAsia="Arial" w:hAnsi="Arial"/>
                <w:sz w:val="20"/>
                <w:szCs w:val="20"/>
                <w:color w:val="3E3935"/>
              </w:rPr>
              <w:t>SRP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33.8</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1,181,804</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321"/>
        </w:trPr>
        <w:tc>
          <w:tcPr>
            <w:tcW w:w="248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Arial" w:cs="Arial" w:eastAsia="Arial" w:hAnsi="Arial"/>
                <w:sz w:val="20"/>
                <w:szCs w:val="20"/>
                <w:color w:val="3E3935"/>
              </w:rPr>
              <w:t>DB ERP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33.8</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830,762</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Douglas L. Parks</w:t>
            </w:r>
          </w:p>
        </w:tc>
        <w:tc>
          <w:tcPr>
            <w:tcW w:w="2860" w:type="dxa"/>
            <w:vAlign w:val="bottom"/>
          </w:tcPr>
          <w:p>
            <w:pPr>
              <w:ind w:left="480"/>
              <w:spacing w:after="0"/>
              <w:rPr>
                <w:sz w:val="20"/>
                <w:szCs w:val="20"/>
                <w:color w:val="auto"/>
              </w:rPr>
            </w:pPr>
            <w:r>
              <w:rPr>
                <w:rFonts w:ascii="Arial" w:cs="Arial" w:eastAsia="Arial" w:hAnsi="Arial"/>
                <w:sz w:val="20"/>
                <w:szCs w:val="20"/>
                <w:color w:val="3E3935"/>
              </w:rPr>
              <w:t>SRP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35.7</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1,251,629</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321"/>
        </w:trPr>
        <w:tc>
          <w:tcPr>
            <w:tcW w:w="248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Arial" w:cs="Arial" w:eastAsia="Arial" w:hAnsi="Arial"/>
                <w:sz w:val="20"/>
                <w:szCs w:val="20"/>
                <w:color w:val="3E3935"/>
              </w:rPr>
              <w:t>DB ERP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35.7</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533,528</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Stephen K. Carlisle</w:t>
            </w:r>
            <w:r>
              <w:rPr>
                <w:rFonts w:ascii="Arial" w:cs="Arial" w:eastAsia="Arial" w:hAnsi="Arial"/>
                <w:sz w:val="16"/>
                <w:szCs w:val="16"/>
                <w:color w:val="3E3935"/>
              </w:rPr>
              <w:t>(4)</w:t>
            </w:r>
          </w:p>
        </w:tc>
        <w:tc>
          <w:tcPr>
            <w:tcW w:w="2860" w:type="dxa"/>
            <w:vAlign w:val="bottom"/>
          </w:tcPr>
          <w:p>
            <w:pPr>
              <w:ind w:left="480"/>
              <w:spacing w:after="0"/>
              <w:rPr>
                <w:sz w:val="20"/>
                <w:szCs w:val="20"/>
                <w:color w:val="auto"/>
              </w:rPr>
            </w:pPr>
            <w:r>
              <w:rPr>
                <w:rFonts w:ascii="Arial" w:cs="Arial" w:eastAsia="Arial" w:hAnsi="Arial"/>
                <w:sz w:val="20"/>
                <w:szCs w:val="20"/>
                <w:color w:val="3E3935"/>
              </w:rPr>
              <w:t>SRP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36.6</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955,080</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321"/>
        </w:trPr>
        <w:tc>
          <w:tcPr>
            <w:tcW w:w="248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Arial" w:cs="Arial" w:eastAsia="Arial" w:hAnsi="Arial"/>
                <w:sz w:val="20"/>
                <w:szCs w:val="20"/>
                <w:color w:val="3E3935"/>
              </w:rPr>
              <w:t>DB ERP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36.6</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451,621</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321"/>
        </w:trPr>
        <w:tc>
          <w:tcPr>
            <w:tcW w:w="248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Arial" w:cs="Arial" w:eastAsia="Arial" w:hAnsi="Arial"/>
                <w:sz w:val="20"/>
                <w:szCs w:val="20"/>
                <w:color w:val="3E3935"/>
              </w:rPr>
              <w:t>GM Canada Salaried Plan</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36.6</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239,378</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Dhivya Suryadevara</w:t>
            </w:r>
          </w:p>
        </w:tc>
        <w:tc>
          <w:tcPr>
            <w:tcW w:w="2860" w:type="dxa"/>
            <w:vAlign w:val="bottom"/>
          </w:tcPr>
          <w:p>
            <w:pPr>
              <w:ind w:left="480"/>
              <w:spacing w:after="0"/>
              <w:rPr>
                <w:sz w:val="20"/>
                <w:szCs w:val="20"/>
                <w:color w:val="auto"/>
              </w:rPr>
            </w:pPr>
            <w:r>
              <w:rPr>
                <w:rFonts w:ascii="Arial" w:cs="Arial" w:eastAsia="Arial" w:hAnsi="Arial"/>
                <w:sz w:val="20"/>
                <w:szCs w:val="20"/>
                <w:color w:val="3E3935"/>
              </w:rPr>
              <w:t>SRP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16.0</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13,457</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John P. Stapleton</w:t>
            </w:r>
          </w:p>
        </w:tc>
        <w:tc>
          <w:tcPr>
            <w:tcW w:w="2860" w:type="dxa"/>
            <w:vAlign w:val="bottom"/>
          </w:tcPr>
          <w:p>
            <w:pPr>
              <w:ind w:left="480"/>
              <w:spacing w:after="0"/>
              <w:rPr>
                <w:sz w:val="20"/>
                <w:szCs w:val="20"/>
                <w:color w:val="auto"/>
              </w:rPr>
            </w:pPr>
            <w:r>
              <w:rPr>
                <w:rFonts w:ascii="Arial" w:cs="Arial" w:eastAsia="Arial" w:hAnsi="Arial"/>
                <w:sz w:val="20"/>
                <w:szCs w:val="20"/>
                <w:color w:val="3E3935"/>
              </w:rPr>
              <w:t>SRP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30.9</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703,202</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321"/>
        </w:trPr>
        <w:tc>
          <w:tcPr>
            <w:tcW w:w="248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Arial" w:cs="Arial" w:eastAsia="Arial" w:hAnsi="Arial"/>
                <w:sz w:val="20"/>
                <w:szCs w:val="20"/>
                <w:color w:val="3E3935"/>
              </w:rPr>
              <w:t>DB ERP</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30.9</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160,222</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r>
        <w:trPr>
          <w:trHeight w:val="62"/>
        </w:trPr>
        <w:tc>
          <w:tcPr>
            <w:tcW w:w="2480" w:type="dxa"/>
            <w:vAlign w:val="bottom"/>
            <w:tcBorders>
              <w:bottom w:val="single" w:sz="8" w:color="3E3935"/>
            </w:tcBorders>
          </w:tcPr>
          <w:p>
            <w:pPr>
              <w:spacing w:after="0"/>
              <w:rPr>
                <w:sz w:val="5"/>
                <w:szCs w:val="5"/>
                <w:color w:val="auto"/>
              </w:rPr>
            </w:pPr>
          </w:p>
        </w:tc>
        <w:tc>
          <w:tcPr>
            <w:tcW w:w="2860" w:type="dxa"/>
            <w:vAlign w:val="bottom"/>
            <w:tcBorders>
              <w:bottom w:val="single" w:sz="8" w:color="3E3935"/>
            </w:tcBorders>
          </w:tcPr>
          <w:p>
            <w:pPr>
              <w:spacing w:after="0"/>
              <w:rPr>
                <w:sz w:val="5"/>
                <w:szCs w:val="5"/>
                <w:color w:val="auto"/>
              </w:rPr>
            </w:pPr>
          </w:p>
        </w:tc>
        <w:tc>
          <w:tcPr>
            <w:tcW w:w="2000" w:type="dxa"/>
            <w:vAlign w:val="bottom"/>
            <w:tcBorders>
              <w:bottom w:val="single" w:sz="8" w:color="3E3935"/>
            </w:tcBorders>
          </w:tcPr>
          <w:p>
            <w:pPr>
              <w:spacing w:after="0"/>
              <w:rPr>
                <w:sz w:val="5"/>
                <w:szCs w:val="5"/>
                <w:color w:val="auto"/>
              </w:rPr>
            </w:pPr>
          </w:p>
        </w:tc>
        <w:tc>
          <w:tcPr>
            <w:tcW w:w="1760" w:type="dxa"/>
            <w:vAlign w:val="bottom"/>
            <w:tcBorders>
              <w:bottom w:val="single" w:sz="8" w:color="3E3935"/>
            </w:tcBorders>
          </w:tcPr>
          <w:p>
            <w:pPr>
              <w:spacing w:after="0"/>
              <w:rPr>
                <w:sz w:val="5"/>
                <w:szCs w:val="5"/>
                <w:color w:val="auto"/>
              </w:rPr>
            </w:pPr>
          </w:p>
        </w:tc>
        <w:tc>
          <w:tcPr>
            <w:tcW w:w="1820" w:type="dxa"/>
            <w:vAlign w:val="bottom"/>
            <w:tcBorders>
              <w:bottom w:val="single" w:sz="8" w:color="3E3935"/>
            </w:tcBorders>
          </w:tcPr>
          <w:p>
            <w:pPr>
              <w:spacing w:after="0"/>
              <w:rPr>
                <w:sz w:val="5"/>
                <w:szCs w:val="5"/>
                <w:color w:val="auto"/>
              </w:rPr>
            </w:pPr>
          </w:p>
        </w:tc>
      </w:tr>
      <w:tr>
        <w:trPr>
          <w:trHeight w:val="292"/>
        </w:trPr>
        <w:tc>
          <w:tcPr>
            <w:tcW w:w="2480" w:type="dxa"/>
            <w:vAlign w:val="bottom"/>
          </w:tcPr>
          <w:p>
            <w:pPr>
              <w:ind w:left="100"/>
              <w:spacing w:after="0"/>
              <w:rPr>
                <w:sz w:val="20"/>
                <w:szCs w:val="20"/>
                <w:color w:val="auto"/>
              </w:rPr>
            </w:pPr>
            <w:r>
              <w:rPr>
                <w:rFonts w:ascii="Arial" w:cs="Arial" w:eastAsia="Arial" w:hAnsi="Arial"/>
                <w:sz w:val="20"/>
                <w:szCs w:val="20"/>
                <w:color w:val="3E3935"/>
              </w:rPr>
              <w:t>Barry L. Engle II</w:t>
            </w:r>
            <w:r>
              <w:rPr>
                <w:rFonts w:ascii="Arial" w:cs="Arial" w:eastAsia="Arial" w:hAnsi="Arial"/>
                <w:sz w:val="16"/>
                <w:szCs w:val="16"/>
                <w:color w:val="3E3935"/>
              </w:rPr>
              <w:t>(3)</w:t>
            </w:r>
          </w:p>
        </w:tc>
        <w:tc>
          <w:tcPr>
            <w:tcW w:w="2860" w:type="dxa"/>
            <w:vAlign w:val="bottom"/>
          </w:tcPr>
          <w:p>
            <w:pPr>
              <w:ind w:left="480"/>
              <w:spacing w:after="0"/>
              <w:rPr>
                <w:sz w:val="20"/>
                <w:szCs w:val="20"/>
                <w:color w:val="auto"/>
              </w:rPr>
            </w:pPr>
            <w:r>
              <w:rPr>
                <w:rFonts w:ascii="Arial" w:cs="Arial" w:eastAsia="Arial" w:hAnsi="Arial"/>
                <w:sz w:val="20"/>
                <w:szCs w:val="20"/>
                <w:color w:val="3E3935"/>
              </w:rPr>
              <w:t>—</w:t>
            </w:r>
          </w:p>
        </w:tc>
        <w:tc>
          <w:tcPr>
            <w:tcW w:w="2000" w:type="dxa"/>
            <w:vAlign w:val="bottom"/>
          </w:tcPr>
          <w:p>
            <w:pPr>
              <w:jc w:val="right"/>
              <w:ind w:right="22"/>
              <w:spacing w:after="0"/>
              <w:rPr>
                <w:sz w:val="20"/>
                <w:szCs w:val="20"/>
                <w:color w:val="auto"/>
              </w:rPr>
            </w:pPr>
            <w:r>
              <w:rPr>
                <w:rFonts w:ascii="Arial" w:cs="Arial" w:eastAsia="Arial" w:hAnsi="Arial"/>
                <w:sz w:val="20"/>
                <w:szCs w:val="20"/>
                <w:color w:val="3E3935"/>
              </w:rPr>
              <w:t>—</w:t>
            </w:r>
          </w:p>
        </w:tc>
        <w:tc>
          <w:tcPr>
            <w:tcW w:w="1760" w:type="dxa"/>
            <w:vAlign w:val="bottom"/>
          </w:tcPr>
          <w:p>
            <w:pPr>
              <w:jc w:val="right"/>
              <w:ind w:right="2"/>
              <w:spacing w:after="0"/>
              <w:rPr>
                <w:sz w:val="20"/>
                <w:szCs w:val="20"/>
                <w:color w:val="auto"/>
              </w:rPr>
            </w:pPr>
            <w:r>
              <w:rPr>
                <w:rFonts w:ascii="Arial" w:cs="Arial" w:eastAsia="Arial" w:hAnsi="Arial"/>
                <w:sz w:val="20"/>
                <w:szCs w:val="20"/>
                <w:color w:val="3E3935"/>
              </w:rPr>
              <w:t>—</w:t>
            </w:r>
          </w:p>
        </w:tc>
        <w:tc>
          <w:tcPr>
            <w:tcW w:w="1820" w:type="dxa"/>
            <w:vAlign w:val="bottom"/>
          </w:tcPr>
          <w:p>
            <w:pPr>
              <w:jc w:val="right"/>
              <w:ind w:right="2"/>
              <w:spacing w:after="0"/>
              <w:rPr>
                <w:sz w:val="20"/>
                <w:szCs w:val="20"/>
                <w:color w:val="auto"/>
              </w:rPr>
            </w:pPr>
            <w:r>
              <w:rPr>
                <w:rFonts w:ascii="Arial" w:cs="Arial" w:eastAsia="Arial" w:hAnsi="Arial"/>
                <w:sz w:val="20"/>
                <w:szCs w:val="20"/>
                <w:color w:val="3E393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line="260" w:lineRule="auto"/>
        <w:tabs>
          <w:tab w:leader="none" w:pos="600" w:val="left"/>
        </w:tabs>
        <w:numPr>
          <w:ilvl w:val="0"/>
          <w:numId w:val="140"/>
        </w:numPr>
        <w:rPr>
          <w:rFonts w:ascii="Arial" w:cs="Arial" w:eastAsia="Arial" w:hAnsi="Arial"/>
          <w:sz w:val="18"/>
          <w:szCs w:val="18"/>
          <w:i w:val="1"/>
          <w:iCs w:val="1"/>
          <w:color w:val="3E3935"/>
        </w:rPr>
      </w:pPr>
      <w:r>
        <w:rPr>
          <w:rFonts w:ascii="Arial" w:cs="Arial" w:eastAsia="Arial" w:hAnsi="Arial"/>
          <w:sz w:val="18"/>
          <w:szCs w:val="18"/>
          <w:i w:val="1"/>
          <w:iCs w:val="1"/>
          <w:color w:val="3E3935"/>
        </w:rPr>
        <w:t>Eligible service recognizes credited service under the frozen qualified SRP in addition to future service to determine retirement eligibility.</w:t>
      </w:r>
    </w:p>
    <w:p>
      <w:pPr>
        <w:spacing w:after="0" w:line="32" w:lineRule="exact"/>
        <w:rPr>
          <w:rFonts w:ascii="Arial" w:cs="Arial" w:eastAsia="Arial" w:hAnsi="Arial"/>
          <w:sz w:val="18"/>
          <w:szCs w:val="18"/>
          <w:i w:val="1"/>
          <w:iCs w:val="1"/>
          <w:color w:val="3E3935"/>
        </w:rPr>
      </w:pPr>
    </w:p>
    <w:p>
      <w:pPr>
        <w:jc w:val="both"/>
        <w:ind w:left="600" w:hanging="433"/>
        <w:spacing w:after="0" w:line="238" w:lineRule="auto"/>
        <w:tabs>
          <w:tab w:leader="none" w:pos="600" w:val="left"/>
        </w:tabs>
        <w:numPr>
          <w:ilvl w:val="0"/>
          <w:numId w:val="140"/>
        </w:numPr>
        <w:rPr>
          <w:rFonts w:ascii="Arial" w:cs="Arial" w:eastAsia="Arial" w:hAnsi="Arial"/>
          <w:sz w:val="18"/>
          <w:szCs w:val="18"/>
          <w:i w:val="1"/>
          <w:iCs w:val="1"/>
          <w:color w:val="3E3935"/>
        </w:rPr>
      </w:pPr>
      <w:r>
        <w:rPr>
          <w:rFonts w:ascii="Arial" w:cs="Arial" w:eastAsia="Arial" w:hAnsi="Arial"/>
          <w:sz w:val="18"/>
          <w:szCs w:val="18"/>
          <w:i w:val="1"/>
          <w:iCs w:val="1"/>
          <w:color w:val="3E3935"/>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2020, FASB ASC Topic 715, “Compensation-Retirement Benefits,” except where needed to meet proxy statement requirements. The discount rates used for calculations as of December 31, 2020, for the SRP is 2.73%; for the DB ERP is 1.98%; and for the GM Canada Salaried Plan is 2.70%.</w:t>
      </w:r>
    </w:p>
    <w:p>
      <w:pPr>
        <w:spacing w:after="0" w:line="52"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0"/>
        </w:numPr>
        <w:rPr>
          <w:rFonts w:ascii="Arial" w:cs="Arial" w:eastAsia="Arial" w:hAnsi="Arial"/>
          <w:sz w:val="18"/>
          <w:szCs w:val="18"/>
          <w:i w:val="1"/>
          <w:iCs w:val="1"/>
          <w:color w:val="3E3935"/>
        </w:rPr>
      </w:pPr>
      <w:r>
        <w:rPr>
          <w:rFonts w:ascii="Arial" w:cs="Arial" w:eastAsia="Arial" w:hAnsi="Arial"/>
          <w:sz w:val="18"/>
          <w:szCs w:val="18"/>
          <w:i w:val="1"/>
          <w:iCs w:val="1"/>
          <w:color w:val="3E3935"/>
        </w:rPr>
        <w:t>Mr. Jacobson and Mr. Engle are only eligible to participate in DC plans offered by the Company.</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0"/>
        </w:numPr>
        <w:rPr>
          <w:rFonts w:ascii="Arial" w:cs="Arial" w:eastAsia="Arial" w:hAnsi="Arial"/>
          <w:sz w:val="18"/>
          <w:szCs w:val="18"/>
          <w:i w:val="1"/>
          <w:iCs w:val="1"/>
          <w:color w:val="3E3935"/>
        </w:rPr>
      </w:pPr>
      <w:r>
        <w:rPr>
          <w:rFonts w:ascii="Arial" w:cs="Arial" w:eastAsia="Arial" w:hAnsi="Arial"/>
          <w:sz w:val="18"/>
          <w:szCs w:val="18"/>
          <w:i w:val="1"/>
          <w:iCs w:val="1"/>
          <w:color w:val="3E3935"/>
        </w:rPr>
        <w:t>Mr. Carlisle is a participant in the GM Canada Salaried Plan due to his service with GM Canada.</w:t>
      </w:r>
    </w:p>
    <w:p>
      <w:pPr>
        <w:spacing w:after="0" w:line="348" w:lineRule="exact"/>
        <w:rPr>
          <w:sz w:val="20"/>
          <w:szCs w:val="20"/>
          <w:color w:val="auto"/>
        </w:rPr>
      </w:pPr>
    </w:p>
    <w:p>
      <w:pPr>
        <w:ind w:left="700" w:hanging="533"/>
        <w:spacing w:after="0"/>
        <w:tabs>
          <w:tab w:leader="none" w:pos="700" w:val="left"/>
        </w:tabs>
        <w:numPr>
          <w:ilvl w:val="0"/>
          <w:numId w:val="141"/>
        </w:numPr>
        <w:rPr>
          <w:rFonts w:ascii="Arial" w:cs="Arial" w:eastAsia="Arial" w:hAnsi="Arial"/>
          <w:sz w:val="21"/>
          <w:szCs w:val="21"/>
          <w:color w:val="0071CE"/>
        </w:rPr>
      </w:pPr>
      <w:r>
        <w:rPr>
          <w:rFonts w:ascii="Arial" w:cs="Arial" w:eastAsia="Arial" w:hAnsi="Arial"/>
          <w:sz w:val="25"/>
          <w:szCs w:val="25"/>
          <w:color w:val="3E3935"/>
        </w:rPr>
        <w:t>Nonqualified Deferred Compensation Plan</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We maintain certain deferred compensation programs and arrangements for executives.</w:t>
      </w:r>
    </w:p>
    <w:p>
      <w:pPr>
        <w:spacing w:after="0" w:line="131"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w:t>
      </w:r>
    </w:p>
    <w:p>
      <w:pPr>
        <w:spacing w:after="0" w:line="116"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Aggregate account balances disclosed below include both vested and unvested contributions by the Company. Contributions made prior to 2007 vested immediately. Contributions made between January 1, 2007, and September 30, 2012, vest when the participant attains age 55 with 10 years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83185</wp:posOffset>
            </wp:positionV>
            <wp:extent cx="5927725" cy="1016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6"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78</w:t>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service and the benefit is payable as a five-year certain annuity with payments starting upon the retirement of the executive and continuing for 60 months. Contributions made on or after October 1, 2012, vest when the participant attains three years of service, regardless of age, and the benefit is payable as a 100% lump sum upon the retirement of the executive.</w:t>
      </w:r>
    </w:p>
    <w:p>
      <w:pPr>
        <w:spacing w:after="0" w:line="128"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3E3935"/>
        </w:rPr>
        <w:t>The table below reflects December 31, 2020, balances for the nonqualified deferred compensation plan and any contributions, earnings, or withdrawals during the year.</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020" w:type="dxa"/>
            <w:vAlign w:val="bottom"/>
            <w:tcBorders>
              <w:top w:val="single" w:sz="8" w:color="00C1DE"/>
            </w:tcBorders>
          </w:tcPr>
          <w:p>
            <w:pPr>
              <w:spacing w:after="0"/>
              <w:rPr>
                <w:sz w:val="18"/>
                <w:szCs w:val="18"/>
                <w:color w:val="auto"/>
              </w:rPr>
            </w:pPr>
          </w:p>
        </w:tc>
        <w:tc>
          <w:tcPr>
            <w:tcW w:w="1020" w:type="dxa"/>
            <w:vAlign w:val="bottom"/>
            <w:tcBorders>
              <w:top w:val="single" w:sz="8" w:color="00C1DE"/>
            </w:tcBorders>
          </w:tcPr>
          <w:p>
            <w:pPr>
              <w:spacing w:after="0"/>
              <w:rPr>
                <w:sz w:val="18"/>
                <w:szCs w:val="18"/>
                <w:color w:val="auto"/>
              </w:rPr>
            </w:pPr>
          </w:p>
        </w:tc>
        <w:tc>
          <w:tcPr>
            <w:tcW w:w="1580" w:type="dxa"/>
            <w:vAlign w:val="bottom"/>
            <w:tcBorders>
              <w:top w:val="single" w:sz="8" w:color="00C1DE"/>
            </w:tcBorders>
          </w:tcPr>
          <w:p>
            <w:pPr>
              <w:jc w:val="right"/>
              <w:ind w:right="42"/>
              <w:spacing w:after="0" w:line="213" w:lineRule="exact"/>
              <w:rPr>
                <w:sz w:val="20"/>
                <w:szCs w:val="20"/>
                <w:color w:val="auto"/>
              </w:rPr>
            </w:pPr>
            <w:r>
              <w:rPr>
                <w:rFonts w:ascii="Arial" w:cs="Arial" w:eastAsia="Arial" w:hAnsi="Arial"/>
                <w:sz w:val="20"/>
                <w:szCs w:val="20"/>
                <w:b w:val="1"/>
                <w:bCs w:val="1"/>
                <w:color w:val="00C1DE"/>
              </w:rPr>
              <w:t>Executive</w:t>
            </w:r>
          </w:p>
        </w:tc>
        <w:tc>
          <w:tcPr>
            <w:tcW w:w="1560" w:type="dxa"/>
            <w:vAlign w:val="bottom"/>
            <w:tcBorders>
              <w:top w:val="single" w:sz="8" w:color="00C1DE"/>
            </w:tcBorders>
          </w:tcPr>
          <w:p>
            <w:pPr>
              <w:jc w:val="right"/>
              <w:ind w:right="42"/>
              <w:spacing w:after="0" w:line="213" w:lineRule="exact"/>
              <w:rPr>
                <w:sz w:val="20"/>
                <w:szCs w:val="20"/>
                <w:color w:val="auto"/>
              </w:rPr>
            </w:pPr>
            <w:r>
              <w:rPr>
                <w:rFonts w:ascii="Arial" w:cs="Arial" w:eastAsia="Arial" w:hAnsi="Arial"/>
                <w:sz w:val="20"/>
                <w:szCs w:val="20"/>
                <w:b w:val="1"/>
                <w:bCs w:val="1"/>
                <w:color w:val="00C1DE"/>
              </w:rPr>
              <w:t>Registrant</w:t>
            </w:r>
          </w:p>
        </w:tc>
        <w:tc>
          <w:tcPr>
            <w:tcW w:w="1580" w:type="dxa"/>
            <w:vAlign w:val="bottom"/>
            <w:tcBorders>
              <w:top w:val="single" w:sz="8" w:color="00C1DE"/>
            </w:tcBorders>
          </w:tcPr>
          <w:p>
            <w:pPr>
              <w:jc w:val="right"/>
              <w:ind w:right="102"/>
              <w:spacing w:after="0" w:line="213" w:lineRule="exact"/>
              <w:rPr>
                <w:sz w:val="20"/>
                <w:szCs w:val="20"/>
                <w:color w:val="auto"/>
              </w:rPr>
            </w:pPr>
            <w:r>
              <w:rPr>
                <w:rFonts w:ascii="Arial" w:cs="Arial" w:eastAsia="Arial" w:hAnsi="Arial"/>
                <w:sz w:val="20"/>
                <w:szCs w:val="20"/>
                <w:b w:val="1"/>
                <w:bCs w:val="1"/>
                <w:color w:val="00C1DE"/>
              </w:rPr>
              <w:t>Aggregate</w:t>
            </w:r>
          </w:p>
        </w:tc>
        <w:tc>
          <w:tcPr>
            <w:tcW w:w="1480" w:type="dxa"/>
            <w:vAlign w:val="bottom"/>
            <w:tcBorders>
              <w:top w:val="single" w:sz="8" w:color="00C1DE"/>
            </w:tcBorders>
          </w:tcPr>
          <w:p>
            <w:pPr>
              <w:jc w:val="right"/>
              <w:ind w:right="42"/>
              <w:spacing w:after="0" w:line="213" w:lineRule="exact"/>
              <w:rPr>
                <w:sz w:val="20"/>
                <w:szCs w:val="20"/>
                <w:color w:val="auto"/>
              </w:rPr>
            </w:pPr>
            <w:r>
              <w:rPr>
                <w:rFonts w:ascii="Arial" w:cs="Arial" w:eastAsia="Arial" w:hAnsi="Arial"/>
                <w:sz w:val="20"/>
                <w:szCs w:val="20"/>
                <w:b w:val="1"/>
                <w:bCs w:val="1"/>
                <w:color w:val="00C1DE"/>
              </w:rPr>
              <w:t>Aggregate</w:t>
            </w:r>
          </w:p>
        </w:tc>
        <w:tc>
          <w:tcPr>
            <w:tcW w:w="1680" w:type="dxa"/>
            <w:vAlign w:val="bottom"/>
            <w:tcBorders>
              <w:top w:val="single" w:sz="8" w:color="00C1DE"/>
            </w:tcBorders>
          </w:tcPr>
          <w:p>
            <w:pPr>
              <w:jc w:val="right"/>
              <w:spacing w:after="0" w:line="213" w:lineRule="exact"/>
              <w:rPr>
                <w:sz w:val="20"/>
                <w:szCs w:val="20"/>
                <w:color w:val="auto"/>
              </w:rPr>
            </w:pPr>
            <w:r>
              <w:rPr>
                <w:rFonts w:ascii="Arial" w:cs="Arial" w:eastAsia="Arial" w:hAnsi="Arial"/>
                <w:sz w:val="20"/>
                <w:szCs w:val="20"/>
                <w:b w:val="1"/>
                <w:bCs w:val="1"/>
                <w:color w:val="00C1DE"/>
              </w:rPr>
              <w:t>Aggregate</w:t>
            </w:r>
          </w:p>
        </w:tc>
      </w:tr>
      <w:tr>
        <w:trPr>
          <w:trHeight w:val="214"/>
        </w:trPr>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Contributions</w:t>
            </w:r>
          </w:p>
        </w:tc>
        <w:tc>
          <w:tcPr>
            <w:tcW w:w="156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Contributions</w:t>
            </w:r>
          </w:p>
        </w:tc>
        <w:tc>
          <w:tcPr>
            <w:tcW w:w="1580" w:type="dxa"/>
            <w:vAlign w:val="bottom"/>
          </w:tcPr>
          <w:p>
            <w:pPr>
              <w:jc w:val="right"/>
              <w:ind w:right="102"/>
              <w:spacing w:after="0" w:line="214" w:lineRule="exact"/>
              <w:rPr>
                <w:sz w:val="20"/>
                <w:szCs w:val="20"/>
                <w:color w:val="auto"/>
              </w:rPr>
            </w:pPr>
            <w:r>
              <w:rPr>
                <w:rFonts w:ascii="Arial" w:cs="Arial" w:eastAsia="Arial" w:hAnsi="Arial"/>
                <w:sz w:val="20"/>
                <w:szCs w:val="20"/>
                <w:b w:val="1"/>
                <w:bCs w:val="1"/>
                <w:color w:val="00C1DE"/>
              </w:rPr>
              <w:t>Earnings</w:t>
            </w:r>
          </w:p>
        </w:tc>
        <w:tc>
          <w:tcPr>
            <w:tcW w:w="148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Withdrawals</w:t>
            </w:r>
          </w:p>
        </w:tc>
        <w:tc>
          <w:tcPr>
            <w:tcW w:w="16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Balance at 2020</w:t>
            </w:r>
          </w:p>
        </w:tc>
      </w:tr>
      <w:tr>
        <w:trPr>
          <w:trHeight w:val="214"/>
        </w:trPr>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in the Last</w:t>
            </w:r>
          </w:p>
        </w:tc>
        <w:tc>
          <w:tcPr>
            <w:tcW w:w="156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in the Last</w:t>
            </w:r>
          </w:p>
        </w:tc>
        <w:tc>
          <w:tcPr>
            <w:tcW w:w="1580" w:type="dxa"/>
            <w:vAlign w:val="bottom"/>
          </w:tcPr>
          <w:p>
            <w:pPr>
              <w:jc w:val="right"/>
              <w:ind w:right="102"/>
              <w:spacing w:after="0" w:line="214" w:lineRule="exact"/>
              <w:rPr>
                <w:sz w:val="20"/>
                <w:szCs w:val="20"/>
                <w:color w:val="auto"/>
              </w:rPr>
            </w:pPr>
            <w:r>
              <w:rPr>
                <w:rFonts w:ascii="Arial" w:cs="Arial" w:eastAsia="Arial" w:hAnsi="Arial"/>
                <w:sz w:val="20"/>
                <w:szCs w:val="20"/>
                <w:b w:val="1"/>
                <w:bCs w:val="1"/>
                <w:color w:val="00C1DE"/>
              </w:rPr>
              <w:t>in the Last</w:t>
            </w:r>
          </w:p>
        </w:tc>
        <w:tc>
          <w:tcPr>
            <w:tcW w:w="148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and</w:t>
            </w:r>
          </w:p>
        </w:tc>
        <w:tc>
          <w:tcPr>
            <w:tcW w:w="16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Fiscal</w:t>
            </w:r>
          </w:p>
        </w:tc>
      </w:tr>
      <w:tr>
        <w:trPr>
          <w:trHeight w:val="214"/>
        </w:trPr>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Fiscal Year</w:t>
            </w:r>
          </w:p>
        </w:tc>
        <w:tc>
          <w:tcPr>
            <w:tcW w:w="156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Fiscal Year</w:t>
            </w:r>
            <w:r>
              <w:rPr>
                <w:rFonts w:ascii="Arial" w:cs="Arial" w:eastAsia="Arial" w:hAnsi="Arial"/>
                <w:sz w:val="16"/>
                <w:szCs w:val="16"/>
                <w:b w:val="1"/>
                <w:bCs w:val="1"/>
                <w:color w:val="00C1DE"/>
              </w:rPr>
              <w:t>(1)</w:t>
            </w:r>
          </w:p>
        </w:tc>
        <w:tc>
          <w:tcPr>
            <w:tcW w:w="1580" w:type="dxa"/>
            <w:vAlign w:val="bottom"/>
          </w:tcPr>
          <w:p>
            <w:pPr>
              <w:jc w:val="right"/>
              <w:ind w:right="102"/>
              <w:spacing w:after="0" w:line="214" w:lineRule="exact"/>
              <w:rPr>
                <w:sz w:val="20"/>
                <w:szCs w:val="20"/>
                <w:color w:val="auto"/>
              </w:rPr>
            </w:pPr>
            <w:r>
              <w:rPr>
                <w:rFonts w:ascii="Arial" w:cs="Arial" w:eastAsia="Arial" w:hAnsi="Arial"/>
                <w:sz w:val="20"/>
                <w:szCs w:val="20"/>
                <w:b w:val="1"/>
                <w:bCs w:val="1"/>
                <w:color w:val="00C1DE"/>
              </w:rPr>
              <w:t>Fiscal Year</w:t>
            </w:r>
            <w:r>
              <w:rPr>
                <w:rFonts w:ascii="Arial" w:cs="Arial" w:eastAsia="Arial" w:hAnsi="Arial"/>
                <w:sz w:val="16"/>
                <w:szCs w:val="16"/>
                <w:b w:val="1"/>
                <w:bCs w:val="1"/>
                <w:color w:val="00C1DE"/>
              </w:rPr>
              <w:t>(2)</w:t>
            </w:r>
          </w:p>
        </w:tc>
        <w:tc>
          <w:tcPr>
            <w:tcW w:w="148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C1DE"/>
              </w:rPr>
              <w:t>Distributions</w:t>
            </w:r>
          </w:p>
        </w:tc>
        <w:tc>
          <w:tcPr>
            <w:tcW w:w="1680" w:type="dxa"/>
            <w:vAlign w:val="bottom"/>
          </w:tcPr>
          <w:p>
            <w:pPr>
              <w:jc w:val="right"/>
              <w:spacing w:after="0" w:line="214" w:lineRule="exact"/>
              <w:rPr>
                <w:sz w:val="20"/>
                <w:szCs w:val="20"/>
                <w:color w:val="auto"/>
              </w:rPr>
            </w:pPr>
            <w:r>
              <w:rPr>
                <w:rFonts w:ascii="Arial" w:cs="Arial" w:eastAsia="Arial" w:hAnsi="Arial"/>
                <w:sz w:val="20"/>
                <w:szCs w:val="20"/>
                <w:b w:val="1"/>
                <w:bCs w:val="1"/>
                <w:color w:val="00C1DE"/>
              </w:rPr>
              <w:t>Year End</w:t>
            </w:r>
            <w:r>
              <w:rPr>
                <w:rFonts w:ascii="Arial" w:cs="Arial" w:eastAsia="Arial" w:hAnsi="Arial"/>
                <w:sz w:val="16"/>
                <w:szCs w:val="16"/>
                <w:b w:val="1"/>
                <w:bCs w:val="1"/>
                <w:color w:val="00C1DE"/>
              </w:rPr>
              <w:t>(3)</w:t>
            </w:r>
          </w:p>
        </w:tc>
      </w:tr>
      <w:tr>
        <w:trPr>
          <w:trHeight w:val="277"/>
        </w:trPr>
        <w:tc>
          <w:tcPr>
            <w:tcW w:w="2020" w:type="dxa"/>
            <w:vAlign w:val="bottom"/>
            <w:tcBorders>
              <w:bottom w:val="single" w:sz="8" w:color="00C1DE"/>
            </w:tcBorders>
          </w:tcPr>
          <w:p>
            <w:pPr>
              <w:ind w:left="120"/>
              <w:spacing w:after="0"/>
              <w:rPr>
                <w:sz w:val="20"/>
                <w:szCs w:val="20"/>
                <w:color w:val="auto"/>
              </w:rPr>
            </w:pPr>
            <w:r>
              <w:rPr>
                <w:rFonts w:ascii="Arial" w:cs="Arial" w:eastAsia="Arial" w:hAnsi="Arial"/>
                <w:sz w:val="20"/>
                <w:szCs w:val="20"/>
                <w:b w:val="1"/>
                <w:bCs w:val="1"/>
                <w:color w:val="00C1DE"/>
              </w:rPr>
              <w:t>Name</w:t>
            </w:r>
          </w:p>
        </w:tc>
        <w:tc>
          <w:tcPr>
            <w:tcW w:w="1020" w:type="dxa"/>
            <w:vAlign w:val="bottom"/>
            <w:tcBorders>
              <w:bottom w:val="single" w:sz="8" w:color="00C1DE"/>
            </w:tcBorders>
          </w:tcPr>
          <w:p>
            <w:pPr>
              <w:jc w:val="right"/>
              <w:ind w:right="42"/>
              <w:spacing w:after="0"/>
              <w:rPr>
                <w:sz w:val="20"/>
                <w:szCs w:val="20"/>
                <w:color w:val="auto"/>
              </w:rPr>
            </w:pPr>
            <w:r>
              <w:rPr>
                <w:rFonts w:ascii="Arial" w:cs="Arial" w:eastAsia="Arial" w:hAnsi="Arial"/>
                <w:sz w:val="20"/>
                <w:szCs w:val="20"/>
                <w:b w:val="1"/>
                <w:bCs w:val="1"/>
                <w:color w:val="00C1DE"/>
              </w:rPr>
              <w:t>Plan</w:t>
            </w:r>
          </w:p>
        </w:tc>
        <w:tc>
          <w:tcPr>
            <w:tcW w:w="1580" w:type="dxa"/>
            <w:vAlign w:val="bottom"/>
            <w:tcBorders>
              <w:bottom w:val="single" w:sz="8" w:color="00C1DE"/>
            </w:tcBorders>
          </w:tcPr>
          <w:p>
            <w:pPr>
              <w:jc w:val="right"/>
              <w:ind w:right="42"/>
              <w:spacing w:after="0"/>
              <w:rPr>
                <w:sz w:val="20"/>
                <w:szCs w:val="20"/>
                <w:color w:val="auto"/>
              </w:rPr>
            </w:pPr>
            <w:r>
              <w:rPr>
                <w:rFonts w:ascii="Arial" w:cs="Arial" w:eastAsia="Arial" w:hAnsi="Arial"/>
                <w:sz w:val="20"/>
                <w:szCs w:val="20"/>
                <w:b w:val="1"/>
                <w:bCs w:val="1"/>
                <w:color w:val="00C1DE"/>
              </w:rPr>
              <w:t>($)</w:t>
            </w:r>
          </w:p>
        </w:tc>
        <w:tc>
          <w:tcPr>
            <w:tcW w:w="1560" w:type="dxa"/>
            <w:vAlign w:val="bottom"/>
            <w:tcBorders>
              <w:bottom w:val="single" w:sz="8" w:color="00C1DE"/>
            </w:tcBorders>
          </w:tcPr>
          <w:p>
            <w:pPr>
              <w:jc w:val="right"/>
              <w:ind w:right="42"/>
              <w:spacing w:after="0"/>
              <w:rPr>
                <w:sz w:val="20"/>
                <w:szCs w:val="20"/>
                <w:color w:val="auto"/>
              </w:rPr>
            </w:pPr>
            <w:r>
              <w:rPr>
                <w:rFonts w:ascii="Arial" w:cs="Arial" w:eastAsia="Arial" w:hAnsi="Arial"/>
                <w:sz w:val="20"/>
                <w:szCs w:val="20"/>
                <w:b w:val="1"/>
                <w:bCs w:val="1"/>
                <w:color w:val="00C1DE"/>
              </w:rPr>
              <w:t>($)</w:t>
            </w:r>
          </w:p>
        </w:tc>
        <w:tc>
          <w:tcPr>
            <w:tcW w:w="1580" w:type="dxa"/>
            <w:vAlign w:val="bottom"/>
            <w:tcBorders>
              <w:bottom w:val="single" w:sz="8" w:color="00C1DE"/>
            </w:tcBorders>
          </w:tcPr>
          <w:p>
            <w:pPr>
              <w:jc w:val="right"/>
              <w:ind w:right="102"/>
              <w:spacing w:after="0"/>
              <w:rPr>
                <w:sz w:val="20"/>
                <w:szCs w:val="20"/>
                <w:color w:val="auto"/>
              </w:rPr>
            </w:pPr>
            <w:r>
              <w:rPr>
                <w:rFonts w:ascii="Arial" w:cs="Arial" w:eastAsia="Arial" w:hAnsi="Arial"/>
                <w:sz w:val="20"/>
                <w:szCs w:val="20"/>
                <w:b w:val="1"/>
                <w:bCs w:val="1"/>
                <w:color w:val="00C1DE"/>
              </w:rPr>
              <w:t>($)</w:t>
            </w:r>
          </w:p>
        </w:tc>
        <w:tc>
          <w:tcPr>
            <w:tcW w:w="1480" w:type="dxa"/>
            <w:vAlign w:val="bottom"/>
            <w:tcBorders>
              <w:bottom w:val="single" w:sz="8" w:color="00C1DE"/>
            </w:tcBorders>
          </w:tcPr>
          <w:p>
            <w:pPr>
              <w:jc w:val="right"/>
              <w:ind w:right="42"/>
              <w:spacing w:after="0"/>
              <w:rPr>
                <w:sz w:val="20"/>
                <w:szCs w:val="20"/>
                <w:color w:val="auto"/>
              </w:rPr>
            </w:pPr>
            <w:r>
              <w:rPr>
                <w:rFonts w:ascii="Arial" w:cs="Arial" w:eastAsia="Arial" w:hAnsi="Arial"/>
                <w:sz w:val="20"/>
                <w:szCs w:val="20"/>
                <w:b w:val="1"/>
                <w:bCs w:val="1"/>
                <w:color w:val="00C1DE"/>
              </w:rPr>
              <w:t>($)</w:t>
            </w:r>
          </w:p>
        </w:tc>
        <w:tc>
          <w:tcPr>
            <w:tcW w:w="168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r>
      <w:tr>
        <w:trPr>
          <w:trHeight w:val="297"/>
        </w:trPr>
        <w:tc>
          <w:tcPr>
            <w:tcW w:w="2020" w:type="dxa"/>
            <w:vAlign w:val="bottom"/>
          </w:tcPr>
          <w:p>
            <w:pPr>
              <w:ind w:left="100"/>
              <w:spacing w:after="0"/>
              <w:rPr>
                <w:sz w:val="20"/>
                <w:szCs w:val="20"/>
                <w:color w:val="auto"/>
              </w:rPr>
            </w:pPr>
            <w:r>
              <w:rPr>
                <w:rFonts w:ascii="Arial" w:cs="Arial" w:eastAsia="Arial" w:hAnsi="Arial"/>
                <w:sz w:val="20"/>
                <w:szCs w:val="20"/>
                <w:color w:val="3E3935"/>
              </w:rPr>
              <w:t>Mary T. Barra</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347,466</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509,501</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680" w:type="dxa"/>
            <w:vAlign w:val="bottom"/>
          </w:tcPr>
          <w:p>
            <w:pPr>
              <w:jc w:val="right"/>
              <w:spacing w:after="0"/>
              <w:rPr>
                <w:sz w:val="20"/>
                <w:szCs w:val="20"/>
                <w:color w:val="auto"/>
              </w:rPr>
            </w:pPr>
            <w:r>
              <w:rPr>
                <w:rFonts w:ascii="Arial" w:cs="Arial" w:eastAsia="Arial" w:hAnsi="Arial"/>
                <w:sz w:val="20"/>
                <w:szCs w:val="20"/>
                <w:color w:val="3E3935"/>
              </w:rPr>
              <w:t>3,905,614</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Paul A. Jacobson</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680" w:type="dxa"/>
            <w:vAlign w:val="bottom"/>
          </w:tcPr>
          <w:p>
            <w:pPr>
              <w:jc w:val="right"/>
              <w:spacing w:after="0"/>
              <w:rPr>
                <w:sz w:val="20"/>
                <w:szCs w:val="20"/>
                <w:color w:val="auto"/>
              </w:rPr>
            </w:pPr>
            <w:r>
              <w:rPr>
                <w:rFonts w:ascii="Arial" w:cs="Arial" w:eastAsia="Arial" w:hAnsi="Arial"/>
                <w:sz w:val="20"/>
                <w:szCs w:val="20"/>
                <w:color w:val="3E3935"/>
              </w:rPr>
              <w:t>—</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Mark L. Reuss</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175,667</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274,233</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680" w:type="dxa"/>
            <w:vAlign w:val="bottom"/>
          </w:tcPr>
          <w:p>
            <w:pPr>
              <w:jc w:val="right"/>
              <w:spacing w:after="0"/>
              <w:rPr>
                <w:sz w:val="20"/>
                <w:szCs w:val="20"/>
                <w:color w:val="auto"/>
              </w:rPr>
            </w:pPr>
            <w:r>
              <w:rPr>
                <w:rFonts w:ascii="Arial" w:cs="Arial" w:eastAsia="Arial" w:hAnsi="Arial"/>
                <w:sz w:val="20"/>
                <w:szCs w:val="20"/>
                <w:color w:val="3E3935"/>
              </w:rPr>
              <w:t>1,826,441</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Douglas L. Parks</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107,433</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108,200</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680" w:type="dxa"/>
            <w:vAlign w:val="bottom"/>
          </w:tcPr>
          <w:p>
            <w:pPr>
              <w:jc w:val="right"/>
              <w:spacing w:after="0"/>
              <w:rPr>
                <w:sz w:val="20"/>
                <w:szCs w:val="20"/>
                <w:color w:val="auto"/>
              </w:rPr>
            </w:pPr>
            <w:r>
              <w:rPr>
                <w:rFonts w:ascii="Arial" w:cs="Arial" w:eastAsia="Arial" w:hAnsi="Arial"/>
                <w:sz w:val="20"/>
                <w:szCs w:val="20"/>
                <w:color w:val="3E3935"/>
              </w:rPr>
              <w:t>829,900</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Stephen K. Carlisle</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125,239</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14,812</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680" w:type="dxa"/>
            <w:vAlign w:val="bottom"/>
          </w:tcPr>
          <w:p>
            <w:pPr>
              <w:jc w:val="right"/>
              <w:spacing w:after="0"/>
              <w:rPr>
                <w:sz w:val="20"/>
                <w:szCs w:val="20"/>
                <w:color w:val="auto"/>
              </w:rPr>
            </w:pPr>
            <w:r>
              <w:rPr>
                <w:rFonts w:ascii="Arial" w:cs="Arial" w:eastAsia="Arial" w:hAnsi="Arial"/>
                <w:sz w:val="20"/>
                <w:szCs w:val="20"/>
                <w:color w:val="3E3935"/>
              </w:rPr>
              <w:t>703,068</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Dhivya Suryadevara</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81,000</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(49,171)</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426,300</w:t>
            </w:r>
          </w:p>
        </w:tc>
        <w:tc>
          <w:tcPr>
            <w:tcW w:w="1680" w:type="dxa"/>
            <w:vAlign w:val="bottom"/>
          </w:tcPr>
          <w:p>
            <w:pPr>
              <w:jc w:val="right"/>
              <w:spacing w:after="0"/>
              <w:rPr>
                <w:sz w:val="20"/>
                <w:szCs w:val="20"/>
                <w:color w:val="auto"/>
              </w:rPr>
            </w:pPr>
            <w:r>
              <w:rPr>
                <w:rFonts w:ascii="Arial" w:cs="Arial" w:eastAsia="Arial" w:hAnsi="Arial"/>
                <w:sz w:val="20"/>
                <w:szCs w:val="20"/>
                <w:color w:val="3E3935"/>
              </w:rPr>
              <w:t>—</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John P. Stapleton</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79,613</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91,866</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680" w:type="dxa"/>
            <w:vAlign w:val="bottom"/>
          </w:tcPr>
          <w:p>
            <w:pPr>
              <w:jc w:val="right"/>
              <w:spacing w:after="0"/>
              <w:rPr>
                <w:sz w:val="20"/>
                <w:szCs w:val="20"/>
                <w:color w:val="auto"/>
              </w:rPr>
            </w:pPr>
            <w:r>
              <w:rPr>
                <w:rFonts w:ascii="Arial" w:cs="Arial" w:eastAsia="Arial" w:hAnsi="Arial"/>
                <w:sz w:val="20"/>
                <w:szCs w:val="20"/>
                <w:color w:val="3E3935"/>
              </w:rPr>
              <w:t>781,958</w:t>
            </w:r>
          </w:p>
        </w:tc>
      </w:tr>
      <w:tr>
        <w:trPr>
          <w:trHeight w:val="62"/>
        </w:trPr>
        <w:tc>
          <w:tcPr>
            <w:tcW w:w="2020" w:type="dxa"/>
            <w:vAlign w:val="bottom"/>
            <w:tcBorders>
              <w:bottom w:val="single" w:sz="8" w:color="3E3935"/>
            </w:tcBorders>
          </w:tcPr>
          <w:p>
            <w:pPr>
              <w:spacing w:after="0"/>
              <w:rPr>
                <w:sz w:val="5"/>
                <w:szCs w:val="5"/>
                <w:color w:val="auto"/>
              </w:rPr>
            </w:pPr>
          </w:p>
        </w:tc>
        <w:tc>
          <w:tcPr>
            <w:tcW w:w="102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560" w:type="dxa"/>
            <w:vAlign w:val="bottom"/>
            <w:tcBorders>
              <w:bottom w:val="single" w:sz="8" w:color="3E3935"/>
            </w:tcBorders>
          </w:tcPr>
          <w:p>
            <w:pPr>
              <w:spacing w:after="0"/>
              <w:rPr>
                <w:sz w:val="5"/>
                <w:szCs w:val="5"/>
                <w:color w:val="auto"/>
              </w:rPr>
            </w:pPr>
          </w:p>
        </w:tc>
        <w:tc>
          <w:tcPr>
            <w:tcW w:w="1580" w:type="dxa"/>
            <w:vAlign w:val="bottom"/>
            <w:tcBorders>
              <w:bottom w:val="single" w:sz="8" w:color="3E3935"/>
            </w:tcBorders>
          </w:tcPr>
          <w:p>
            <w:pPr>
              <w:spacing w:after="0"/>
              <w:rPr>
                <w:sz w:val="5"/>
                <w:szCs w:val="5"/>
                <w:color w:val="auto"/>
              </w:rPr>
            </w:pPr>
          </w:p>
        </w:tc>
        <w:tc>
          <w:tcPr>
            <w:tcW w:w="1480" w:type="dxa"/>
            <w:vAlign w:val="bottom"/>
            <w:tcBorders>
              <w:bottom w:val="single" w:sz="8" w:color="3E3935"/>
            </w:tcBorders>
          </w:tcPr>
          <w:p>
            <w:pPr>
              <w:spacing w:after="0"/>
              <w:rPr>
                <w:sz w:val="5"/>
                <w:szCs w:val="5"/>
                <w:color w:val="auto"/>
              </w:rPr>
            </w:pPr>
          </w:p>
        </w:tc>
        <w:tc>
          <w:tcPr>
            <w:tcW w:w="1680" w:type="dxa"/>
            <w:vAlign w:val="bottom"/>
            <w:tcBorders>
              <w:bottom w:val="single" w:sz="8" w:color="3E3935"/>
            </w:tcBorders>
          </w:tcPr>
          <w:p>
            <w:pPr>
              <w:spacing w:after="0"/>
              <w:rPr>
                <w:sz w:val="5"/>
                <w:szCs w:val="5"/>
                <w:color w:val="auto"/>
              </w:rPr>
            </w:pPr>
          </w:p>
        </w:tc>
      </w:tr>
      <w:tr>
        <w:trPr>
          <w:trHeight w:val="292"/>
        </w:trPr>
        <w:tc>
          <w:tcPr>
            <w:tcW w:w="2020" w:type="dxa"/>
            <w:vAlign w:val="bottom"/>
          </w:tcPr>
          <w:p>
            <w:pPr>
              <w:ind w:left="100"/>
              <w:spacing w:after="0"/>
              <w:rPr>
                <w:sz w:val="20"/>
                <w:szCs w:val="20"/>
                <w:color w:val="auto"/>
              </w:rPr>
            </w:pPr>
            <w:r>
              <w:rPr>
                <w:rFonts w:ascii="Arial" w:cs="Arial" w:eastAsia="Arial" w:hAnsi="Arial"/>
                <w:sz w:val="20"/>
                <w:szCs w:val="20"/>
                <w:color w:val="3E3935"/>
              </w:rPr>
              <w:t>Barry L. Engle II</w:t>
            </w:r>
          </w:p>
        </w:tc>
        <w:tc>
          <w:tcPr>
            <w:tcW w:w="1020" w:type="dxa"/>
            <w:vAlign w:val="bottom"/>
          </w:tcPr>
          <w:p>
            <w:pPr>
              <w:jc w:val="right"/>
              <w:ind w:right="42"/>
              <w:spacing w:after="0"/>
              <w:rPr>
                <w:sz w:val="20"/>
                <w:szCs w:val="20"/>
                <w:color w:val="auto"/>
              </w:rPr>
            </w:pPr>
            <w:r>
              <w:rPr>
                <w:rFonts w:ascii="Arial" w:cs="Arial" w:eastAsia="Arial" w:hAnsi="Arial"/>
                <w:sz w:val="20"/>
                <w:szCs w:val="20"/>
                <w:color w:val="3E3935"/>
              </w:rPr>
              <w:t>DC ERP</w:t>
            </w:r>
          </w:p>
        </w:tc>
        <w:tc>
          <w:tcPr>
            <w:tcW w:w="158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560" w:type="dxa"/>
            <w:vAlign w:val="bottom"/>
          </w:tcPr>
          <w:p>
            <w:pPr>
              <w:jc w:val="right"/>
              <w:ind w:right="42"/>
              <w:spacing w:after="0"/>
              <w:rPr>
                <w:sz w:val="20"/>
                <w:szCs w:val="20"/>
                <w:color w:val="auto"/>
              </w:rPr>
            </w:pPr>
            <w:r>
              <w:rPr>
                <w:rFonts w:ascii="Arial" w:cs="Arial" w:eastAsia="Arial" w:hAnsi="Arial"/>
                <w:sz w:val="20"/>
                <w:szCs w:val="20"/>
                <w:color w:val="3E3935"/>
              </w:rPr>
              <w:t>60,000</w:t>
            </w:r>
          </w:p>
        </w:tc>
        <w:tc>
          <w:tcPr>
            <w:tcW w:w="1580" w:type="dxa"/>
            <w:vAlign w:val="bottom"/>
          </w:tcPr>
          <w:p>
            <w:pPr>
              <w:jc w:val="right"/>
              <w:ind w:right="102"/>
              <w:spacing w:after="0"/>
              <w:rPr>
                <w:sz w:val="20"/>
                <w:szCs w:val="20"/>
                <w:color w:val="auto"/>
              </w:rPr>
            </w:pPr>
            <w:r>
              <w:rPr>
                <w:rFonts w:ascii="Arial" w:cs="Arial" w:eastAsia="Arial" w:hAnsi="Arial"/>
                <w:sz w:val="20"/>
                <w:szCs w:val="20"/>
                <w:color w:val="3E3935"/>
              </w:rPr>
              <w:t>31,655</w:t>
            </w:r>
          </w:p>
        </w:tc>
        <w:tc>
          <w:tcPr>
            <w:tcW w:w="1480" w:type="dxa"/>
            <w:vAlign w:val="bottom"/>
          </w:tcPr>
          <w:p>
            <w:pPr>
              <w:jc w:val="right"/>
              <w:ind w:right="42"/>
              <w:spacing w:after="0"/>
              <w:rPr>
                <w:sz w:val="20"/>
                <w:szCs w:val="20"/>
                <w:color w:val="auto"/>
              </w:rPr>
            </w:pPr>
            <w:r>
              <w:rPr>
                <w:rFonts w:ascii="Arial" w:cs="Arial" w:eastAsia="Arial" w:hAnsi="Arial"/>
                <w:sz w:val="20"/>
                <w:szCs w:val="20"/>
                <w:color w:val="3E3935"/>
              </w:rPr>
              <w:t>477,389</w:t>
            </w:r>
          </w:p>
        </w:tc>
        <w:tc>
          <w:tcPr>
            <w:tcW w:w="1680" w:type="dxa"/>
            <w:vAlign w:val="bottom"/>
          </w:tcPr>
          <w:p>
            <w:pPr>
              <w:jc w:val="right"/>
              <w:spacing w:after="0"/>
              <w:rPr>
                <w:sz w:val="20"/>
                <w:szCs w:val="20"/>
                <w:color w:val="auto"/>
              </w:rPr>
            </w:pPr>
            <w:r>
              <w:rPr>
                <w:rFonts w:ascii="Arial" w:cs="Arial" w:eastAsia="Arial" w:hAnsi="Arial"/>
                <w:sz w:val="20"/>
                <w:szCs w:val="20"/>
                <w:color w:val="3E393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42"/>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shown are included in All Other Compensation in the Summary Compensation Table.</w:t>
      </w:r>
    </w:p>
    <w:p>
      <w:pPr>
        <w:spacing w:after="0" w:line="73" w:lineRule="exact"/>
        <w:rPr>
          <w:rFonts w:ascii="Arial" w:cs="Arial" w:eastAsia="Arial" w:hAnsi="Arial"/>
          <w:sz w:val="18"/>
          <w:szCs w:val="18"/>
          <w:i w:val="1"/>
          <w:iCs w:val="1"/>
          <w:color w:val="3E3935"/>
        </w:rPr>
      </w:pPr>
    </w:p>
    <w:p>
      <w:pPr>
        <w:ind w:left="600" w:hanging="433"/>
        <w:spacing w:after="0" w:line="260" w:lineRule="auto"/>
        <w:tabs>
          <w:tab w:leader="none" w:pos="600" w:val="left"/>
        </w:tabs>
        <w:numPr>
          <w:ilvl w:val="0"/>
          <w:numId w:val="142"/>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shown are not reported in Change in Pension Value and Nonqualified Deferred Compensation Earnings in the Summary Compensation Table because we do not pay above-market earnings on deferred compensation in retirement plans.</w:t>
      </w:r>
    </w:p>
    <w:p>
      <w:pPr>
        <w:spacing w:after="0" w:line="32" w:lineRule="exact"/>
        <w:rPr>
          <w:rFonts w:ascii="Arial" w:cs="Arial" w:eastAsia="Arial" w:hAnsi="Arial"/>
          <w:sz w:val="18"/>
          <w:szCs w:val="18"/>
          <w:i w:val="1"/>
          <w:iCs w:val="1"/>
          <w:color w:val="3E3935"/>
        </w:rPr>
      </w:pPr>
    </w:p>
    <w:p>
      <w:pPr>
        <w:ind w:left="600" w:hanging="433"/>
        <w:spacing w:after="0" w:line="260" w:lineRule="auto"/>
        <w:tabs>
          <w:tab w:leader="none" w:pos="600" w:val="left"/>
        </w:tabs>
        <w:numPr>
          <w:ilvl w:val="0"/>
          <w:numId w:val="142"/>
        </w:numPr>
        <w:rPr>
          <w:rFonts w:ascii="Arial" w:cs="Arial" w:eastAsia="Arial" w:hAnsi="Arial"/>
          <w:sz w:val="18"/>
          <w:szCs w:val="18"/>
          <w:i w:val="1"/>
          <w:iCs w:val="1"/>
          <w:color w:val="3E3935"/>
        </w:rPr>
      </w:pPr>
      <w:r>
        <w:rPr>
          <w:rFonts w:ascii="Arial" w:cs="Arial" w:eastAsia="Arial" w:hAnsi="Arial"/>
          <w:sz w:val="18"/>
          <w:szCs w:val="18"/>
          <w:i w:val="1"/>
          <w:iCs w:val="1"/>
          <w:color w:val="3E3935"/>
        </w:rPr>
        <w:t>The following amounts have been included in the Summary Compensation Table in prior years: $2,353,005 (Ms. Barra), $1,075,266 (Mr. Reuss), $183,732 (Ms. Suryadevara), and $98,400 (Mr. Engle).</w:t>
      </w:r>
    </w:p>
    <w:p>
      <w:pPr>
        <w:spacing w:after="0" w:line="307" w:lineRule="exact"/>
        <w:rPr>
          <w:sz w:val="20"/>
          <w:szCs w:val="20"/>
          <w:color w:val="auto"/>
        </w:rPr>
      </w:pPr>
    </w:p>
    <w:p>
      <w:pPr>
        <w:ind w:left="700" w:hanging="533"/>
        <w:spacing w:after="0"/>
        <w:tabs>
          <w:tab w:leader="none" w:pos="700" w:val="left"/>
        </w:tabs>
        <w:numPr>
          <w:ilvl w:val="0"/>
          <w:numId w:val="143"/>
        </w:numPr>
        <w:rPr>
          <w:rFonts w:ascii="Arial" w:cs="Arial" w:eastAsia="Arial" w:hAnsi="Arial"/>
          <w:sz w:val="21"/>
          <w:szCs w:val="21"/>
          <w:color w:val="0071CE"/>
        </w:rPr>
      </w:pPr>
      <w:r>
        <w:rPr>
          <w:rFonts w:ascii="Arial" w:cs="Arial" w:eastAsia="Arial" w:hAnsi="Arial"/>
          <w:sz w:val="25"/>
          <w:szCs w:val="25"/>
          <w:color w:val="3E3935"/>
        </w:rPr>
        <w:t>Potential Payments Upon Termination</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a severance payment under the Executive Severance Program.</w:t>
      </w:r>
    </w:p>
    <w:p>
      <w:pPr>
        <w:spacing w:after="0" w:line="116"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table below shows the potential payments to each NEO assuming a termination of employment on December 31, 2020, due to the following events: voluntary separation or termination for cause, qualifying termination under the Executive Severance Program, full career status retirement, disability, death, or change in control with termination of employment. Each of the separation events is described in more detail below. These provisions are generally applicable to participants in each of the applicable plans and are not reserved only for NEOs. The payments below are in addition to the present value of the accumulated benefits from each NEO’s qualified and nonqualified pension plans shown in the Pension Benefits table on page 78 of this Proxy Statement and the aggregate balance due to each NEO that is shown in the Nonqualified Deferred Compensation Plan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82550</wp:posOffset>
            </wp:positionV>
            <wp:extent cx="5927725" cy="1016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5"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79</w:t>
      </w:r>
    </w:p>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For purposes of the following table, the Company describes these terminations and potential payments:</w:t>
      </w:r>
    </w:p>
    <w:p>
      <w:pPr>
        <w:spacing w:after="0" w:line="107"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71CE"/>
        </w:rPr>
        <w:t xml:space="preserve">Voluntary Separation or Termination for Cause </w:t>
      </w:r>
      <w:r>
        <w:rPr>
          <w:rFonts w:ascii="Arial" w:cs="Arial" w:eastAsia="Arial" w:hAnsi="Arial"/>
          <w:sz w:val="20"/>
          <w:szCs w:val="20"/>
          <w:color w:val="3E3935"/>
        </w:rPr>
        <w:t>— A voluntary separation occurs when an executive voluntarily terminates</w:t>
      </w:r>
      <w:r>
        <w:rPr>
          <w:rFonts w:ascii="Arial" w:cs="Arial" w:eastAsia="Arial" w:hAnsi="Arial"/>
          <w:sz w:val="20"/>
          <w:szCs w:val="20"/>
          <w:b w:val="1"/>
          <w:bCs w:val="1"/>
          <w:color w:val="0071CE"/>
        </w:rPr>
        <w:t xml:space="preserve"> </w:t>
      </w:r>
      <w:r>
        <w:rPr>
          <w:rFonts w:ascii="Arial" w:cs="Arial" w:eastAsia="Arial" w:hAnsi="Arial"/>
          <w:sz w:val="20"/>
          <w:szCs w:val="20"/>
          <w:color w:val="3E3935"/>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103"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71CE"/>
        </w:rPr>
        <w:t xml:space="preserve">Executive Severance Program </w:t>
      </w:r>
      <w:r>
        <w:rPr>
          <w:rFonts w:ascii="Arial" w:cs="Arial" w:eastAsia="Arial" w:hAnsi="Arial"/>
          <w:sz w:val="20"/>
          <w:szCs w:val="20"/>
          <w:color w:val="3E3935"/>
        </w:rPr>
        <w:t>— A separation occurs when an executive’s position is eliminated or the Company and an</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agree to mutually end the employment relationship. An executive will be eligible to receive a severance payment from the Company calculated based on his or her position and reflected as a multiple of base salary, COBRA, and a STIP award at target. An executive may receive cash payments of the value of the equity awards that are scheduled to vest within the next year after separation at the time of vesting. Unvested Stock Options are usually forfeited. An executive is also eligible for outplacement assistance based on position. All the potential payments are contingent upon the executive entering into a mutual separation agreement.</w:t>
      </w:r>
    </w:p>
    <w:p>
      <w:pPr>
        <w:spacing w:after="0" w:line="89"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71CE"/>
        </w:rPr>
        <w:t xml:space="preserve">Full Career Status Retirement </w:t>
      </w:r>
      <w:r>
        <w:rPr>
          <w:rFonts w:ascii="Arial" w:cs="Arial" w:eastAsia="Arial" w:hAnsi="Arial"/>
          <w:sz w:val="20"/>
          <w:szCs w:val="20"/>
          <w:color w:val="3E3935"/>
        </w:rPr>
        <w:t>— A full career status retirement occurs when an executive reaches the age of 55 with 10 or</w:t>
      </w:r>
      <w:r>
        <w:rPr>
          <w:rFonts w:ascii="Arial" w:cs="Arial" w:eastAsia="Arial" w:hAnsi="Arial"/>
          <w:sz w:val="20"/>
          <w:szCs w:val="20"/>
          <w:b w:val="1"/>
          <w:bCs w:val="1"/>
          <w:color w:val="0071CE"/>
        </w:rPr>
        <w:t xml:space="preserve"> </w:t>
      </w:r>
      <w:r>
        <w:rPr>
          <w:rFonts w:ascii="Arial" w:cs="Arial" w:eastAsia="Arial" w:hAnsi="Arial"/>
          <w:sz w:val="20"/>
          <w:szCs w:val="20"/>
          <w:color w:val="3E3935"/>
        </w:rPr>
        <w:t>more years of continuous service with the Company, or age 62 or older, at which time the executive voluntarily separates from the Company. An executive who enters into a separation or severance agreement cannot also elect full career status retirement.</w:t>
      </w:r>
    </w:p>
    <w:p>
      <w:pPr>
        <w:spacing w:after="0" w:line="126"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3E3935"/>
        </w:rPr>
        <w:t>In the event of a full career status retirement, the executive is generally eligible for a prorated STIP award based on his or her date of retirement in the performance year and once final performance has been determined. RSUs granted within one year prior to the date of retirement are prorated based on the date of retirement. RSUs granted more than one year prior to the date of retirement continue to vest in accordance with their vesting schedule. PSUs granted within one year prior to the date of retirement are prorated based on the date of retirement and will be adjusted for final company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Company performance and be settled following approval of such performance. Stock Options granted within one year prior to the date of retirement are prorated based the date of retirement. Stock Options granted more than one year prior to the date of retirement will continue to vest in accordance with their vesting schedule.</w:t>
      </w:r>
    </w:p>
    <w:p>
      <w:pPr>
        <w:spacing w:after="0" w:line="10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71CE"/>
        </w:rPr>
        <w:t xml:space="preserve">Disability </w:t>
      </w:r>
      <w:r>
        <w:rPr>
          <w:rFonts w:ascii="Arial" w:cs="Arial" w:eastAsia="Arial" w:hAnsi="Arial"/>
          <w:sz w:val="20"/>
          <w:szCs w:val="20"/>
          <w:color w:val="3E3935"/>
        </w:rPr>
        <w:t>— Disability occurs when an executive terminates employment by reason of his or her inability to engage in any</w:t>
      </w:r>
      <w:r>
        <w:rPr>
          <w:rFonts w:ascii="Arial" w:cs="Arial" w:eastAsia="Arial" w:hAnsi="Arial"/>
          <w:sz w:val="20"/>
          <w:szCs w:val="20"/>
          <w:b w:val="1"/>
          <w:bCs w:val="1"/>
          <w:color w:val="0071CE"/>
        </w:rPr>
        <w:t xml:space="preserve"> </w:t>
      </w:r>
      <w:r>
        <w:rPr>
          <w:rFonts w:ascii="Arial" w:cs="Arial" w:eastAsia="Arial" w:hAnsi="Arial"/>
          <w:sz w:val="20"/>
          <w:szCs w:val="20"/>
          <w:color w:val="3E3935"/>
        </w:rPr>
        <w:t>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continue to vest according to their vesting schedule. PSUs vest immediately upon such termination and will remain outstanding until the end of the performance period, at which time they will be adjusted for final Company performance and be settled following approval of such performance. Stock Options will continue to vest in accordance with their vesting schedule.</w:t>
      </w:r>
    </w:p>
    <w:p>
      <w:pPr>
        <w:spacing w:after="0" w:line="16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71CE"/>
        </w:rPr>
        <w:t xml:space="preserve">Death </w:t>
      </w:r>
      <w:r>
        <w:rPr>
          <w:rFonts w:ascii="Arial" w:cs="Arial" w:eastAsia="Arial" w:hAnsi="Arial"/>
          <w:sz w:val="20"/>
          <w:szCs w:val="20"/>
          <w:color w:val="3E3935"/>
        </w:rPr>
        <w:t>— Following the death of an executive, the beneficiary of the executive will be eligible to receive the full-year STIP</w:t>
      </w:r>
      <w:r>
        <w:rPr>
          <w:rFonts w:ascii="Arial" w:cs="Arial" w:eastAsia="Arial" w:hAnsi="Arial"/>
          <w:sz w:val="20"/>
          <w:szCs w:val="20"/>
          <w:b w:val="1"/>
          <w:bCs w:val="1"/>
          <w:color w:val="0071CE"/>
        </w:rPr>
        <w:t xml:space="preserve"> </w:t>
      </w:r>
      <w:r>
        <w:rPr>
          <w:rFonts w:ascii="Arial" w:cs="Arial" w:eastAsia="Arial" w:hAnsi="Arial"/>
          <w:sz w:val="20"/>
          <w:szCs w:val="20"/>
          <w:color w:val="3E3935"/>
        </w:rPr>
        <w:t>award subject to adjustment for final Company performance. RSUs immediately vest in full and are settled within 90 days of death. PSUs vest immediately upon death and will remain outstanding until the end of the performance period, at which time they will be adjusted for final Company performance and be settled following approval of such performance. Stock Options vest immediately upon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84455</wp:posOffset>
            </wp:positionV>
            <wp:extent cx="5927725" cy="1016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8"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80</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color w:val="0071CE"/>
        </w:rPr>
        <w:t xml:space="preserve">Change in Control (Double Trigger) </w:t>
      </w:r>
      <w:r>
        <w:rPr>
          <w:rFonts w:ascii="Arial" w:cs="Arial" w:eastAsia="Arial" w:hAnsi="Arial"/>
          <w:sz w:val="20"/>
          <w:szCs w:val="20"/>
          <w:color w:val="3E3935"/>
        </w:rPr>
        <w:t>— In the event of a termination of employment resulting from a change in control, an</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will be eligible for severance under the Executive Severance Program that provides a severance payment based on position and a multiple of base salary and COBRA. An executive will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w:t>
      </w:r>
    </w:p>
    <w:p>
      <w:pPr>
        <w:spacing w:after="0" w:line="127"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Amounts shown below are calculated by assuming that the relevant employment termination event occurred on December 31, 2020.</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360" w:type="dxa"/>
            <w:vAlign w:val="bottom"/>
            <w:tcBorders>
              <w:top w:val="single" w:sz="8" w:color="00C1DE"/>
            </w:tcBorders>
          </w:tcPr>
          <w:p>
            <w:pPr>
              <w:spacing w:after="0"/>
              <w:rPr>
                <w:sz w:val="15"/>
                <w:szCs w:val="15"/>
                <w:color w:val="auto"/>
              </w:rPr>
            </w:pPr>
          </w:p>
        </w:tc>
        <w:tc>
          <w:tcPr>
            <w:tcW w:w="1300" w:type="dxa"/>
            <w:vAlign w:val="bottom"/>
            <w:tcBorders>
              <w:top w:val="single" w:sz="8" w:color="00C1DE"/>
            </w:tcBorders>
          </w:tcPr>
          <w:p>
            <w:pPr>
              <w:spacing w:after="0"/>
              <w:rPr>
                <w:sz w:val="15"/>
                <w:szCs w:val="15"/>
                <w:color w:val="auto"/>
              </w:rPr>
            </w:pPr>
          </w:p>
        </w:tc>
        <w:tc>
          <w:tcPr>
            <w:tcW w:w="1160" w:type="dxa"/>
            <w:vAlign w:val="bottom"/>
            <w:tcBorders>
              <w:top w:val="single" w:sz="8" w:color="00C1DE"/>
            </w:tcBorders>
          </w:tcPr>
          <w:p>
            <w:pPr>
              <w:jc w:val="right"/>
              <w:ind w:right="69"/>
              <w:spacing w:after="0"/>
              <w:rPr>
                <w:sz w:val="20"/>
                <w:szCs w:val="20"/>
                <w:color w:val="auto"/>
              </w:rPr>
            </w:pPr>
            <w:r>
              <w:rPr>
                <w:rFonts w:ascii="Arial" w:cs="Arial" w:eastAsia="Arial" w:hAnsi="Arial"/>
                <w:sz w:val="14"/>
                <w:szCs w:val="14"/>
                <w:b w:val="1"/>
                <w:bCs w:val="1"/>
                <w:color w:val="00C1DE"/>
              </w:rPr>
              <w:t>Voluntary</w:t>
            </w:r>
          </w:p>
        </w:tc>
        <w:tc>
          <w:tcPr>
            <w:tcW w:w="980" w:type="dxa"/>
            <w:vAlign w:val="bottom"/>
            <w:tcBorders>
              <w:top w:val="single" w:sz="8" w:color="00C1DE"/>
            </w:tcBorders>
          </w:tcPr>
          <w:p>
            <w:pPr>
              <w:spacing w:after="0"/>
              <w:rPr>
                <w:sz w:val="15"/>
                <w:szCs w:val="15"/>
                <w:color w:val="auto"/>
              </w:rPr>
            </w:pPr>
          </w:p>
        </w:tc>
        <w:tc>
          <w:tcPr>
            <w:tcW w:w="1160" w:type="dxa"/>
            <w:vAlign w:val="bottom"/>
            <w:tcBorders>
              <w:top w:val="single" w:sz="8" w:color="00C1DE"/>
            </w:tcBorders>
          </w:tcPr>
          <w:p>
            <w:pPr>
              <w:spacing w:after="0"/>
              <w:rPr>
                <w:sz w:val="15"/>
                <w:szCs w:val="15"/>
                <w:color w:val="auto"/>
              </w:rPr>
            </w:pPr>
          </w:p>
        </w:tc>
        <w:tc>
          <w:tcPr>
            <w:tcW w:w="1000" w:type="dxa"/>
            <w:vAlign w:val="bottom"/>
            <w:tcBorders>
              <w:top w:val="single" w:sz="8" w:color="00C1DE"/>
            </w:tcBorders>
          </w:tcPr>
          <w:p>
            <w:pPr>
              <w:spacing w:after="0"/>
              <w:rPr>
                <w:sz w:val="15"/>
                <w:szCs w:val="15"/>
                <w:color w:val="auto"/>
              </w:rPr>
            </w:pPr>
          </w:p>
        </w:tc>
        <w:tc>
          <w:tcPr>
            <w:tcW w:w="940" w:type="dxa"/>
            <w:vAlign w:val="bottom"/>
            <w:tcBorders>
              <w:top w:val="single" w:sz="8" w:color="00C1DE"/>
            </w:tcBorders>
          </w:tcPr>
          <w:p>
            <w:pPr>
              <w:spacing w:after="0"/>
              <w:rPr>
                <w:sz w:val="15"/>
                <w:szCs w:val="15"/>
                <w:color w:val="auto"/>
              </w:rPr>
            </w:pPr>
          </w:p>
        </w:tc>
        <w:tc>
          <w:tcPr>
            <w:tcW w:w="1020" w:type="dxa"/>
            <w:vAlign w:val="bottom"/>
            <w:tcBorders>
              <w:top w:val="single" w:sz="8" w:color="00C1DE"/>
            </w:tcBorders>
          </w:tcPr>
          <w:p>
            <w:pPr>
              <w:spacing w:after="0"/>
              <w:rPr>
                <w:sz w:val="15"/>
                <w:szCs w:val="15"/>
                <w:color w:val="auto"/>
              </w:rPr>
            </w:pPr>
          </w:p>
        </w:tc>
      </w:tr>
      <w:tr>
        <w:trPr>
          <w:trHeight w:val="160"/>
        </w:trPr>
        <w:tc>
          <w:tcPr>
            <w:tcW w:w="3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00C1DE"/>
              </w:rPr>
              <w:t>Separation or</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00C1DE"/>
              </w:rPr>
              <w:t>Executive</w:t>
            </w: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00C1DE"/>
              </w:rPr>
              <w:t>Change in</w:t>
            </w:r>
          </w:p>
        </w:tc>
      </w:tr>
      <w:tr>
        <w:trPr>
          <w:trHeight w:val="157"/>
        </w:trPr>
        <w:tc>
          <w:tcPr>
            <w:tcW w:w="3360" w:type="dxa"/>
            <w:vAlign w:val="bottom"/>
          </w:tcPr>
          <w:p>
            <w:pPr>
              <w:spacing w:after="0"/>
              <w:rPr>
                <w:sz w:val="13"/>
                <w:szCs w:val="13"/>
                <w:color w:val="auto"/>
              </w:rPr>
            </w:pPr>
          </w:p>
        </w:tc>
        <w:tc>
          <w:tcPr>
            <w:tcW w:w="1300" w:type="dxa"/>
            <w:vAlign w:val="bottom"/>
          </w:tcPr>
          <w:p>
            <w:pPr>
              <w:ind w:left="200"/>
              <w:spacing w:after="0" w:line="157" w:lineRule="exact"/>
              <w:rPr>
                <w:sz w:val="20"/>
                <w:szCs w:val="20"/>
                <w:color w:val="auto"/>
              </w:rPr>
            </w:pPr>
            <w:r>
              <w:rPr>
                <w:rFonts w:ascii="Arial" w:cs="Arial" w:eastAsia="Arial" w:hAnsi="Arial"/>
                <w:sz w:val="14"/>
                <w:szCs w:val="14"/>
                <w:b w:val="1"/>
                <w:bCs w:val="1"/>
                <w:color w:val="00C1DE"/>
              </w:rPr>
              <w:t>Compensation</w:t>
            </w:r>
          </w:p>
        </w:tc>
        <w:tc>
          <w:tcPr>
            <w:tcW w:w="116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00C1DE"/>
              </w:rPr>
              <w:t>Termination</w:t>
            </w:r>
          </w:p>
        </w:tc>
        <w:tc>
          <w:tcPr>
            <w:tcW w:w="98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00C1DE"/>
              </w:rPr>
              <w:t>Severance</w:t>
            </w: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29"/>
              <w:spacing w:after="0" w:line="157" w:lineRule="exact"/>
              <w:rPr>
                <w:sz w:val="20"/>
                <w:szCs w:val="20"/>
                <w:color w:val="auto"/>
              </w:rPr>
            </w:pPr>
            <w:r>
              <w:rPr>
                <w:rFonts w:ascii="Arial" w:cs="Arial" w:eastAsia="Arial" w:hAnsi="Arial"/>
                <w:sz w:val="14"/>
                <w:szCs w:val="14"/>
                <w:b w:val="1"/>
                <w:bCs w:val="1"/>
                <w:color w:val="00C1DE"/>
              </w:rPr>
              <w:t>Control with</w:t>
            </w:r>
          </w:p>
        </w:tc>
      </w:tr>
      <w:tr>
        <w:trPr>
          <w:trHeight w:val="271"/>
        </w:trPr>
        <w:tc>
          <w:tcPr>
            <w:tcW w:w="3360" w:type="dxa"/>
            <w:vAlign w:val="bottom"/>
            <w:tcBorders>
              <w:bottom w:val="single" w:sz="8" w:color="00C1DE"/>
            </w:tcBorders>
          </w:tcPr>
          <w:p>
            <w:pPr>
              <w:ind w:left="80"/>
              <w:spacing w:after="0"/>
              <w:rPr>
                <w:sz w:val="20"/>
                <w:szCs w:val="20"/>
                <w:color w:val="auto"/>
              </w:rPr>
            </w:pPr>
            <w:r>
              <w:rPr>
                <w:rFonts w:ascii="Arial" w:cs="Arial" w:eastAsia="Arial" w:hAnsi="Arial"/>
                <w:sz w:val="14"/>
                <w:szCs w:val="14"/>
                <w:b w:val="1"/>
                <w:bCs w:val="1"/>
                <w:color w:val="00C1DE"/>
              </w:rPr>
              <w:t>Name</w:t>
            </w:r>
          </w:p>
        </w:tc>
        <w:tc>
          <w:tcPr>
            <w:tcW w:w="1300" w:type="dxa"/>
            <w:vAlign w:val="bottom"/>
            <w:tcBorders>
              <w:bottom w:val="single" w:sz="8" w:color="00C1DE"/>
            </w:tcBorders>
          </w:tcPr>
          <w:p>
            <w:pPr>
              <w:ind w:left="200"/>
              <w:spacing w:after="0" w:line="270" w:lineRule="exact"/>
              <w:rPr>
                <w:sz w:val="20"/>
                <w:szCs w:val="20"/>
                <w:color w:val="auto"/>
              </w:rPr>
            </w:pPr>
            <w:r>
              <w:rPr>
                <w:rFonts w:ascii="Arial" w:cs="Arial" w:eastAsia="Arial" w:hAnsi="Arial"/>
                <w:sz w:val="28"/>
                <w:szCs w:val="28"/>
                <w:b w:val="1"/>
                <w:bCs w:val="1"/>
                <w:color w:val="00C1DE"/>
                <w:w w:val="92"/>
                <w:vertAlign w:val="subscript"/>
              </w:rPr>
              <w:t>Element</w:t>
            </w:r>
            <w:r>
              <w:rPr>
                <w:rFonts w:ascii="Arial" w:cs="Arial" w:eastAsia="Arial" w:hAnsi="Arial"/>
                <w:sz w:val="12"/>
                <w:szCs w:val="12"/>
                <w:b w:val="1"/>
                <w:bCs w:val="1"/>
                <w:color w:val="00C1DE"/>
                <w:w w:val="92"/>
              </w:rPr>
              <w:t>(1)(2)(3)</w:t>
            </w:r>
          </w:p>
        </w:tc>
        <w:tc>
          <w:tcPr>
            <w:tcW w:w="1160" w:type="dxa"/>
            <w:vAlign w:val="bottom"/>
            <w:tcBorders>
              <w:bottom w:val="single" w:sz="8" w:color="00C1DE"/>
            </w:tcBorders>
          </w:tcPr>
          <w:p>
            <w:pPr>
              <w:jc w:val="right"/>
              <w:ind w:right="69"/>
              <w:spacing w:after="0"/>
              <w:rPr>
                <w:sz w:val="20"/>
                <w:szCs w:val="20"/>
                <w:color w:val="auto"/>
              </w:rPr>
            </w:pPr>
            <w:r>
              <w:rPr>
                <w:rFonts w:ascii="Arial" w:cs="Arial" w:eastAsia="Arial" w:hAnsi="Arial"/>
                <w:sz w:val="14"/>
                <w:szCs w:val="14"/>
                <w:b w:val="1"/>
                <w:bCs w:val="1"/>
                <w:color w:val="00C1DE"/>
              </w:rPr>
              <w:t>for Cause</w:t>
            </w:r>
          </w:p>
        </w:tc>
        <w:tc>
          <w:tcPr>
            <w:tcW w:w="980" w:type="dxa"/>
            <w:vAlign w:val="bottom"/>
            <w:tcBorders>
              <w:bottom w:val="single" w:sz="8" w:color="00C1DE"/>
            </w:tcBorders>
          </w:tcPr>
          <w:p>
            <w:pPr>
              <w:jc w:val="right"/>
              <w:ind w:right="49"/>
              <w:spacing w:after="0"/>
              <w:rPr>
                <w:sz w:val="20"/>
                <w:szCs w:val="20"/>
                <w:color w:val="auto"/>
              </w:rPr>
            </w:pPr>
            <w:r>
              <w:rPr>
                <w:rFonts w:ascii="Arial" w:cs="Arial" w:eastAsia="Arial" w:hAnsi="Arial"/>
                <w:sz w:val="14"/>
                <w:szCs w:val="14"/>
                <w:b w:val="1"/>
                <w:bCs w:val="1"/>
                <w:color w:val="00C1DE"/>
              </w:rPr>
              <w:t>Program</w:t>
            </w:r>
          </w:p>
        </w:tc>
        <w:tc>
          <w:tcPr>
            <w:tcW w:w="1160" w:type="dxa"/>
            <w:vAlign w:val="bottom"/>
            <w:tcBorders>
              <w:bottom w:val="single" w:sz="8" w:color="00C1DE"/>
            </w:tcBorders>
          </w:tcPr>
          <w:p>
            <w:pPr>
              <w:jc w:val="right"/>
              <w:ind w:right="69"/>
              <w:spacing w:after="0" w:line="271" w:lineRule="exact"/>
              <w:rPr>
                <w:sz w:val="20"/>
                <w:szCs w:val="20"/>
                <w:color w:val="auto"/>
              </w:rPr>
            </w:pPr>
            <w:r>
              <w:rPr>
                <w:rFonts w:ascii="Arial" w:cs="Arial" w:eastAsia="Arial" w:hAnsi="Arial"/>
                <w:sz w:val="14"/>
                <w:szCs w:val="14"/>
                <w:b w:val="1"/>
                <w:bCs w:val="1"/>
                <w:color w:val="00C1DE"/>
              </w:rPr>
              <w:t>Retirement</w:t>
            </w:r>
            <w:r>
              <w:rPr>
                <w:rFonts w:ascii="Arial" w:cs="Arial" w:eastAsia="Arial" w:hAnsi="Arial"/>
                <w:sz w:val="24"/>
                <w:szCs w:val="24"/>
                <w:b w:val="1"/>
                <w:bCs w:val="1"/>
                <w:color w:val="00C1DE"/>
                <w:vertAlign w:val="superscript"/>
              </w:rPr>
              <w:t>(4)</w:t>
            </w:r>
          </w:p>
        </w:tc>
        <w:tc>
          <w:tcPr>
            <w:tcW w:w="1000" w:type="dxa"/>
            <w:vAlign w:val="bottom"/>
            <w:tcBorders>
              <w:bottom w:val="single" w:sz="8" w:color="00C1DE"/>
            </w:tcBorders>
          </w:tcPr>
          <w:p>
            <w:pPr>
              <w:jc w:val="right"/>
              <w:ind w:right="69"/>
              <w:spacing w:after="0"/>
              <w:rPr>
                <w:sz w:val="20"/>
                <w:szCs w:val="20"/>
                <w:color w:val="auto"/>
              </w:rPr>
            </w:pPr>
            <w:r>
              <w:rPr>
                <w:rFonts w:ascii="Arial" w:cs="Arial" w:eastAsia="Arial" w:hAnsi="Arial"/>
                <w:sz w:val="14"/>
                <w:szCs w:val="14"/>
                <w:b w:val="1"/>
                <w:bCs w:val="1"/>
                <w:color w:val="00C1DE"/>
              </w:rPr>
              <w:t>Disability</w:t>
            </w:r>
          </w:p>
        </w:tc>
        <w:tc>
          <w:tcPr>
            <w:tcW w:w="940" w:type="dxa"/>
            <w:vAlign w:val="bottom"/>
            <w:tcBorders>
              <w:bottom w:val="single" w:sz="8" w:color="00C1DE"/>
            </w:tcBorders>
          </w:tcPr>
          <w:p>
            <w:pPr>
              <w:jc w:val="right"/>
              <w:ind w:right="9"/>
              <w:spacing w:after="0"/>
              <w:rPr>
                <w:sz w:val="20"/>
                <w:szCs w:val="20"/>
                <w:color w:val="auto"/>
              </w:rPr>
            </w:pPr>
            <w:r>
              <w:rPr>
                <w:rFonts w:ascii="Arial" w:cs="Arial" w:eastAsia="Arial" w:hAnsi="Arial"/>
                <w:sz w:val="14"/>
                <w:szCs w:val="14"/>
                <w:b w:val="1"/>
                <w:bCs w:val="1"/>
                <w:color w:val="00C1DE"/>
              </w:rPr>
              <w:t>Death</w:t>
            </w:r>
          </w:p>
        </w:tc>
        <w:tc>
          <w:tcPr>
            <w:tcW w:w="1020" w:type="dxa"/>
            <w:vAlign w:val="bottom"/>
            <w:tcBorders>
              <w:bottom w:val="single" w:sz="8" w:color="00C1DE"/>
            </w:tcBorders>
          </w:tcPr>
          <w:p>
            <w:pPr>
              <w:jc w:val="right"/>
              <w:ind w:right="29"/>
              <w:spacing w:after="0"/>
              <w:rPr>
                <w:sz w:val="20"/>
                <w:szCs w:val="20"/>
                <w:color w:val="auto"/>
              </w:rPr>
            </w:pPr>
            <w:r>
              <w:rPr>
                <w:rFonts w:ascii="Arial" w:cs="Arial" w:eastAsia="Arial" w:hAnsi="Arial"/>
                <w:sz w:val="14"/>
                <w:szCs w:val="14"/>
                <w:b w:val="1"/>
                <w:bCs w:val="1"/>
                <w:color w:val="00C1DE"/>
              </w:rPr>
              <w:t>Termination</w:t>
            </w:r>
          </w:p>
        </w:tc>
      </w:tr>
      <w:tr>
        <w:trPr>
          <w:trHeight w:val="223"/>
        </w:trPr>
        <w:tc>
          <w:tcPr>
            <w:tcW w:w="3360" w:type="dxa"/>
            <w:vAlign w:val="bottom"/>
          </w:tcPr>
          <w:p>
            <w:pPr>
              <w:ind w:left="80"/>
              <w:spacing w:after="0"/>
              <w:rPr>
                <w:sz w:val="20"/>
                <w:szCs w:val="20"/>
                <w:color w:val="auto"/>
              </w:rPr>
            </w:pPr>
            <w:r>
              <w:rPr>
                <w:rFonts w:ascii="Arial" w:cs="Arial" w:eastAsia="Arial" w:hAnsi="Arial"/>
                <w:sz w:val="14"/>
                <w:szCs w:val="14"/>
                <w:color w:val="3E3935"/>
              </w:rPr>
              <w:t>Mary T. Barra</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4,239,507</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4,224,507</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4,200,000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3,570,000</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3,570,000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3,570,000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4,200,000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194,875</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21,492,573</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49,447,126</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49,447,126</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49,447,126</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49,447,126</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194,875</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29,932,080</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53,017,126</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53,017,126</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53,017,126</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57,871,633</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ind w:left="80"/>
              <w:spacing w:after="0"/>
              <w:rPr>
                <w:sz w:val="20"/>
                <w:szCs w:val="20"/>
                <w:color w:val="auto"/>
              </w:rPr>
            </w:pPr>
            <w:r>
              <w:rPr>
                <w:rFonts w:ascii="Arial" w:cs="Arial" w:eastAsia="Arial" w:hAnsi="Arial"/>
                <w:sz w:val="14"/>
                <w:szCs w:val="14"/>
                <w:color w:val="3E3935"/>
              </w:rPr>
              <w:t>Paul A. Jacobson</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1,529,573</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1,514,573</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1,250,000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1,062,500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1,062,500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1,250,000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3,797,777</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3,797,777</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3,797,777</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2,779,573</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4,860,277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4,860,277</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6,562,350</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ind w:left="80"/>
              <w:spacing w:after="0"/>
              <w:rPr>
                <w:sz w:val="20"/>
                <w:szCs w:val="20"/>
                <w:color w:val="auto"/>
              </w:rPr>
            </w:pPr>
            <w:r>
              <w:rPr>
                <w:rFonts w:ascii="Arial" w:cs="Arial" w:eastAsia="Arial" w:hAnsi="Arial"/>
                <w:sz w:val="14"/>
                <w:szCs w:val="14"/>
                <w:color w:val="3E3935"/>
              </w:rPr>
              <w:t>Mark L. Reuss</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2,004,598</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1,989,598</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1,625,000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1,381,300</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1,381,300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1,381,300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1,625,000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120,631</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6,589,341</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17,019,727</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17,019,727</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17,019,727</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17,019,727</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120,631</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10,218,939</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18,401,027</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18,401,027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18,401,027</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20,634,325</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ind w:left="80"/>
              <w:spacing w:after="0"/>
              <w:rPr>
                <w:sz w:val="20"/>
                <w:szCs w:val="20"/>
                <w:color w:val="auto"/>
              </w:rPr>
            </w:pPr>
            <w:r>
              <w:rPr>
                <w:rFonts w:ascii="Arial" w:cs="Arial" w:eastAsia="Arial" w:hAnsi="Arial"/>
                <w:sz w:val="14"/>
                <w:szCs w:val="14"/>
                <w:color w:val="3E3935"/>
              </w:rPr>
              <w:t>Douglas L. Parks</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1,308,380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1,293,380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1,062,500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903,100</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903,100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903,100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1,062,500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71,912</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1,537,826</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6,753,296</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6,753,296</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6,753,296</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6,753,296</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71,912</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3,908,706</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7,656,396</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7,656,396</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7,656,396</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9,109,176</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ind w:left="80"/>
              <w:spacing w:after="0"/>
              <w:rPr>
                <w:sz w:val="20"/>
                <w:szCs w:val="20"/>
                <w:color w:val="auto"/>
              </w:rPr>
            </w:pPr>
            <w:r>
              <w:rPr>
                <w:rFonts w:ascii="Arial" w:cs="Arial" w:eastAsia="Arial" w:hAnsi="Arial"/>
                <w:sz w:val="14"/>
                <w:szCs w:val="14"/>
                <w:color w:val="3E3935"/>
              </w:rPr>
              <w:t>Stephen K. Carlisle</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1,249,470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1,234,470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1,000,000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850,000</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850,000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850,000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1,000,000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64,958</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2,373,564</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7,849,132</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7,849,132</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7,849,132</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7,849,132</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64,958</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4,623,034</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8,699,132</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8,699,132</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8,699,132</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10,083,602</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74"/>
        </w:trPr>
        <w:tc>
          <w:tcPr>
            <w:tcW w:w="3360" w:type="dxa"/>
            <w:vAlign w:val="bottom"/>
          </w:tcPr>
          <w:p>
            <w:pPr>
              <w:ind w:left="80"/>
              <w:spacing w:after="0" w:line="274" w:lineRule="exact"/>
              <w:rPr>
                <w:sz w:val="20"/>
                <w:szCs w:val="20"/>
                <w:color w:val="auto"/>
              </w:rPr>
            </w:pPr>
            <w:r>
              <w:rPr>
                <w:rFonts w:ascii="Arial" w:cs="Arial" w:eastAsia="Arial" w:hAnsi="Arial"/>
                <w:sz w:val="14"/>
                <w:szCs w:val="14"/>
                <w:color w:val="3E3935"/>
              </w:rPr>
              <w:t>Dhivya Suryadevara</w:t>
            </w:r>
            <w:r>
              <w:rPr>
                <w:rFonts w:ascii="Arial" w:cs="Arial" w:eastAsia="Arial" w:hAnsi="Arial"/>
                <w:sz w:val="24"/>
                <w:szCs w:val="24"/>
                <w:color w:val="3E3935"/>
                <w:vertAlign w:val="superscript"/>
              </w:rPr>
              <w:t>(5)</w:t>
            </w:r>
          </w:p>
        </w:tc>
        <w:tc>
          <w:tcPr>
            <w:tcW w:w="1300" w:type="dxa"/>
            <w:vAlign w:val="bottom"/>
            <w:tcBorders>
              <w:bottom w:val="single" w:sz="8" w:color="3E3935"/>
            </w:tcBorders>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Borders>
              <w:bottom w:val="single" w:sz="8" w:color="3E3935"/>
            </w:tcBorders>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Borders>
              <w:bottom w:val="single" w:sz="8" w:color="3E3935"/>
            </w:tcBorders>
          </w:tcPr>
          <w:p>
            <w:pPr>
              <w:jc w:val="right"/>
              <w:ind w:right="49"/>
              <w:spacing w:after="0"/>
              <w:rPr>
                <w:sz w:val="20"/>
                <w:szCs w:val="20"/>
                <w:color w:val="auto"/>
              </w:rPr>
            </w:pPr>
            <w:r>
              <w:rPr>
                <w:rFonts w:ascii="Arial" w:cs="Arial" w:eastAsia="Arial" w:hAnsi="Arial"/>
                <w:sz w:val="14"/>
                <w:szCs w:val="14"/>
                <w:color w:val="3E3935"/>
              </w:rPr>
              <w:t>—</w:t>
            </w:r>
          </w:p>
        </w:tc>
        <w:tc>
          <w:tcPr>
            <w:tcW w:w="1160" w:type="dxa"/>
            <w:vAlign w:val="bottom"/>
            <w:tcBorders>
              <w:bottom w:val="single" w:sz="8" w:color="3E3935"/>
            </w:tcBorders>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Borders>
              <w:bottom w:val="single" w:sz="8" w:color="3E3935"/>
            </w:tcBorders>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Borders>
              <w:bottom w:val="single" w:sz="8" w:color="3E3935"/>
            </w:tcBorders>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Borders>
              <w:bottom w:val="single" w:sz="8" w:color="3E3935"/>
            </w:tcBorders>
          </w:tcPr>
          <w:p>
            <w:pPr>
              <w:jc w:val="right"/>
              <w:ind w:right="29"/>
              <w:spacing w:after="0"/>
              <w:rPr>
                <w:sz w:val="20"/>
                <w:szCs w:val="20"/>
                <w:color w:val="auto"/>
              </w:rPr>
            </w:pPr>
            <w:r>
              <w:rPr>
                <w:rFonts w:ascii="Arial" w:cs="Arial" w:eastAsia="Arial" w:hAnsi="Arial"/>
                <w:sz w:val="14"/>
                <w:szCs w:val="14"/>
                <w:color w:val="3E3935"/>
              </w:rPr>
              <w:t>—</w:t>
            </w: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63,631</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63,631</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ind w:left="80"/>
              <w:spacing w:after="0"/>
              <w:rPr>
                <w:sz w:val="20"/>
                <w:szCs w:val="20"/>
                <w:color w:val="auto"/>
              </w:rPr>
            </w:pPr>
            <w:r>
              <w:rPr>
                <w:rFonts w:ascii="Arial" w:cs="Arial" w:eastAsia="Arial" w:hAnsi="Arial"/>
                <w:sz w:val="14"/>
                <w:szCs w:val="14"/>
                <w:color w:val="3E3935"/>
              </w:rPr>
              <w:t>John P. Stapleton</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970,880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955,880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781,300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664,100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664,100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781,300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52,258</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1,208,830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5,032,160</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5,032,160</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5,032,160</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52,258</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2,961,010</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5,696,260</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5,696,260</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6,769,340</w:t>
            </w:r>
          </w:p>
        </w:tc>
      </w:tr>
      <w:tr>
        <w:trPr>
          <w:trHeight w:val="52"/>
        </w:trPr>
        <w:tc>
          <w:tcPr>
            <w:tcW w:w="3360" w:type="dxa"/>
            <w:vAlign w:val="bottom"/>
            <w:tcBorders>
              <w:bottom w:val="single" w:sz="8" w:color="3E3935"/>
            </w:tcBorders>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74"/>
        </w:trPr>
        <w:tc>
          <w:tcPr>
            <w:tcW w:w="3360" w:type="dxa"/>
            <w:vAlign w:val="bottom"/>
          </w:tcPr>
          <w:p>
            <w:pPr>
              <w:ind w:left="80"/>
              <w:spacing w:after="0" w:line="274" w:lineRule="exact"/>
              <w:rPr>
                <w:sz w:val="20"/>
                <w:szCs w:val="20"/>
                <w:color w:val="auto"/>
              </w:rPr>
            </w:pPr>
            <w:r>
              <w:rPr>
                <w:rFonts w:ascii="Arial" w:cs="Arial" w:eastAsia="Arial" w:hAnsi="Arial"/>
                <w:sz w:val="14"/>
                <w:szCs w:val="14"/>
                <w:color w:val="3E3935"/>
              </w:rPr>
              <w:t>Barry L. Engle II</w:t>
            </w:r>
            <w:r>
              <w:rPr>
                <w:rFonts w:ascii="Arial" w:cs="Arial" w:eastAsia="Arial" w:hAnsi="Arial"/>
                <w:sz w:val="24"/>
                <w:szCs w:val="24"/>
                <w:color w:val="3E3935"/>
                <w:vertAlign w:val="superscript"/>
              </w:rPr>
              <w:t>(6)</w:t>
            </w:r>
          </w:p>
        </w:tc>
        <w:tc>
          <w:tcPr>
            <w:tcW w:w="1300" w:type="dxa"/>
            <w:vAlign w:val="bottom"/>
            <w:tcBorders>
              <w:bottom w:val="single" w:sz="8" w:color="3E3935"/>
            </w:tcBorders>
          </w:tcPr>
          <w:p>
            <w:pPr>
              <w:ind w:left="200"/>
              <w:spacing w:after="0"/>
              <w:rPr>
                <w:sz w:val="20"/>
                <w:szCs w:val="20"/>
                <w:color w:val="auto"/>
              </w:rPr>
            </w:pPr>
            <w:r>
              <w:rPr>
                <w:rFonts w:ascii="Arial" w:cs="Arial" w:eastAsia="Arial" w:hAnsi="Arial"/>
                <w:sz w:val="14"/>
                <w:szCs w:val="14"/>
                <w:color w:val="3E3935"/>
              </w:rPr>
              <w:t>Cash</w:t>
            </w:r>
          </w:p>
        </w:tc>
        <w:tc>
          <w:tcPr>
            <w:tcW w:w="1160" w:type="dxa"/>
            <w:vAlign w:val="bottom"/>
            <w:tcBorders>
              <w:bottom w:val="single" w:sz="8" w:color="3E3935"/>
            </w:tcBorders>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Borders>
              <w:bottom w:val="single" w:sz="8" w:color="3E3935"/>
            </w:tcBorders>
          </w:tcPr>
          <w:p>
            <w:pPr>
              <w:jc w:val="right"/>
              <w:ind w:right="49"/>
              <w:spacing w:after="0"/>
              <w:rPr>
                <w:sz w:val="20"/>
                <w:szCs w:val="20"/>
                <w:color w:val="auto"/>
              </w:rPr>
            </w:pPr>
            <w:r>
              <w:rPr>
                <w:rFonts w:ascii="Arial" w:cs="Arial" w:eastAsia="Arial" w:hAnsi="Arial"/>
                <w:sz w:val="14"/>
                <w:szCs w:val="14"/>
                <w:color w:val="3E3935"/>
              </w:rPr>
              <w:t>1,293,380</w:t>
            </w:r>
          </w:p>
        </w:tc>
        <w:tc>
          <w:tcPr>
            <w:tcW w:w="1160" w:type="dxa"/>
            <w:vAlign w:val="bottom"/>
            <w:tcBorders>
              <w:bottom w:val="single" w:sz="8" w:color="3E3935"/>
            </w:tcBorders>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Borders>
              <w:bottom w:val="single" w:sz="8" w:color="3E3935"/>
            </w:tcBorders>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Borders>
              <w:bottom w:val="single" w:sz="8" w:color="3E3935"/>
            </w:tcBorders>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Borders>
              <w:bottom w:val="single" w:sz="8" w:color="3E3935"/>
            </w:tcBorders>
          </w:tcPr>
          <w:p>
            <w:pPr>
              <w:jc w:val="right"/>
              <w:ind w:right="29"/>
              <w:spacing w:after="0"/>
              <w:rPr>
                <w:sz w:val="20"/>
                <w:szCs w:val="20"/>
                <w:color w:val="auto"/>
              </w:rPr>
            </w:pPr>
            <w:r>
              <w:rPr>
                <w:rFonts w:ascii="Arial" w:cs="Arial" w:eastAsia="Arial" w:hAnsi="Arial"/>
                <w:sz w:val="14"/>
                <w:szCs w:val="14"/>
                <w:color w:val="3E3935"/>
              </w:rPr>
              <w:t>—</w:t>
            </w: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1,062,500</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3E3935"/>
              </w:rPr>
              <w:t>1,234,348</w:t>
            </w:r>
          </w:p>
        </w:tc>
        <w:tc>
          <w:tcPr>
            <w:tcW w:w="116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3E3935"/>
              </w:rPr>
              <w:t>—</w:t>
            </w:r>
          </w:p>
        </w:tc>
      </w:tr>
      <w:tr>
        <w:trPr>
          <w:trHeight w:val="52"/>
        </w:trPr>
        <w:tc>
          <w:tcPr>
            <w:tcW w:w="336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98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94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3"/>
        </w:trPr>
        <w:tc>
          <w:tcPr>
            <w:tcW w:w="336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3E3935"/>
              </w:rPr>
              <w:t>3,590,228</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3E3935"/>
              </w:rPr>
              <w:t>—</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3E3935"/>
              </w:rPr>
              <w:t>—</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3E393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33020</wp:posOffset>
            </wp:positionV>
            <wp:extent cx="69297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6" w:lineRule="exact"/>
        <w:rPr>
          <w:sz w:val="20"/>
          <w:szCs w:val="20"/>
          <w:color w:val="auto"/>
        </w:rPr>
      </w:pPr>
    </w:p>
    <w:p>
      <w:pPr>
        <w:jc w:val="both"/>
        <w:ind w:left="600" w:hanging="433"/>
        <w:spacing w:after="0" w:line="246" w:lineRule="auto"/>
        <w:tabs>
          <w:tab w:leader="none" w:pos="600" w:val="left"/>
        </w:tabs>
        <w:numPr>
          <w:ilvl w:val="0"/>
          <w:numId w:val="144"/>
        </w:numPr>
        <w:rPr>
          <w:rFonts w:ascii="Arial" w:cs="Arial" w:eastAsia="Arial" w:hAnsi="Arial"/>
          <w:sz w:val="18"/>
          <w:szCs w:val="18"/>
          <w:i w:val="1"/>
          <w:iCs w:val="1"/>
          <w:color w:val="3E3935"/>
        </w:rPr>
      </w:pPr>
      <w:r>
        <w:rPr>
          <w:rFonts w:ascii="Arial" w:cs="Arial" w:eastAsia="Arial" w:hAnsi="Arial"/>
          <w:sz w:val="18"/>
          <w:szCs w:val="18"/>
          <w:i w:val="1"/>
          <w:iCs w:val="1"/>
          <w:color w:val="3E3935"/>
        </w:rPr>
        <w:t>Cash amounts shown for Executive Severance Program and Change in Control with Termination are based on the Executive Severance Program. Payments are 2X base salary for the CEO and 1.5X base salary for all other NEOs. Under the Executive Severance Program, the CEO is eligible for a cash payment equal to 24 months of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83185</wp:posOffset>
            </wp:positionV>
            <wp:extent cx="5927725" cy="1016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6"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81</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spacing w:after="0" w:line="260" w:lineRule="auto"/>
        <w:rPr>
          <w:sz w:val="20"/>
          <w:szCs w:val="20"/>
          <w:color w:val="auto"/>
        </w:rPr>
      </w:pPr>
      <w:r>
        <w:rPr>
          <w:rFonts w:ascii="Arial" w:cs="Arial" w:eastAsia="Arial" w:hAnsi="Arial"/>
          <w:sz w:val="18"/>
          <w:szCs w:val="18"/>
          <w:i w:val="1"/>
          <w:iCs w:val="1"/>
          <w:color w:val="3E3935"/>
        </w:rPr>
        <w:t>premiums and the other NEOs are eligible for a cash payment equal to 18 months of COBRA premiums. There are no cash payments due upon Voluntary Separation or Termination for Cause, Retirement, Disability, or Death.</w:t>
      </w:r>
    </w:p>
    <w:p>
      <w:pPr>
        <w:spacing w:after="0" w:line="33" w:lineRule="exact"/>
        <w:rPr>
          <w:sz w:val="20"/>
          <w:szCs w:val="20"/>
          <w:color w:val="auto"/>
        </w:rPr>
      </w:pPr>
    </w:p>
    <w:p>
      <w:pPr>
        <w:jc w:val="both"/>
        <w:ind w:left="600" w:hanging="433"/>
        <w:spacing w:after="0" w:line="246" w:lineRule="auto"/>
        <w:tabs>
          <w:tab w:leader="none" w:pos="60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45" w:lineRule="exact"/>
        <w:rPr>
          <w:rFonts w:ascii="Arial" w:cs="Arial" w:eastAsia="Arial" w:hAnsi="Arial"/>
          <w:sz w:val="18"/>
          <w:szCs w:val="18"/>
          <w:i w:val="1"/>
          <w:iCs w:val="1"/>
          <w:color w:val="3E3935"/>
        </w:rPr>
      </w:pPr>
    </w:p>
    <w:p>
      <w:pPr>
        <w:jc w:val="both"/>
        <w:ind w:left="600" w:hanging="433"/>
        <w:spacing w:after="0" w:line="239" w:lineRule="auto"/>
        <w:tabs>
          <w:tab w:leader="none" w:pos="60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LTIP amounts shown reflect the value of any unvested RSU awards, PSU awards, and Stock Options that may vest upon termination, including the Salary Reduction RSUs discussed on page 55 of this Proxy Statement. The value of the awards are based on the closing stock price on December 31, 2020, of $41.64. Under the Executive Severance Program, structure equity awards are delivered in cash once vested; the value displayed reflects the value of awards that would be subject to payment based on awards outstanding as of December 31, 2020.</w:t>
      </w:r>
    </w:p>
    <w:p>
      <w:pPr>
        <w:spacing w:after="0" w:line="52"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and Messrs. Reuss, Parks, and Carlisle were eligible for full career status retirement as of December 31, 2020.</w:t>
      </w:r>
    </w:p>
    <w:p>
      <w:pPr>
        <w:spacing w:after="0" w:line="73" w:lineRule="exact"/>
        <w:rPr>
          <w:rFonts w:ascii="Arial" w:cs="Arial" w:eastAsia="Arial" w:hAnsi="Arial"/>
          <w:sz w:val="18"/>
          <w:szCs w:val="18"/>
          <w:i w:val="1"/>
          <w:iCs w:val="1"/>
          <w:color w:val="3E3935"/>
        </w:rPr>
      </w:pPr>
    </w:p>
    <w:p>
      <w:pPr>
        <w:jc w:val="both"/>
        <w:ind w:left="600" w:hanging="433"/>
        <w:spacing w:after="0" w:line="246" w:lineRule="auto"/>
        <w:tabs>
          <w:tab w:leader="none" w:pos="60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Ms. Suryadevara’s termination on September 1, 2020, is reflected in the table as a voluntary separation. The LTIP amount, based on the terms of the award agreement, reflects prorated Salary Reduction RSUs valued at the closing stock price on September 1, 2020, of $29.79. The Salary Reduction RSUs vested and settled on April 1, 2021.</w:t>
      </w:r>
    </w:p>
    <w:p>
      <w:pPr>
        <w:spacing w:after="0" w:line="45" w:lineRule="exact"/>
        <w:rPr>
          <w:rFonts w:ascii="Arial" w:cs="Arial" w:eastAsia="Arial" w:hAnsi="Arial"/>
          <w:sz w:val="18"/>
          <w:szCs w:val="18"/>
          <w:i w:val="1"/>
          <w:iCs w:val="1"/>
          <w:color w:val="3E3935"/>
        </w:rPr>
      </w:pPr>
    </w:p>
    <w:p>
      <w:pPr>
        <w:jc w:val="both"/>
        <w:ind w:left="600" w:hanging="433"/>
        <w:spacing w:after="0" w:line="239" w:lineRule="auto"/>
        <w:tabs>
          <w:tab w:leader="none" w:pos="60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Mr. Engle’s termination on September 1, 2020, is reflected in the table under the Executive Severance Program. The cash amount reflects 1.5X base salary and 18 months of COBRA premiums provided to Mr. Engle in accordance with the Executive Severance Program. The STIP amount reflects a target-level performance cash payment provided to Mr. Engle in accordance with the Executive Severance Program. The LTIP amount reflects the following awards valued at the closing stock price on September 1, 2020, of $29.79:</w:t>
      </w:r>
    </w:p>
    <w:p>
      <w:pPr>
        <w:spacing w:after="0" w:line="52" w:lineRule="exact"/>
        <w:rPr>
          <w:rFonts w:ascii="Arial" w:cs="Arial" w:eastAsia="Arial" w:hAnsi="Arial"/>
          <w:sz w:val="18"/>
          <w:szCs w:val="18"/>
          <w:i w:val="1"/>
          <w:iCs w:val="1"/>
          <w:color w:val="3E3935"/>
        </w:rPr>
      </w:pPr>
    </w:p>
    <w:p>
      <w:pPr>
        <w:jc w:val="both"/>
        <w:ind w:left="600" w:firstLine="4"/>
        <w:spacing w:after="0" w:line="242" w:lineRule="auto"/>
        <w:tabs>
          <w:tab w:leader="none" w:pos="757" w:val="left"/>
        </w:tabs>
        <w:numPr>
          <w:ilvl w:val="1"/>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PSUs — Per the Executive Severance Program, reflects target-level performance of unvested PSUs that will vest within one year of termination. Mr. Engle received a cash settlement for the 2018-2020 PSUs that cliff-vested February 13, 2021, upon determination of results for the performance period January 1, 2018–December 31, 2020. The final performance of the 2018–2020 PSU award was 187% and is discussed on page 55 of this Proxy Statement.</w:t>
      </w:r>
    </w:p>
    <w:p>
      <w:pPr>
        <w:spacing w:after="0" w:line="34" w:lineRule="exact"/>
        <w:rPr>
          <w:rFonts w:ascii="Arial" w:cs="Arial" w:eastAsia="Arial" w:hAnsi="Arial"/>
          <w:sz w:val="18"/>
          <w:szCs w:val="18"/>
          <w:i w:val="1"/>
          <w:iCs w:val="1"/>
          <w:color w:val="3E3935"/>
        </w:rPr>
      </w:pPr>
    </w:p>
    <w:p>
      <w:pPr>
        <w:jc w:val="both"/>
        <w:ind w:left="600" w:firstLine="4"/>
        <w:spacing w:after="0" w:line="239" w:lineRule="auto"/>
        <w:tabs>
          <w:tab w:leader="none" w:pos="830" w:val="left"/>
        </w:tabs>
        <w:numPr>
          <w:ilvl w:val="1"/>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 Per the Executive Severance Program, reflects unvested Stock Options that will vest within one year of termination and be settled in cash, and reflects vested Stock Options held on the date of termination. The closing stock price was below the strike price of all Stock Options on date of termination, reflecting a zero value. Per the terms of the separation agreement, Mr. Engle retained the ability to exercise vested Stock Options held at termination through April 1, 2021, and for unvested Stock Options held at termination that vested in February 2021, Mr. Engle retained the ability to exercise them through August 31, 2021.</w:t>
      </w:r>
    </w:p>
    <w:p>
      <w:pPr>
        <w:spacing w:after="0" w:line="39" w:lineRule="exact"/>
        <w:rPr>
          <w:rFonts w:ascii="Arial" w:cs="Arial" w:eastAsia="Arial" w:hAnsi="Arial"/>
          <w:sz w:val="18"/>
          <w:szCs w:val="18"/>
          <w:i w:val="1"/>
          <w:iCs w:val="1"/>
          <w:color w:val="3E3935"/>
        </w:rPr>
      </w:pPr>
    </w:p>
    <w:p>
      <w:pPr>
        <w:ind w:left="600" w:firstLine="4"/>
        <w:spacing w:after="0" w:line="260" w:lineRule="auto"/>
        <w:tabs>
          <w:tab w:leader="none" w:pos="837" w:val="left"/>
        </w:tabs>
        <w:numPr>
          <w:ilvl w:val="1"/>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Salary Reduction RSUs — Based on the terms of the award agreement, reflects prorated Salary Reduction RSUs, which vested and settled on 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75565</wp:posOffset>
            </wp:positionV>
            <wp:extent cx="5927725" cy="1016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0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82</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CEO Pay Ratio</w:t>
      </w:r>
    </w:p>
    <w:p>
      <w:pPr>
        <w:spacing w:after="0" w:line="150"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Our CEO, who leads our global workforce of 155,000 employees (94,000 are located in the United States and 61,000 are non-U.S. employees) earned $23,657,987 in total compensation in 2020 as reported in the Summary Compensation Table.</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To identify our median employee, we:</w:t>
      </w:r>
    </w:p>
    <w:p>
      <w:pPr>
        <w:spacing w:after="0" w:line="64" w:lineRule="exact"/>
        <w:rPr>
          <w:sz w:val="20"/>
          <w:szCs w:val="20"/>
          <w:color w:val="auto"/>
        </w:rPr>
      </w:pPr>
    </w:p>
    <w:p>
      <w:pPr>
        <w:jc w:val="both"/>
        <w:ind w:left="1240" w:hanging="538"/>
        <w:spacing w:after="0" w:line="227" w:lineRule="auto"/>
        <w:tabs>
          <w:tab w:leader="none" w:pos="1240" w:val="left"/>
        </w:tabs>
        <w:numPr>
          <w:ilvl w:val="0"/>
          <w:numId w:val="146"/>
        </w:numPr>
        <w:rPr>
          <w:rFonts w:ascii="Arial" w:cs="Arial" w:eastAsia="Arial" w:hAnsi="Arial"/>
          <w:sz w:val="20"/>
          <w:szCs w:val="20"/>
          <w:color w:val="3E3935"/>
        </w:rPr>
      </w:pPr>
      <w:r>
        <w:rPr>
          <w:rFonts w:ascii="Arial" w:cs="Arial" w:eastAsia="Arial" w:hAnsi="Arial"/>
          <w:sz w:val="20"/>
          <w:szCs w:val="20"/>
          <w:color w:val="3E3935"/>
        </w:rPr>
        <w:t>Excluded all employees (7,037) in the following 26 countries under the SEC’s 5% de minimis exception: Australia (273), Chile (213), China (675), Colombia (910), Ecuador (388), Egypt (768), Germany (3), India (2,125), Indonesia (11), Ireland (304), Israel (388), Italy (1), Japan (33), New Zealand (16), Peru (34), Philippines (428), Russia (69), Singapore (7), South Africa (9), Switzerland (14), Taiwan (9), Thailand (138), United Arab Emirates (167), United Kingdom (39), Uruguay (10), and Uzbekistan (5);</w:t>
      </w:r>
    </w:p>
    <w:p>
      <w:pPr>
        <w:spacing w:after="0" w:line="62" w:lineRule="exact"/>
        <w:rPr>
          <w:rFonts w:ascii="Arial" w:cs="Arial" w:eastAsia="Arial" w:hAnsi="Arial"/>
          <w:sz w:val="20"/>
          <w:szCs w:val="20"/>
          <w:color w:val="3E3935"/>
        </w:rPr>
      </w:pPr>
    </w:p>
    <w:p>
      <w:pPr>
        <w:ind w:left="1240" w:hanging="538"/>
        <w:spacing w:after="0"/>
        <w:tabs>
          <w:tab w:leader="none" w:pos="1240" w:val="left"/>
        </w:tabs>
        <w:numPr>
          <w:ilvl w:val="0"/>
          <w:numId w:val="146"/>
        </w:numPr>
        <w:rPr>
          <w:rFonts w:ascii="Arial" w:cs="Arial" w:eastAsia="Arial" w:hAnsi="Arial"/>
          <w:sz w:val="20"/>
          <w:szCs w:val="20"/>
          <w:color w:val="3E3935"/>
        </w:rPr>
      </w:pPr>
      <w:r>
        <w:rPr>
          <w:rFonts w:ascii="Arial" w:cs="Arial" w:eastAsia="Arial" w:hAnsi="Arial"/>
          <w:sz w:val="20"/>
          <w:szCs w:val="20"/>
          <w:color w:val="3E3935"/>
        </w:rPr>
        <w:t>Calculated year-to-date payroll as of November 1, 2020, for all employees excluding the CEO;</w:t>
      </w:r>
    </w:p>
    <w:p>
      <w:pPr>
        <w:spacing w:after="0" w:line="64" w:lineRule="exact"/>
        <w:rPr>
          <w:rFonts w:ascii="Arial" w:cs="Arial" w:eastAsia="Arial" w:hAnsi="Arial"/>
          <w:sz w:val="20"/>
          <w:szCs w:val="20"/>
          <w:color w:val="3E3935"/>
        </w:rPr>
      </w:pPr>
    </w:p>
    <w:p>
      <w:pPr>
        <w:ind w:left="1240" w:hanging="538"/>
        <w:spacing w:after="0" w:line="234" w:lineRule="auto"/>
        <w:tabs>
          <w:tab w:leader="none" w:pos="1240" w:val="left"/>
        </w:tabs>
        <w:numPr>
          <w:ilvl w:val="0"/>
          <w:numId w:val="146"/>
        </w:numPr>
        <w:rPr>
          <w:rFonts w:ascii="Arial" w:cs="Arial" w:eastAsia="Arial" w:hAnsi="Arial"/>
          <w:sz w:val="20"/>
          <w:szCs w:val="20"/>
          <w:color w:val="3E3935"/>
        </w:rPr>
      </w:pPr>
      <w:r>
        <w:rPr>
          <w:rFonts w:ascii="Arial" w:cs="Arial" w:eastAsia="Arial" w:hAnsi="Arial"/>
          <w:sz w:val="20"/>
          <w:szCs w:val="20"/>
          <w:color w:val="3E3935"/>
        </w:rPr>
        <w:t>Identified the middle 51 employees using year-to-date payroll converted to U.S. dollars as a consistently applied compensation measure;</w:t>
      </w:r>
    </w:p>
    <w:p>
      <w:pPr>
        <w:spacing w:after="0" w:line="59" w:lineRule="exact"/>
        <w:rPr>
          <w:rFonts w:ascii="Arial" w:cs="Arial" w:eastAsia="Arial" w:hAnsi="Arial"/>
          <w:sz w:val="20"/>
          <w:szCs w:val="20"/>
          <w:color w:val="3E3935"/>
        </w:rPr>
      </w:pPr>
    </w:p>
    <w:p>
      <w:pPr>
        <w:ind w:left="1240" w:hanging="538"/>
        <w:spacing w:after="0" w:line="234" w:lineRule="auto"/>
        <w:tabs>
          <w:tab w:leader="none" w:pos="1240" w:val="left"/>
        </w:tabs>
        <w:numPr>
          <w:ilvl w:val="0"/>
          <w:numId w:val="146"/>
        </w:numPr>
        <w:rPr>
          <w:rFonts w:ascii="Arial" w:cs="Arial" w:eastAsia="Arial" w:hAnsi="Arial"/>
          <w:sz w:val="20"/>
          <w:szCs w:val="20"/>
          <w:color w:val="3E3935"/>
        </w:rPr>
      </w:pPr>
      <w:r>
        <w:rPr>
          <w:rFonts w:ascii="Arial" w:cs="Arial" w:eastAsia="Arial" w:hAnsi="Arial"/>
          <w:sz w:val="20"/>
          <w:szCs w:val="20"/>
          <w:color w:val="3E3935"/>
        </w:rPr>
        <w:t>Calculated annual total compensation for the 51 middle employees based on the same SEC requirements that apply to determine total compensation in the Summary Compensation Table; and</w:t>
      </w:r>
    </w:p>
    <w:p>
      <w:pPr>
        <w:spacing w:after="0" w:line="59" w:lineRule="exact"/>
        <w:rPr>
          <w:rFonts w:ascii="Arial" w:cs="Arial" w:eastAsia="Arial" w:hAnsi="Arial"/>
          <w:sz w:val="20"/>
          <w:szCs w:val="20"/>
          <w:color w:val="3E3935"/>
        </w:rPr>
      </w:pPr>
    </w:p>
    <w:p>
      <w:pPr>
        <w:ind w:left="1240" w:hanging="538"/>
        <w:spacing w:after="0"/>
        <w:tabs>
          <w:tab w:leader="none" w:pos="1240" w:val="left"/>
        </w:tabs>
        <w:numPr>
          <w:ilvl w:val="0"/>
          <w:numId w:val="146"/>
        </w:numPr>
        <w:rPr>
          <w:rFonts w:ascii="Arial" w:cs="Arial" w:eastAsia="Arial" w:hAnsi="Arial"/>
          <w:sz w:val="20"/>
          <w:szCs w:val="20"/>
          <w:color w:val="3E3935"/>
        </w:rPr>
      </w:pPr>
      <w:r>
        <w:rPr>
          <w:rFonts w:ascii="Arial" w:cs="Arial" w:eastAsia="Arial" w:hAnsi="Arial"/>
          <w:sz w:val="20"/>
          <w:szCs w:val="20"/>
          <w:color w:val="3E3935"/>
        </w:rPr>
        <w:t>Re-ranked all middle 51 employees and selected the median employee.</w:t>
      </w:r>
    </w:p>
    <w:p>
      <w:pPr>
        <w:spacing w:after="0" w:line="11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At GM, we believe that fair and equitable pay is an essential element of any successful organization, and we invest in our employees with market competitive pay and benefits. We compensate our employees to create alignment with the short-term and long-term goals tied to the success of the Company and with our vision of zero crashes, zero emissions, and zero congestion.</w:t>
      </w:r>
    </w:p>
    <w:p>
      <w:pPr>
        <w:spacing w:after="0" w:line="12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Based on our calculation, we can reasonably estimate that our median employee earned $117,566 in 2020, including a change in pension value of $45,884. The ratio of our CEO’s compensation to that of our median employee is estimated to be 201:1.</w:t>
      </w:r>
    </w:p>
    <w:p>
      <w:pPr>
        <w:spacing w:after="0" w:line="128"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SEC’s rules for identifying the median employee and calculating the pay ratio based on that employee’s annual total compensation allow companies to adopt a variety of methodologies to calculate the median employee, excluding up to 5%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82550</wp:posOffset>
            </wp:positionV>
            <wp:extent cx="5927725" cy="1016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4"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83</w:t>
      </w:r>
    </w:p>
    <w:p>
      <w:pPr>
        <w:sectPr>
          <w:pgSz w:w="11900" w:h="16838" w:orient="portrait"/>
          <w:cols w:equalWidth="0" w:num="1">
            <w:col w:w="11080"/>
          </w:cols>
          <w:pgMar w:left="320" w:top="456"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31"/>
          <w:szCs w:val="31"/>
          <w:color w:val="3E3935"/>
        </w:rPr>
        <w:t>Equity Compensation Plan Information</w:t>
      </w:r>
    </w:p>
    <w:p>
      <w:pPr>
        <w:spacing w:after="0" w:line="150"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following table provides information as of December 31, 2020, about the Company’s common stock that may be issued upon the exercise of options, warrants, and rights under all the Company’s existing equity compensation plans.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380" w:type="dxa"/>
            <w:vAlign w:val="bottom"/>
            <w:tcBorders>
              <w:top w:val="single" w:sz="8" w:color="00C1DE"/>
            </w:tcBorders>
          </w:tcPr>
          <w:p>
            <w:pPr>
              <w:spacing w:after="0"/>
              <w:rPr>
                <w:sz w:val="17"/>
                <w:szCs w:val="17"/>
                <w:color w:val="auto"/>
              </w:rPr>
            </w:pPr>
          </w:p>
        </w:tc>
        <w:tc>
          <w:tcPr>
            <w:tcW w:w="2760" w:type="dxa"/>
            <w:vAlign w:val="bottom"/>
            <w:tcBorders>
              <w:top w:val="single" w:sz="8" w:color="00C1DE"/>
            </w:tcBorders>
          </w:tcPr>
          <w:p>
            <w:pPr>
              <w:spacing w:after="0"/>
              <w:rPr>
                <w:sz w:val="17"/>
                <w:szCs w:val="17"/>
                <w:color w:val="auto"/>
              </w:rPr>
            </w:pPr>
          </w:p>
        </w:tc>
        <w:tc>
          <w:tcPr>
            <w:tcW w:w="3060" w:type="dxa"/>
            <w:vAlign w:val="bottom"/>
            <w:tcBorders>
              <w:top w:val="single" w:sz="8" w:color="00C1DE"/>
            </w:tcBorders>
          </w:tcPr>
          <w:p>
            <w:pPr>
              <w:spacing w:after="0"/>
              <w:rPr>
                <w:sz w:val="17"/>
                <w:szCs w:val="17"/>
                <w:color w:val="auto"/>
              </w:rPr>
            </w:pPr>
          </w:p>
        </w:tc>
        <w:tc>
          <w:tcPr>
            <w:tcW w:w="2720" w:type="dxa"/>
            <w:vAlign w:val="bottom"/>
            <w:tcBorders>
              <w:top w:val="single" w:sz="8" w:color="00C1DE"/>
            </w:tcBorders>
          </w:tcPr>
          <w:p>
            <w:pPr>
              <w:jc w:val="right"/>
              <w:ind w:right="148"/>
              <w:spacing w:after="0" w:line="205" w:lineRule="exact"/>
              <w:rPr>
                <w:sz w:val="20"/>
                <w:szCs w:val="20"/>
                <w:color w:val="auto"/>
              </w:rPr>
            </w:pPr>
            <w:r>
              <w:rPr>
                <w:rFonts w:ascii="Arial" w:cs="Arial" w:eastAsia="Arial" w:hAnsi="Arial"/>
                <w:sz w:val="18"/>
                <w:szCs w:val="18"/>
                <w:b w:val="1"/>
                <w:bCs w:val="1"/>
                <w:color w:val="00C1DE"/>
              </w:rPr>
              <w:t>Number of Securities</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720" w:type="dxa"/>
            <w:vAlign w:val="bottom"/>
          </w:tcPr>
          <w:p>
            <w:pPr>
              <w:jc w:val="right"/>
              <w:ind w:right="148"/>
              <w:spacing w:after="0" w:line="201" w:lineRule="exact"/>
              <w:rPr>
                <w:sz w:val="20"/>
                <w:szCs w:val="20"/>
                <w:color w:val="auto"/>
              </w:rPr>
            </w:pPr>
            <w:r>
              <w:rPr>
                <w:rFonts w:ascii="Arial" w:cs="Arial" w:eastAsia="Arial" w:hAnsi="Arial"/>
                <w:sz w:val="18"/>
                <w:szCs w:val="18"/>
                <w:b w:val="1"/>
                <w:bCs w:val="1"/>
                <w:color w:val="00C1DE"/>
              </w:rPr>
              <w:t>Remaining Available for</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2760" w:type="dxa"/>
            <w:vAlign w:val="bottom"/>
          </w:tcPr>
          <w:p>
            <w:pPr>
              <w:jc w:val="right"/>
              <w:ind w:right="208"/>
              <w:spacing w:after="0" w:line="201" w:lineRule="exact"/>
              <w:rPr>
                <w:sz w:val="20"/>
                <w:szCs w:val="20"/>
                <w:color w:val="auto"/>
              </w:rPr>
            </w:pPr>
            <w:r>
              <w:rPr>
                <w:rFonts w:ascii="Arial" w:cs="Arial" w:eastAsia="Arial" w:hAnsi="Arial"/>
                <w:sz w:val="18"/>
                <w:szCs w:val="18"/>
                <w:b w:val="1"/>
                <w:bCs w:val="1"/>
                <w:color w:val="00C1DE"/>
              </w:rPr>
              <w:t>Number of Securities to</w:t>
            </w:r>
          </w:p>
        </w:tc>
        <w:tc>
          <w:tcPr>
            <w:tcW w:w="3060" w:type="dxa"/>
            <w:vAlign w:val="bottom"/>
          </w:tcPr>
          <w:p>
            <w:pPr>
              <w:spacing w:after="0"/>
              <w:rPr>
                <w:sz w:val="17"/>
                <w:szCs w:val="17"/>
                <w:color w:val="auto"/>
              </w:rPr>
            </w:pPr>
          </w:p>
        </w:tc>
        <w:tc>
          <w:tcPr>
            <w:tcW w:w="2720" w:type="dxa"/>
            <w:vAlign w:val="bottom"/>
          </w:tcPr>
          <w:p>
            <w:pPr>
              <w:jc w:val="right"/>
              <w:ind w:right="148"/>
              <w:spacing w:after="0" w:line="201" w:lineRule="exact"/>
              <w:rPr>
                <w:sz w:val="20"/>
                <w:szCs w:val="20"/>
                <w:color w:val="auto"/>
              </w:rPr>
            </w:pPr>
            <w:r>
              <w:rPr>
                <w:rFonts w:ascii="Arial" w:cs="Arial" w:eastAsia="Arial" w:hAnsi="Arial"/>
                <w:sz w:val="18"/>
                <w:szCs w:val="18"/>
                <w:b w:val="1"/>
                <w:bCs w:val="1"/>
                <w:color w:val="00C1DE"/>
              </w:rPr>
              <w:t>Future Issuance Under</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2760" w:type="dxa"/>
            <w:vAlign w:val="bottom"/>
          </w:tcPr>
          <w:p>
            <w:pPr>
              <w:jc w:val="right"/>
              <w:ind w:right="208"/>
              <w:spacing w:after="0" w:line="201" w:lineRule="exact"/>
              <w:rPr>
                <w:sz w:val="20"/>
                <w:szCs w:val="20"/>
                <w:color w:val="auto"/>
              </w:rPr>
            </w:pPr>
            <w:r>
              <w:rPr>
                <w:rFonts w:ascii="Arial" w:cs="Arial" w:eastAsia="Arial" w:hAnsi="Arial"/>
                <w:sz w:val="18"/>
                <w:szCs w:val="18"/>
                <w:b w:val="1"/>
                <w:bCs w:val="1"/>
                <w:color w:val="00C1DE"/>
              </w:rPr>
              <w:t>be Issued Upon Exercise</w:t>
            </w:r>
          </w:p>
        </w:tc>
        <w:tc>
          <w:tcPr>
            <w:tcW w:w="3060" w:type="dxa"/>
            <w:vAlign w:val="bottom"/>
          </w:tcPr>
          <w:p>
            <w:pPr>
              <w:jc w:val="right"/>
              <w:ind w:right="127"/>
              <w:spacing w:after="0" w:line="201" w:lineRule="exact"/>
              <w:rPr>
                <w:sz w:val="20"/>
                <w:szCs w:val="20"/>
                <w:color w:val="auto"/>
              </w:rPr>
            </w:pPr>
            <w:r>
              <w:rPr>
                <w:rFonts w:ascii="Arial" w:cs="Arial" w:eastAsia="Arial" w:hAnsi="Arial"/>
                <w:sz w:val="18"/>
                <w:szCs w:val="18"/>
                <w:b w:val="1"/>
                <w:bCs w:val="1"/>
                <w:color w:val="00C1DE"/>
              </w:rPr>
              <w:t>Weighted-Average Exercise</w:t>
            </w:r>
          </w:p>
        </w:tc>
        <w:tc>
          <w:tcPr>
            <w:tcW w:w="2720" w:type="dxa"/>
            <w:vAlign w:val="bottom"/>
          </w:tcPr>
          <w:p>
            <w:pPr>
              <w:jc w:val="right"/>
              <w:ind w:right="148"/>
              <w:spacing w:after="0" w:line="201" w:lineRule="exact"/>
              <w:rPr>
                <w:sz w:val="20"/>
                <w:szCs w:val="20"/>
                <w:color w:val="auto"/>
              </w:rPr>
            </w:pPr>
            <w:r>
              <w:rPr>
                <w:rFonts w:ascii="Arial" w:cs="Arial" w:eastAsia="Arial" w:hAnsi="Arial"/>
                <w:sz w:val="18"/>
                <w:szCs w:val="18"/>
                <w:b w:val="1"/>
                <w:bCs w:val="1"/>
                <w:color w:val="00C1DE"/>
              </w:rPr>
              <w:t>Equity Compensation Plan</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2760" w:type="dxa"/>
            <w:vAlign w:val="bottom"/>
          </w:tcPr>
          <w:p>
            <w:pPr>
              <w:jc w:val="right"/>
              <w:ind w:right="208"/>
              <w:spacing w:after="0" w:line="201" w:lineRule="exact"/>
              <w:rPr>
                <w:sz w:val="20"/>
                <w:szCs w:val="20"/>
                <w:color w:val="auto"/>
              </w:rPr>
            </w:pPr>
            <w:r>
              <w:rPr>
                <w:rFonts w:ascii="Arial" w:cs="Arial" w:eastAsia="Arial" w:hAnsi="Arial"/>
                <w:sz w:val="18"/>
                <w:szCs w:val="18"/>
                <w:b w:val="1"/>
                <w:bCs w:val="1"/>
                <w:color w:val="00C1DE"/>
              </w:rPr>
              <w:t>of Outstanding Options,</w:t>
            </w:r>
          </w:p>
        </w:tc>
        <w:tc>
          <w:tcPr>
            <w:tcW w:w="3060" w:type="dxa"/>
            <w:vAlign w:val="bottom"/>
          </w:tcPr>
          <w:p>
            <w:pPr>
              <w:jc w:val="right"/>
              <w:ind w:right="127"/>
              <w:spacing w:after="0" w:line="201" w:lineRule="exact"/>
              <w:rPr>
                <w:sz w:val="20"/>
                <w:szCs w:val="20"/>
                <w:color w:val="auto"/>
              </w:rPr>
            </w:pPr>
            <w:r>
              <w:rPr>
                <w:rFonts w:ascii="Arial" w:cs="Arial" w:eastAsia="Arial" w:hAnsi="Arial"/>
                <w:sz w:val="18"/>
                <w:szCs w:val="18"/>
                <w:b w:val="1"/>
                <w:bCs w:val="1"/>
                <w:color w:val="00C1DE"/>
              </w:rPr>
              <w:t>Price of Outstanding Options,</w:t>
            </w:r>
          </w:p>
        </w:tc>
        <w:tc>
          <w:tcPr>
            <w:tcW w:w="2720" w:type="dxa"/>
            <w:vAlign w:val="bottom"/>
          </w:tcPr>
          <w:p>
            <w:pPr>
              <w:jc w:val="right"/>
              <w:ind w:right="148"/>
              <w:spacing w:after="0" w:line="201" w:lineRule="exact"/>
              <w:rPr>
                <w:sz w:val="20"/>
                <w:szCs w:val="20"/>
                <w:color w:val="auto"/>
              </w:rPr>
            </w:pPr>
            <w:r>
              <w:rPr>
                <w:rFonts w:ascii="Arial" w:cs="Arial" w:eastAsia="Arial" w:hAnsi="Arial"/>
                <w:sz w:val="18"/>
                <w:szCs w:val="18"/>
                <w:b w:val="1"/>
                <w:bCs w:val="1"/>
                <w:color w:val="00C1DE"/>
              </w:rPr>
              <w:t>(excluding securities</w:t>
            </w:r>
          </w:p>
        </w:tc>
        <w:tc>
          <w:tcPr>
            <w:tcW w:w="0" w:type="dxa"/>
            <w:vAlign w:val="bottom"/>
          </w:tcPr>
          <w:p>
            <w:pPr>
              <w:spacing w:after="0"/>
              <w:rPr>
                <w:sz w:val="1"/>
                <w:szCs w:val="1"/>
                <w:color w:val="auto"/>
              </w:rPr>
            </w:pPr>
          </w:p>
        </w:tc>
      </w:tr>
      <w:tr>
        <w:trPr>
          <w:trHeight w:val="201"/>
        </w:trPr>
        <w:tc>
          <w:tcPr>
            <w:tcW w:w="2380" w:type="dxa"/>
            <w:vAlign w:val="bottom"/>
          </w:tcPr>
          <w:p>
            <w:pPr>
              <w:spacing w:after="0"/>
              <w:rPr>
                <w:sz w:val="17"/>
                <w:szCs w:val="17"/>
                <w:color w:val="auto"/>
              </w:rPr>
            </w:pPr>
          </w:p>
        </w:tc>
        <w:tc>
          <w:tcPr>
            <w:tcW w:w="2760" w:type="dxa"/>
            <w:vAlign w:val="bottom"/>
          </w:tcPr>
          <w:p>
            <w:pPr>
              <w:jc w:val="right"/>
              <w:ind w:right="208"/>
              <w:spacing w:after="0" w:line="201" w:lineRule="exact"/>
              <w:rPr>
                <w:sz w:val="20"/>
                <w:szCs w:val="20"/>
                <w:color w:val="auto"/>
              </w:rPr>
            </w:pPr>
            <w:r>
              <w:rPr>
                <w:rFonts w:ascii="Arial" w:cs="Arial" w:eastAsia="Arial" w:hAnsi="Arial"/>
                <w:sz w:val="18"/>
                <w:szCs w:val="18"/>
                <w:b w:val="1"/>
                <w:bCs w:val="1"/>
                <w:color w:val="00C1DE"/>
              </w:rPr>
              <w:t>Warrants, and Rights</w:t>
            </w:r>
          </w:p>
        </w:tc>
        <w:tc>
          <w:tcPr>
            <w:tcW w:w="3060" w:type="dxa"/>
            <w:vAlign w:val="bottom"/>
          </w:tcPr>
          <w:p>
            <w:pPr>
              <w:jc w:val="right"/>
              <w:ind w:right="127"/>
              <w:spacing w:after="0" w:line="201" w:lineRule="exact"/>
              <w:rPr>
                <w:sz w:val="20"/>
                <w:szCs w:val="20"/>
                <w:color w:val="auto"/>
              </w:rPr>
            </w:pPr>
            <w:r>
              <w:rPr>
                <w:rFonts w:ascii="Arial" w:cs="Arial" w:eastAsia="Arial" w:hAnsi="Arial"/>
                <w:sz w:val="18"/>
                <w:szCs w:val="18"/>
                <w:b w:val="1"/>
                <w:bCs w:val="1"/>
                <w:color w:val="00C1DE"/>
              </w:rPr>
              <w:t>Warrants, and Rights</w:t>
            </w:r>
          </w:p>
        </w:tc>
        <w:tc>
          <w:tcPr>
            <w:tcW w:w="2720" w:type="dxa"/>
            <w:vAlign w:val="bottom"/>
          </w:tcPr>
          <w:p>
            <w:pPr>
              <w:jc w:val="right"/>
              <w:ind w:right="148"/>
              <w:spacing w:after="0" w:line="201" w:lineRule="exact"/>
              <w:rPr>
                <w:sz w:val="20"/>
                <w:szCs w:val="20"/>
                <w:color w:val="auto"/>
              </w:rPr>
            </w:pPr>
            <w:r>
              <w:rPr>
                <w:rFonts w:ascii="Arial" w:cs="Arial" w:eastAsia="Arial" w:hAnsi="Arial"/>
                <w:sz w:val="18"/>
                <w:szCs w:val="18"/>
                <w:b w:val="1"/>
                <w:bCs w:val="1"/>
                <w:color w:val="00C1DE"/>
              </w:rPr>
              <w:t>reflected in column (A))</w:t>
            </w:r>
          </w:p>
        </w:tc>
        <w:tc>
          <w:tcPr>
            <w:tcW w:w="0" w:type="dxa"/>
            <w:vAlign w:val="bottom"/>
          </w:tcPr>
          <w:p>
            <w:pPr>
              <w:spacing w:after="0"/>
              <w:rPr>
                <w:sz w:val="1"/>
                <w:szCs w:val="1"/>
                <w:color w:val="auto"/>
              </w:rPr>
            </w:pPr>
          </w:p>
        </w:tc>
      </w:tr>
      <w:tr>
        <w:trPr>
          <w:trHeight w:val="257"/>
        </w:trPr>
        <w:tc>
          <w:tcPr>
            <w:tcW w:w="2380" w:type="dxa"/>
            <w:vAlign w:val="bottom"/>
            <w:tcBorders>
              <w:bottom w:val="single" w:sz="8" w:color="00C1DE"/>
            </w:tcBorders>
          </w:tcPr>
          <w:p>
            <w:pPr>
              <w:ind w:left="100"/>
              <w:spacing w:after="0"/>
              <w:rPr>
                <w:sz w:val="20"/>
                <w:szCs w:val="20"/>
                <w:color w:val="auto"/>
              </w:rPr>
            </w:pPr>
            <w:r>
              <w:rPr>
                <w:rFonts w:ascii="Arial" w:cs="Arial" w:eastAsia="Arial" w:hAnsi="Arial"/>
                <w:sz w:val="18"/>
                <w:szCs w:val="18"/>
                <w:b w:val="1"/>
                <w:bCs w:val="1"/>
                <w:color w:val="00C1DE"/>
              </w:rPr>
              <w:t>Plan Category</w:t>
            </w:r>
          </w:p>
        </w:tc>
        <w:tc>
          <w:tcPr>
            <w:tcW w:w="2760" w:type="dxa"/>
            <w:vAlign w:val="bottom"/>
            <w:tcBorders>
              <w:bottom w:val="single" w:sz="8" w:color="00C1DE"/>
            </w:tcBorders>
          </w:tcPr>
          <w:p>
            <w:pPr>
              <w:jc w:val="right"/>
              <w:ind w:right="208"/>
              <w:spacing w:after="0"/>
              <w:rPr>
                <w:sz w:val="20"/>
                <w:szCs w:val="20"/>
                <w:color w:val="auto"/>
              </w:rPr>
            </w:pPr>
            <w:r>
              <w:rPr>
                <w:rFonts w:ascii="Arial" w:cs="Arial" w:eastAsia="Arial" w:hAnsi="Arial"/>
                <w:sz w:val="18"/>
                <w:szCs w:val="18"/>
                <w:b w:val="1"/>
                <w:bCs w:val="1"/>
                <w:color w:val="00C1DE"/>
              </w:rPr>
              <w:t>(A)</w:t>
            </w:r>
          </w:p>
        </w:tc>
        <w:tc>
          <w:tcPr>
            <w:tcW w:w="3060" w:type="dxa"/>
            <w:vAlign w:val="bottom"/>
            <w:tcBorders>
              <w:bottom w:val="single" w:sz="8" w:color="00C1DE"/>
            </w:tcBorders>
          </w:tcPr>
          <w:p>
            <w:pPr>
              <w:jc w:val="right"/>
              <w:ind w:right="127"/>
              <w:spacing w:after="0"/>
              <w:rPr>
                <w:sz w:val="20"/>
                <w:szCs w:val="20"/>
                <w:color w:val="auto"/>
              </w:rPr>
            </w:pPr>
            <w:r>
              <w:rPr>
                <w:rFonts w:ascii="Arial" w:cs="Arial" w:eastAsia="Arial" w:hAnsi="Arial"/>
                <w:sz w:val="18"/>
                <w:szCs w:val="18"/>
                <w:b w:val="1"/>
                <w:bCs w:val="1"/>
                <w:color w:val="00C1DE"/>
              </w:rPr>
              <w:t>(B)</w:t>
            </w:r>
          </w:p>
        </w:tc>
        <w:tc>
          <w:tcPr>
            <w:tcW w:w="2720" w:type="dxa"/>
            <w:vAlign w:val="bottom"/>
            <w:tcBorders>
              <w:bottom w:val="single" w:sz="8" w:color="00C1DE"/>
            </w:tcBorders>
          </w:tcPr>
          <w:p>
            <w:pPr>
              <w:jc w:val="right"/>
              <w:ind w:right="148"/>
              <w:spacing w:after="0"/>
              <w:rPr>
                <w:sz w:val="20"/>
                <w:szCs w:val="20"/>
                <w:color w:val="auto"/>
              </w:rPr>
            </w:pPr>
            <w:r>
              <w:rPr>
                <w:rFonts w:ascii="Arial" w:cs="Arial" w:eastAsia="Arial" w:hAnsi="Arial"/>
                <w:sz w:val="18"/>
                <w:szCs w:val="18"/>
                <w:b w:val="1"/>
                <w:bCs w:val="1"/>
                <w:color w:val="00C1DE"/>
              </w:rPr>
              <w:t>(C)</w:t>
            </w:r>
          </w:p>
        </w:tc>
        <w:tc>
          <w:tcPr>
            <w:tcW w:w="0" w:type="dxa"/>
            <w:vAlign w:val="bottom"/>
          </w:tcPr>
          <w:p>
            <w:pPr>
              <w:spacing w:after="0"/>
              <w:rPr>
                <w:sz w:val="1"/>
                <w:szCs w:val="1"/>
                <w:color w:val="auto"/>
              </w:rPr>
            </w:pPr>
          </w:p>
        </w:tc>
      </w:tr>
      <w:tr>
        <w:trPr>
          <w:trHeight w:val="277"/>
        </w:trPr>
        <w:tc>
          <w:tcPr>
            <w:tcW w:w="2380" w:type="dxa"/>
            <w:vAlign w:val="bottom"/>
          </w:tcPr>
          <w:p>
            <w:pPr>
              <w:ind w:left="100"/>
              <w:spacing w:after="0"/>
              <w:rPr>
                <w:sz w:val="20"/>
                <w:szCs w:val="20"/>
                <w:color w:val="auto"/>
              </w:rPr>
            </w:pPr>
            <w:r>
              <w:rPr>
                <w:rFonts w:ascii="Arial" w:cs="Arial" w:eastAsia="Arial" w:hAnsi="Arial"/>
                <w:sz w:val="20"/>
                <w:szCs w:val="20"/>
                <w:color w:val="3E3935"/>
              </w:rPr>
              <w:t>Equity compensation</w:t>
            </w:r>
          </w:p>
        </w:tc>
        <w:tc>
          <w:tcPr>
            <w:tcW w:w="2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380" w:type="dxa"/>
            <w:vAlign w:val="bottom"/>
          </w:tcPr>
          <w:p>
            <w:pPr>
              <w:ind w:left="100"/>
              <w:spacing w:after="0" w:line="214" w:lineRule="exact"/>
              <w:rPr>
                <w:sz w:val="20"/>
                <w:szCs w:val="20"/>
                <w:color w:val="auto"/>
              </w:rPr>
            </w:pPr>
            <w:r>
              <w:rPr>
                <w:rFonts w:ascii="Arial" w:cs="Arial" w:eastAsia="Arial" w:hAnsi="Arial"/>
                <w:sz w:val="20"/>
                <w:szCs w:val="20"/>
                <w:color w:val="3E3935"/>
              </w:rPr>
              <w:t>plans approved by</w:t>
            </w:r>
          </w:p>
        </w:tc>
        <w:tc>
          <w:tcPr>
            <w:tcW w:w="2760" w:type="dxa"/>
            <w:vAlign w:val="bottom"/>
            <w:vMerge w:val="restart"/>
          </w:tcPr>
          <w:p>
            <w:pPr>
              <w:jc w:val="right"/>
              <w:ind w:right="208"/>
              <w:spacing w:after="0"/>
              <w:rPr>
                <w:sz w:val="20"/>
                <w:szCs w:val="20"/>
                <w:color w:val="auto"/>
              </w:rPr>
            </w:pPr>
            <w:r>
              <w:rPr>
                <w:rFonts w:ascii="Arial" w:cs="Arial" w:eastAsia="Arial" w:hAnsi="Arial"/>
                <w:sz w:val="20"/>
                <w:szCs w:val="20"/>
                <w:color w:val="3E3935"/>
              </w:rPr>
              <w:t>37,820,362</w:t>
            </w:r>
            <w:r>
              <w:rPr>
                <w:rFonts w:ascii="Arial" w:cs="Arial" w:eastAsia="Arial" w:hAnsi="Arial"/>
                <w:sz w:val="16"/>
                <w:szCs w:val="16"/>
                <w:color w:val="3E3935"/>
              </w:rPr>
              <w:t>(1)</w:t>
            </w:r>
          </w:p>
        </w:tc>
        <w:tc>
          <w:tcPr>
            <w:tcW w:w="3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80" w:type="dxa"/>
            <w:vAlign w:val="bottom"/>
          </w:tcPr>
          <w:p>
            <w:pPr>
              <w:ind w:left="100"/>
              <w:spacing w:after="0"/>
              <w:rPr>
                <w:sz w:val="20"/>
                <w:szCs w:val="20"/>
                <w:color w:val="auto"/>
              </w:rPr>
            </w:pPr>
            <w:r>
              <w:rPr>
                <w:rFonts w:ascii="Arial" w:cs="Arial" w:eastAsia="Arial" w:hAnsi="Arial"/>
                <w:sz w:val="20"/>
                <w:szCs w:val="20"/>
                <w:color w:val="3E3935"/>
              </w:rPr>
              <w:t>security holders</w:t>
            </w:r>
          </w:p>
        </w:tc>
        <w:tc>
          <w:tcPr>
            <w:tcW w:w="2760" w:type="dxa"/>
            <w:vAlign w:val="bottom"/>
            <w:vMerge w:val="continue"/>
          </w:tcPr>
          <w:p>
            <w:pPr>
              <w:spacing w:after="0"/>
              <w:rPr>
                <w:sz w:val="20"/>
                <w:szCs w:val="20"/>
                <w:color w:val="auto"/>
              </w:rPr>
            </w:pPr>
          </w:p>
        </w:tc>
        <w:tc>
          <w:tcPr>
            <w:tcW w:w="3060" w:type="dxa"/>
            <w:vAlign w:val="bottom"/>
          </w:tcPr>
          <w:p>
            <w:pPr>
              <w:jc w:val="right"/>
              <w:ind w:right="127"/>
              <w:spacing w:after="0"/>
              <w:rPr>
                <w:sz w:val="20"/>
                <w:szCs w:val="20"/>
                <w:color w:val="auto"/>
              </w:rPr>
            </w:pPr>
            <w:r>
              <w:rPr>
                <w:rFonts w:ascii="Arial" w:cs="Arial" w:eastAsia="Arial" w:hAnsi="Arial"/>
                <w:sz w:val="20"/>
                <w:szCs w:val="20"/>
                <w:color w:val="3E3935"/>
              </w:rPr>
              <w:t>$35.15</w:t>
            </w:r>
          </w:p>
        </w:tc>
        <w:tc>
          <w:tcPr>
            <w:tcW w:w="2720" w:type="dxa"/>
            <w:vAlign w:val="bottom"/>
          </w:tcPr>
          <w:p>
            <w:pPr>
              <w:jc w:val="right"/>
              <w:ind w:right="148"/>
              <w:spacing w:after="0"/>
              <w:rPr>
                <w:sz w:val="20"/>
                <w:szCs w:val="20"/>
                <w:color w:val="auto"/>
              </w:rPr>
            </w:pPr>
            <w:r>
              <w:rPr>
                <w:rFonts w:ascii="Arial" w:cs="Arial" w:eastAsia="Arial" w:hAnsi="Arial"/>
                <w:sz w:val="20"/>
                <w:szCs w:val="20"/>
                <w:color w:val="3E3935"/>
              </w:rPr>
              <w:t>61,317,090</w:t>
            </w:r>
          </w:p>
        </w:tc>
        <w:tc>
          <w:tcPr>
            <w:tcW w:w="0" w:type="dxa"/>
            <w:vAlign w:val="bottom"/>
          </w:tcPr>
          <w:p>
            <w:pPr>
              <w:spacing w:after="0"/>
              <w:rPr>
                <w:sz w:val="1"/>
                <w:szCs w:val="1"/>
                <w:color w:val="auto"/>
              </w:rPr>
            </w:pPr>
          </w:p>
        </w:tc>
      </w:tr>
      <w:tr>
        <w:trPr>
          <w:trHeight w:val="62"/>
        </w:trPr>
        <w:tc>
          <w:tcPr>
            <w:tcW w:w="2380" w:type="dxa"/>
            <w:vAlign w:val="bottom"/>
            <w:tcBorders>
              <w:bottom w:val="single" w:sz="8" w:color="3E3935"/>
            </w:tcBorders>
          </w:tcPr>
          <w:p>
            <w:pPr>
              <w:spacing w:after="0"/>
              <w:rPr>
                <w:sz w:val="5"/>
                <w:szCs w:val="5"/>
                <w:color w:val="auto"/>
              </w:rPr>
            </w:pPr>
          </w:p>
        </w:tc>
        <w:tc>
          <w:tcPr>
            <w:tcW w:w="2760" w:type="dxa"/>
            <w:vAlign w:val="bottom"/>
            <w:tcBorders>
              <w:bottom w:val="single" w:sz="8" w:color="3E3935"/>
            </w:tcBorders>
          </w:tcPr>
          <w:p>
            <w:pPr>
              <w:spacing w:after="0"/>
              <w:rPr>
                <w:sz w:val="5"/>
                <w:szCs w:val="5"/>
                <w:color w:val="auto"/>
              </w:rPr>
            </w:pPr>
          </w:p>
        </w:tc>
        <w:tc>
          <w:tcPr>
            <w:tcW w:w="3060" w:type="dxa"/>
            <w:vAlign w:val="bottom"/>
            <w:tcBorders>
              <w:bottom w:val="single" w:sz="8" w:color="3E3935"/>
            </w:tcBorders>
          </w:tcPr>
          <w:p>
            <w:pPr>
              <w:spacing w:after="0"/>
              <w:rPr>
                <w:sz w:val="5"/>
                <w:szCs w:val="5"/>
                <w:color w:val="auto"/>
              </w:rPr>
            </w:pPr>
          </w:p>
        </w:tc>
        <w:tc>
          <w:tcPr>
            <w:tcW w:w="27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380" w:type="dxa"/>
            <w:vAlign w:val="bottom"/>
          </w:tcPr>
          <w:p>
            <w:pPr>
              <w:ind w:left="100"/>
              <w:spacing w:after="0"/>
              <w:rPr>
                <w:sz w:val="20"/>
                <w:szCs w:val="20"/>
                <w:color w:val="auto"/>
              </w:rPr>
            </w:pPr>
            <w:r>
              <w:rPr>
                <w:rFonts w:ascii="Arial" w:cs="Arial" w:eastAsia="Arial" w:hAnsi="Arial"/>
                <w:sz w:val="20"/>
                <w:szCs w:val="20"/>
                <w:color w:val="3E3935"/>
              </w:rPr>
              <w:t>Equity compensation</w:t>
            </w:r>
          </w:p>
        </w:tc>
        <w:tc>
          <w:tcPr>
            <w:tcW w:w="27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380" w:type="dxa"/>
            <w:vAlign w:val="bottom"/>
          </w:tcPr>
          <w:p>
            <w:pPr>
              <w:ind w:left="100"/>
              <w:spacing w:after="0" w:line="214" w:lineRule="exact"/>
              <w:rPr>
                <w:sz w:val="20"/>
                <w:szCs w:val="20"/>
                <w:color w:val="auto"/>
              </w:rPr>
            </w:pPr>
            <w:r>
              <w:rPr>
                <w:rFonts w:ascii="Arial" w:cs="Arial" w:eastAsia="Arial" w:hAnsi="Arial"/>
                <w:sz w:val="20"/>
                <w:szCs w:val="20"/>
                <w:color w:val="3E3935"/>
              </w:rPr>
              <w:t>plans not approved by</w:t>
            </w:r>
          </w:p>
        </w:tc>
        <w:tc>
          <w:tcPr>
            <w:tcW w:w="2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100"/>
              <w:spacing w:after="0"/>
              <w:rPr>
                <w:sz w:val="20"/>
                <w:szCs w:val="20"/>
                <w:color w:val="auto"/>
              </w:rPr>
            </w:pPr>
            <w:r>
              <w:rPr>
                <w:rFonts w:ascii="Arial" w:cs="Arial" w:eastAsia="Arial" w:hAnsi="Arial"/>
                <w:sz w:val="20"/>
                <w:szCs w:val="20"/>
                <w:color w:val="3E3935"/>
              </w:rPr>
              <w:t>security holders</w:t>
            </w:r>
            <w:r>
              <w:rPr>
                <w:rFonts w:ascii="Arial" w:cs="Arial" w:eastAsia="Arial" w:hAnsi="Arial"/>
                <w:sz w:val="16"/>
                <w:szCs w:val="16"/>
                <w:color w:val="3E3935"/>
              </w:rPr>
              <w:t>(2)</w:t>
            </w:r>
          </w:p>
        </w:tc>
        <w:tc>
          <w:tcPr>
            <w:tcW w:w="2760" w:type="dxa"/>
            <w:vAlign w:val="bottom"/>
          </w:tcPr>
          <w:p>
            <w:pPr>
              <w:jc w:val="right"/>
              <w:ind w:right="208"/>
              <w:spacing w:after="0"/>
              <w:rPr>
                <w:sz w:val="20"/>
                <w:szCs w:val="20"/>
                <w:color w:val="auto"/>
              </w:rPr>
            </w:pPr>
            <w:r>
              <w:rPr>
                <w:rFonts w:ascii="Arial" w:cs="Arial" w:eastAsia="Arial" w:hAnsi="Arial"/>
                <w:sz w:val="20"/>
                <w:szCs w:val="20"/>
                <w:color w:val="3E3935"/>
              </w:rPr>
              <w:t>254,704</w:t>
            </w:r>
            <w:r>
              <w:rPr>
                <w:rFonts w:ascii="Arial" w:cs="Arial" w:eastAsia="Arial" w:hAnsi="Arial"/>
                <w:sz w:val="16"/>
                <w:szCs w:val="16"/>
                <w:color w:val="3E3935"/>
              </w:rPr>
              <w:t>(3)</w:t>
            </w:r>
          </w:p>
        </w:tc>
        <w:tc>
          <w:tcPr>
            <w:tcW w:w="3060" w:type="dxa"/>
            <w:vAlign w:val="bottom"/>
          </w:tcPr>
          <w:p>
            <w:pPr>
              <w:jc w:val="right"/>
              <w:ind w:right="127"/>
              <w:spacing w:after="0"/>
              <w:rPr>
                <w:sz w:val="20"/>
                <w:szCs w:val="20"/>
                <w:color w:val="auto"/>
              </w:rPr>
            </w:pPr>
            <w:r>
              <w:rPr>
                <w:rFonts w:ascii="Arial" w:cs="Arial" w:eastAsia="Arial" w:hAnsi="Arial"/>
                <w:sz w:val="20"/>
                <w:szCs w:val="20"/>
                <w:color w:val="3E3935"/>
              </w:rPr>
              <w:t>—</w:t>
            </w:r>
          </w:p>
        </w:tc>
        <w:tc>
          <w:tcPr>
            <w:tcW w:w="2720" w:type="dxa"/>
            <w:vAlign w:val="bottom"/>
          </w:tcPr>
          <w:p>
            <w:pPr>
              <w:jc w:val="right"/>
              <w:ind w:right="148"/>
              <w:spacing w:after="0"/>
              <w:rPr>
                <w:sz w:val="20"/>
                <w:szCs w:val="20"/>
                <w:color w:val="auto"/>
              </w:rPr>
            </w:pPr>
            <w:r>
              <w:rPr>
                <w:rFonts w:ascii="Arial" w:cs="Arial" w:eastAsia="Arial" w:hAnsi="Arial"/>
                <w:sz w:val="20"/>
                <w:szCs w:val="20"/>
                <w:color w:val="3E3935"/>
              </w:rPr>
              <w:t>15,187</w:t>
            </w:r>
          </w:p>
        </w:tc>
        <w:tc>
          <w:tcPr>
            <w:tcW w:w="0" w:type="dxa"/>
            <w:vAlign w:val="bottom"/>
          </w:tcPr>
          <w:p>
            <w:pPr>
              <w:spacing w:after="0"/>
              <w:rPr>
                <w:sz w:val="1"/>
                <w:szCs w:val="1"/>
                <w:color w:val="auto"/>
              </w:rPr>
            </w:pPr>
          </w:p>
        </w:tc>
      </w:tr>
      <w:tr>
        <w:trPr>
          <w:trHeight w:val="62"/>
        </w:trPr>
        <w:tc>
          <w:tcPr>
            <w:tcW w:w="2380" w:type="dxa"/>
            <w:vAlign w:val="bottom"/>
            <w:tcBorders>
              <w:bottom w:val="single" w:sz="8" w:color="3E3935"/>
            </w:tcBorders>
          </w:tcPr>
          <w:p>
            <w:pPr>
              <w:spacing w:after="0"/>
              <w:rPr>
                <w:sz w:val="5"/>
                <w:szCs w:val="5"/>
                <w:color w:val="auto"/>
              </w:rPr>
            </w:pPr>
          </w:p>
        </w:tc>
        <w:tc>
          <w:tcPr>
            <w:tcW w:w="2760" w:type="dxa"/>
            <w:vAlign w:val="bottom"/>
            <w:tcBorders>
              <w:bottom w:val="single" w:sz="8" w:color="3E3935"/>
            </w:tcBorders>
          </w:tcPr>
          <w:p>
            <w:pPr>
              <w:spacing w:after="0"/>
              <w:rPr>
                <w:sz w:val="5"/>
                <w:szCs w:val="5"/>
                <w:color w:val="auto"/>
              </w:rPr>
            </w:pPr>
          </w:p>
        </w:tc>
        <w:tc>
          <w:tcPr>
            <w:tcW w:w="3060" w:type="dxa"/>
            <w:vAlign w:val="bottom"/>
            <w:tcBorders>
              <w:bottom w:val="single" w:sz="8" w:color="3E3935"/>
            </w:tcBorders>
          </w:tcPr>
          <w:p>
            <w:pPr>
              <w:spacing w:after="0"/>
              <w:rPr>
                <w:sz w:val="5"/>
                <w:szCs w:val="5"/>
                <w:color w:val="auto"/>
              </w:rPr>
            </w:pPr>
          </w:p>
        </w:tc>
        <w:tc>
          <w:tcPr>
            <w:tcW w:w="272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380" w:type="dxa"/>
            <w:vAlign w:val="bottom"/>
          </w:tcPr>
          <w:p>
            <w:pPr>
              <w:ind w:left="100"/>
              <w:spacing w:after="0"/>
              <w:rPr>
                <w:sz w:val="20"/>
                <w:szCs w:val="20"/>
                <w:color w:val="auto"/>
              </w:rPr>
            </w:pPr>
            <w:r>
              <w:rPr>
                <w:rFonts w:ascii="Arial" w:cs="Arial" w:eastAsia="Arial" w:hAnsi="Arial"/>
                <w:sz w:val="20"/>
                <w:szCs w:val="20"/>
                <w:color w:val="3E3935"/>
              </w:rPr>
              <w:t>Total</w:t>
            </w:r>
          </w:p>
        </w:tc>
        <w:tc>
          <w:tcPr>
            <w:tcW w:w="2760" w:type="dxa"/>
            <w:vAlign w:val="bottom"/>
          </w:tcPr>
          <w:p>
            <w:pPr>
              <w:jc w:val="right"/>
              <w:ind w:right="208"/>
              <w:spacing w:after="0"/>
              <w:rPr>
                <w:sz w:val="20"/>
                <w:szCs w:val="20"/>
                <w:color w:val="auto"/>
              </w:rPr>
            </w:pPr>
            <w:r>
              <w:rPr>
                <w:rFonts w:ascii="Arial" w:cs="Arial" w:eastAsia="Arial" w:hAnsi="Arial"/>
                <w:sz w:val="20"/>
                <w:szCs w:val="20"/>
                <w:color w:val="3E3935"/>
              </w:rPr>
              <w:t>38,075,066</w:t>
            </w:r>
            <w:r>
              <w:rPr>
                <w:rFonts w:ascii="Arial" w:cs="Arial" w:eastAsia="Arial" w:hAnsi="Arial"/>
                <w:sz w:val="16"/>
                <w:szCs w:val="16"/>
                <w:color w:val="3E3935"/>
              </w:rPr>
              <w:t>(4)</w:t>
            </w:r>
          </w:p>
        </w:tc>
        <w:tc>
          <w:tcPr>
            <w:tcW w:w="3060" w:type="dxa"/>
            <w:vAlign w:val="bottom"/>
          </w:tcPr>
          <w:p>
            <w:pPr>
              <w:jc w:val="right"/>
              <w:ind w:right="127"/>
              <w:spacing w:after="0"/>
              <w:rPr>
                <w:sz w:val="20"/>
                <w:szCs w:val="20"/>
                <w:color w:val="auto"/>
              </w:rPr>
            </w:pPr>
            <w:r>
              <w:rPr>
                <w:rFonts w:ascii="Arial" w:cs="Arial" w:eastAsia="Arial" w:hAnsi="Arial"/>
                <w:sz w:val="20"/>
                <w:szCs w:val="20"/>
                <w:color w:val="3E3935"/>
              </w:rPr>
              <w:t>$35.15</w:t>
            </w:r>
          </w:p>
        </w:tc>
        <w:tc>
          <w:tcPr>
            <w:tcW w:w="2720" w:type="dxa"/>
            <w:vAlign w:val="bottom"/>
          </w:tcPr>
          <w:p>
            <w:pPr>
              <w:jc w:val="right"/>
              <w:ind w:right="148"/>
              <w:spacing w:after="0"/>
              <w:rPr>
                <w:sz w:val="20"/>
                <w:szCs w:val="20"/>
                <w:color w:val="auto"/>
              </w:rPr>
            </w:pPr>
            <w:r>
              <w:rPr>
                <w:rFonts w:ascii="Arial" w:cs="Arial" w:eastAsia="Arial" w:hAnsi="Arial"/>
                <w:sz w:val="20"/>
                <w:szCs w:val="20"/>
                <w:color w:val="3E3935"/>
              </w:rPr>
              <w:t>61,332,277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The number includes the following:</w:t>
      </w:r>
    </w:p>
    <w:p>
      <w:pPr>
        <w:spacing w:after="0" w:line="113" w:lineRule="exact"/>
        <w:rPr>
          <w:rFonts w:ascii="Arial" w:cs="Arial" w:eastAsia="Arial" w:hAnsi="Arial"/>
          <w:sz w:val="18"/>
          <w:szCs w:val="18"/>
          <w:i w:val="1"/>
          <w:iCs w:val="1"/>
          <w:color w:val="3E3935"/>
        </w:rPr>
      </w:pPr>
    </w:p>
    <w:p>
      <w:pPr>
        <w:ind w:left="1140" w:hanging="545"/>
        <w:spacing w:after="0"/>
        <w:tabs>
          <w:tab w:leader="none" w:pos="1140" w:val="left"/>
        </w:tabs>
        <w:numPr>
          <w:ilvl w:val="1"/>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23,046,389 shares represent options.</w:t>
      </w:r>
    </w:p>
    <w:p>
      <w:pPr>
        <w:spacing w:after="0" w:line="11" w:lineRule="exact"/>
        <w:rPr>
          <w:rFonts w:ascii="Arial" w:cs="Arial" w:eastAsia="Arial" w:hAnsi="Arial"/>
          <w:sz w:val="18"/>
          <w:szCs w:val="18"/>
          <w:i w:val="1"/>
          <w:iCs w:val="1"/>
          <w:color w:val="3E3935"/>
        </w:rPr>
      </w:pPr>
    </w:p>
    <w:p>
      <w:pPr>
        <w:ind w:left="1140" w:right="560" w:hanging="545"/>
        <w:spacing w:after="0" w:line="232" w:lineRule="auto"/>
        <w:tabs>
          <w:tab w:leader="none" w:pos="1140" w:val="left"/>
        </w:tabs>
        <w:numPr>
          <w:ilvl w:val="1"/>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11,888,661 shares represent PSU awards, assuming performance is achieved at target. For performance above target, awards may be settled in common stock, cash, or a combination of both.</w:t>
      </w:r>
    </w:p>
    <w:p>
      <w:pPr>
        <w:spacing w:after="0" w:line="1" w:lineRule="exact"/>
        <w:rPr>
          <w:rFonts w:ascii="Arial" w:cs="Arial" w:eastAsia="Arial" w:hAnsi="Arial"/>
          <w:sz w:val="18"/>
          <w:szCs w:val="18"/>
          <w:i w:val="1"/>
          <w:iCs w:val="1"/>
          <w:color w:val="3E3935"/>
        </w:rPr>
      </w:pPr>
    </w:p>
    <w:p>
      <w:pPr>
        <w:ind w:left="1140" w:hanging="545"/>
        <w:spacing w:after="0"/>
        <w:tabs>
          <w:tab w:leader="none" w:pos="1140" w:val="left"/>
        </w:tabs>
        <w:numPr>
          <w:ilvl w:val="1"/>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2,885,312 shares represent RSUs.</w:t>
      </w:r>
    </w:p>
    <w:p>
      <w:pPr>
        <w:spacing w:after="0" w:line="55"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2016 Equity Incentive Plan — refer to Note 21 in our 2016 Form 10-K.</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Represents RSUs and PSUs. PSUs may be issued upon achievement of performance conditions.</w:t>
      </w:r>
    </w:p>
    <w:p>
      <w:pPr>
        <w:spacing w:after="0" w:line="73"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47"/>
        </w:numPr>
        <w:rPr>
          <w:rFonts w:ascii="Arial" w:cs="Arial" w:eastAsia="Arial" w:hAnsi="Arial"/>
          <w:sz w:val="18"/>
          <w:szCs w:val="18"/>
          <w:i w:val="1"/>
          <w:iCs w:val="1"/>
          <w:color w:val="3E3935"/>
        </w:rPr>
      </w:pPr>
      <w:r>
        <w:rPr>
          <w:rFonts w:ascii="Arial" w:cs="Arial" w:eastAsia="Arial" w:hAnsi="Arial"/>
          <w:sz w:val="18"/>
          <w:szCs w:val="18"/>
          <w:i w:val="1"/>
          <w:iCs w:val="1"/>
          <w:color w:val="3E3935"/>
        </w:rPr>
        <w:t>Excludes 555,505 stock-based units that are required to be settled in cash pursuant to award agreements.</w:t>
      </w:r>
    </w:p>
    <w:p>
      <w:pPr>
        <w:spacing w:after="0" w:line="156"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3E3935"/>
        </w:rPr>
        <w:t>The following table provides information on share usage for awards granted and performance awards vested/earned during fiscal year 2020 under the Company’s equity compensation plans.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660" w:type="dxa"/>
            <w:vAlign w:val="bottom"/>
            <w:tcBorders>
              <w:top w:val="single" w:sz="8" w:color="00C1DE"/>
            </w:tcBorders>
          </w:tcPr>
          <w:p>
            <w:pPr>
              <w:spacing w:after="0"/>
              <w:rPr>
                <w:sz w:val="18"/>
                <w:szCs w:val="18"/>
                <w:color w:val="auto"/>
              </w:rPr>
            </w:pPr>
          </w:p>
        </w:tc>
        <w:tc>
          <w:tcPr>
            <w:tcW w:w="3540" w:type="dxa"/>
            <w:vAlign w:val="bottom"/>
            <w:tcBorders>
              <w:top w:val="single" w:sz="8" w:color="00C1DE"/>
            </w:tcBorders>
          </w:tcPr>
          <w:p>
            <w:pPr>
              <w:spacing w:after="0"/>
              <w:rPr>
                <w:sz w:val="18"/>
                <w:szCs w:val="18"/>
                <w:color w:val="auto"/>
              </w:rPr>
            </w:pPr>
          </w:p>
        </w:tc>
        <w:tc>
          <w:tcPr>
            <w:tcW w:w="1720" w:type="dxa"/>
            <w:vAlign w:val="bottom"/>
            <w:tcBorders>
              <w:top w:val="single" w:sz="8" w:color="00C1DE"/>
            </w:tcBorders>
          </w:tcPr>
          <w:p>
            <w:pPr>
              <w:jc w:val="right"/>
              <w:ind w:right="122"/>
              <w:spacing w:after="0" w:line="213" w:lineRule="exact"/>
              <w:rPr>
                <w:sz w:val="20"/>
                <w:szCs w:val="20"/>
                <w:color w:val="auto"/>
              </w:rPr>
            </w:pPr>
            <w:r>
              <w:rPr>
                <w:rFonts w:ascii="Arial" w:cs="Arial" w:eastAsia="Arial" w:hAnsi="Arial"/>
                <w:sz w:val="20"/>
                <w:szCs w:val="20"/>
                <w:b w:val="1"/>
                <w:bCs w:val="1"/>
                <w:color w:val="00C1DE"/>
              </w:rPr>
              <w:t>Performance</w:t>
            </w:r>
          </w:p>
        </w:tc>
      </w:tr>
      <w:tr>
        <w:trPr>
          <w:trHeight w:val="214"/>
        </w:trPr>
        <w:tc>
          <w:tcPr>
            <w:tcW w:w="56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720" w:type="dxa"/>
            <w:vAlign w:val="bottom"/>
          </w:tcPr>
          <w:p>
            <w:pPr>
              <w:jc w:val="right"/>
              <w:ind w:right="122"/>
              <w:spacing w:after="0" w:line="214" w:lineRule="exact"/>
              <w:rPr>
                <w:sz w:val="20"/>
                <w:szCs w:val="20"/>
                <w:color w:val="auto"/>
              </w:rPr>
            </w:pPr>
            <w:r>
              <w:rPr>
                <w:rFonts w:ascii="Arial" w:cs="Arial" w:eastAsia="Arial" w:hAnsi="Arial"/>
                <w:sz w:val="20"/>
                <w:szCs w:val="20"/>
                <w:b w:val="1"/>
                <w:bCs w:val="1"/>
                <w:color w:val="00C1DE"/>
              </w:rPr>
              <w:t>Awards</w:t>
            </w:r>
          </w:p>
        </w:tc>
      </w:tr>
      <w:tr>
        <w:trPr>
          <w:trHeight w:val="273"/>
        </w:trPr>
        <w:tc>
          <w:tcPr>
            <w:tcW w:w="5660" w:type="dxa"/>
            <w:vAlign w:val="bottom"/>
          </w:tcPr>
          <w:p>
            <w:pPr>
              <w:spacing w:after="0"/>
              <w:rPr>
                <w:sz w:val="23"/>
                <w:szCs w:val="23"/>
                <w:color w:val="auto"/>
              </w:rPr>
            </w:pPr>
          </w:p>
        </w:tc>
        <w:tc>
          <w:tcPr>
            <w:tcW w:w="3540" w:type="dxa"/>
            <w:vAlign w:val="bottom"/>
          </w:tcPr>
          <w:p>
            <w:pPr>
              <w:jc w:val="right"/>
              <w:ind w:right="42"/>
              <w:spacing w:after="0"/>
              <w:rPr>
                <w:sz w:val="20"/>
                <w:szCs w:val="20"/>
                <w:color w:val="auto"/>
              </w:rPr>
            </w:pPr>
            <w:r>
              <w:rPr>
                <w:rFonts w:ascii="Arial" w:cs="Arial" w:eastAsia="Arial" w:hAnsi="Arial"/>
                <w:sz w:val="20"/>
                <w:szCs w:val="20"/>
                <w:b w:val="1"/>
                <w:bCs w:val="1"/>
                <w:color w:val="00C1DE"/>
              </w:rPr>
              <w:t>Granted</w:t>
            </w:r>
          </w:p>
        </w:tc>
        <w:tc>
          <w:tcPr>
            <w:tcW w:w="1720" w:type="dxa"/>
            <w:vAlign w:val="bottom"/>
          </w:tcPr>
          <w:p>
            <w:pPr>
              <w:jc w:val="right"/>
              <w:ind w:right="122"/>
              <w:spacing w:after="0"/>
              <w:rPr>
                <w:sz w:val="20"/>
                <w:szCs w:val="20"/>
                <w:color w:val="auto"/>
              </w:rPr>
            </w:pPr>
            <w:r>
              <w:rPr>
                <w:rFonts w:ascii="Arial" w:cs="Arial" w:eastAsia="Arial" w:hAnsi="Arial"/>
                <w:sz w:val="20"/>
                <w:szCs w:val="20"/>
                <w:b w:val="1"/>
                <w:bCs w:val="1"/>
                <w:color w:val="00C1DE"/>
              </w:rPr>
              <w:t>Vested/Earned</w:t>
            </w:r>
          </w:p>
        </w:tc>
      </w:tr>
      <w:tr>
        <w:trPr>
          <w:trHeight w:val="62"/>
        </w:trPr>
        <w:tc>
          <w:tcPr>
            <w:tcW w:w="5660" w:type="dxa"/>
            <w:vAlign w:val="bottom"/>
            <w:tcBorders>
              <w:bottom w:val="single" w:sz="8" w:color="00C1DE"/>
            </w:tcBorders>
          </w:tcPr>
          <w:p>
            <w:pPr>
              <w:spacing w:after="0"/>
              <w:rPr>
                <w:sz w:val="5"/>
                <w:szCs w:val="5"/>
                <w:color w:val="auto"/>
              </w:rPr>
            </w:pPr>
          </w:p>
        </w:tc>
        <w:tc>
          <w:tcPr>
            <w:tcW w:w="3540" w:type="dxa"/>
            <w:vAlign w:val="bottom"/>
            <w:tcBorders>
              <w:bottom w:val="single" w:sz="8" w:color="00C1DE"/>
            </w:tcBorders>
          </w:tcPr>
          <w:p>
            <w:pPr>
              <w:spacing w:after="0"/>
              <w:rPr>
                <w:sz w:val="5"/>
                <w:szCs w:val="5"/>
                <w:color w:val="auto"/>
              </w:rPr>
            </w:pPr>
          </w:p>
        </w:tc>
        <w:tc>
          <w:tcPr>
            <w:tcW w:w="1720" w:type="dxa"/>
            <w:vAlign w:val="bottom"/>
            <w:tcBorders>
              <w:bottom w:val="single" w:sz="8" w:color="00C1DE"/>
            </w:tcBorders>
          </w:tcPr>
          <w:p>
            <w:pPr>
              <w:spacing w:after="0"/>
              <w:rPr>
                <w:sz w:val="5"/>
                <w:szCs w:val="5"/>
                <w:color w:val="auto"/>
              </w:rPr>
            </w:pPr>
          </w:p>
        </w:tc>
      </w:tr>
      <w:tr>
        <w:trPr>
          <w:trHeight w:val="292"/>
        </w:trPr>
        <w:tc>
          <w:tcPr>
            <w:tcW w:w="5660" w:type="dxa"/>
            <w:vAlign w:val="bottom"/>
          </w:tcPr>
          <w:p>
            <w:pPr>
              <w:ind w:left="100"/>
              <w:spacing w:after="0"/>
              <w:rPr>
                <w:sz w:val="20"/>
                <w:szCs w:val="20"/>
                <w:color w:val="auto"/>
              </w:rPr>
            </w:pPr>
            <w:r>
              <w:rPr>
                <w:rFonts w:ascii="Arial" w:cs="Arial" w:eastAsia="Arial" w:hAnsi="Arial"/>
                <w:sz w:val="20"/>
                <w:szCs w:val="20"/>
                <w:color w:val="3E3935"/>
              </w:rPr>
              <w:t>RSUs</w:t>
            </w:r>
          </w:p>
        </w:tc>
        <w:tc>
          <w:tcPr>
            <w:tcW w:w="3540" w:type="dxa"/>
            <w:vAlign w:val="bottom"/>
          </w:tcPr>
          <w:p>
            <w:pPr>
              <w:jc w:val="right"/>
              <w:ind w:right="42"/>
              <w:spacing w:after="0"/>
              <w:rPr>
                <w:sz w:val="20"/>
                <w:szCs w:val="20"/>
                <w:color w:val="auto"/>
              </w:rPr>
            </w:pPr>
            <w:r>
              <w:rPr>
                <w:rFonts w:ascii="Arial" w:cs="Arial" w:eastAsia="Arial" w:hAnsi="Arial"/>
                <w:sz w:val="20"/>
                <w:szCs w:val="20"/>
                <w:color w:val="3E3935"/>
              </w:rPr>
              <w:t>2,200,000</w:t>
            </w:r>
          </w:p>
        </w:tc>
        <w:tc>
          <w:tcPr>
            <w:tcW w:w="1720" w:type="dxa"/>
            <w:vAlign w:val="bottom"/>
          </w:tcPr>
          <w:p>
            <w:pPr>
              <w:jc w:val="right"/>
              <w:ind w:right="122"/>
              <w:spacing w:after="0"/>
              <w:rPr>
                <w:sz w:val="20"/>
                <w:szCs w:val="20"/>
                <w:color w:val="auto"/>
              </w:rPr>
            </w:pPr>
            <w:r>
              <w:rPr>
                <w:rFonts w:ascii="Arial" w:cs="Arial" w:eastAsia="Arial" w:hAnsi="Arial"/>
                <w:sz w:val="20"/>
                <w:szCs w:val="20"/>
                <w:color w:val="3E3935"/>
              </w:rPr>
              <w:t>—</w:t>
            </w:r>
          </w:p>
        </w:tc>
      </w:tr>
      <w:tr>
        <w:trPr>
          <w:trHeight w:val="62"/>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92"/>
        </w:trPr>
        <w:tc>
          <w:tcPr>
            <w:tcW w:w="5660" w:type="dxa"/>
            <w:vAlign w:val="bottom"/>
          </w:tcPr>
          <w:p>
            <w:pPr>
              <w:ind w:left="100"/>
              <w:spacing w:after="0"/>
              <w:rPr>
                <w:sz w:val="20"/>
                <w:szCs w:val="20"/>
                <w:color w:val="auto"/>
              </w:rPr>
            </w:pPr>
            <w:r>
              <w:rPr>
                <w:rFonts w:ascii="Arial" w:cs="Arial" w:eastAsia="Arial" w:hAnsi="Arial"/>
                <w:sz w:val="20"/>
                <w:szCs w:val="20"/>
                <w:color w:val="3E3935"/>
              </w:rPr>
              <w:t>PSUs</w:t>
            </w:r>
          </w:p>
        </w:tc>
        <w:tc>
          <w:tcPr>
            <w:tcW w:w="3540" w:type="dxa"/>
            <w:vAlign w:val="bottom"/>
          </w:tcPr>
          <w:p>
            <w:pPr>
              <w:jc w:val="right"/>
              <w:ind w:right="42"/>
              <w:spacing w:after="0"/>
              <w:rPr>
                <w:sz w:val="20"/>
                <w:szCs w:val="20"/>
                <w:color w:val="auto"/>
              </w:rPr>
            </w:pPr>
            <w:r>
              <w:rPr>
                <w:rFonts w:ascii="Arial" w:cs="Arial" w:eastAsia="Arial" w:hAnsi="Arial"/>
                <w:sz w:val="20"/>
                <w:szCs w:val="20"/>
                <w:color w:val="3E3935"/>
              </w:rPr>
              <w:t>5,000,000</w:t>
            </w:r>
          </w:p>
        </w:tc>
        <w:tc>
          <w:tcPr>
            <w:tcW w:w="1720" w:type="dxa"/>
            <w:vAlign w:val="bottom"/>
          </w:tcPr>
          <w:p>
            <w:pPr>
              <w:jc w:val="right"/>
              <w:ind w:right="122"/>
              <w:spacing w:after="0"/>
              <w:rPr>
                <w:sz w:val="20"/>
                <w:szCs w:val="20"/>
                <w:color w:val="auto"/>
              </w:rPr>
            </w:pPr>
            <w:r>
              <w:rPr>
                <w:rFonts w:ascii="Arial" w:cs="Arial" w:eastAsia="Arial" w:hAnsi="Arial"/>
                <w:sz w:val="20"/>
                <w:szCs w:val="20"/>
                <w:color w:val="3E3935"/>
              </w:rPr>
              <w:t>7,500,000</w:t>
            </w:r>
          </w:p>
        </w:tc>
      </w:tr>
      <w:tr>
        <w:trPr>
          <w:trHeight w:val="62"/>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92"/>
        </w:trPr>
        <w:tc>
          <w:tcPr>
            <w:tcW w:w="5660" w:type="dxa"/>
            <w:vAlign w:val="bottom"/>
          </w:tcPr>
          <w:p>
            <w:pPr>
              <w:ind w:left="100"/>
              <w:spacing w:after="0"/>
              <w:rPr>
                <w:sz w:val="20"/>
                <w:szCs w:val="20"/>
                <w:color w:val="auto"/>
              </w:rPr>
            </w:pPr>
            <w:r>
              <w:rPr>
                <w:rFonts w:ascii="Arial" w:cs="Arial" w:eastAsia="Arial" w:hAnsi="Arial"/>
                <w:sz w:val="20"/>
                <w:szCs w:val="20"/>
                <w:color w:val="3E3935"/>
              </w:rPr>
              <w:t>Time-Based Stock Options</w:t>
            </w:r>
          </w:p>
        </w:tc>
        <w:tc>
          <w:tcPr>
            <w:tcW w:w="3540" w:type="dxa"/>
            <w:vAlign w:val="bottom"/>
          </w:tcPr>
          <w:p>
            <w:pPr>
              <w:jc w:val="right"/>
              <w:ind w:right="42"/>
              <w:spacing w:after="0"/>
              <w:rPr>
                <w:sz w:val="20"/>
                <w:szCs w:val="20"/>
                <w:color w:val="auto"/>
              </w:rPr>
            </w:pPr>
            <w:r>
              <w:rPr>
                <w:rFonts w:ascii="Arial" w:cs="Arial" w:eastAsia="Arial" w:hAnsi="Arial"/>
                <w:sz w:val="20"/>
                <w:szCs w:val="20"/>
                <w:color w:val="3E3935"/>
              </w:rPr>
              <w:t>6,100,000</w:t>
            </w:r>
          </w:p>
        </w:tc>
        <w:tc>
          <w:tcPr>
            <w:tcW w:w="1720" w:type="dxa"/>
            <w:vAlign w:val="bottom"/>
          </w:tcPr>
          <w:p>
            <w:pPr>
              <w:jc w:val="right"/>
              <w:ind w:right="122"/>
              <w:spacing w:after="0"/>
              <w:rPr>
                <w:sz w:val="20"/>
                <w:szCs w:val="20"/>
                <w:color w:val="auto"/>
              </w:rPr>
            </w:pPr>
            <w:r>
              <w:rPr>
                <w:rFonts w:ascii="Arial" w:cs="Arial" w:eastAsia="Arial" w:hAnsi="Arial"/>
                <w:sz w:val="20"/>
                <w:szCs w:val="20"/>
                <w:color w:val="3E3935"/>
              </w:rPr>
              <w:t>—</w:t>
            </w:r>
          </w:p>
        </w:tc>
      </w:tr>
      <w:tr>
        <w:trPr>
          <w:trHeight w:val="62"/>
        </w:trPr>
        <w:tc>
          <w:tcPr>
            <w:tcW w:w="5660" w:type="dxa"/>
            <w:vAlign w:val="bottom"/>
            <w:tcBorders>
              <w:bottom w:val="single" w:sz="8" w:color="3E3935"/>
            </w:tcBorders>
          </w:tcPr>
          <w:p>
            <w:pPr>
              <w:spacing w:after="0"/>
              <w:rPr>
                <w:sz w:val="5"/>
                <w:szCs w:val="5"/>
                <w:color w:val="auto"/>
              </w:rPr>
            </w:pPr>
          </w:p>
        </w:tc>
        <w:tc>
          <w:tcPr>
            <w:tcW w:w="3540" w:type="dxa"/>
            <w:vAlign w:val="bottom"/>
            <w:tcBorders>
              <w:bottom w:val="single" w:sz="8" w:color="3E3935"/>
            </w:tcBorders>
          </w:tcPr>
          <w:p>
            <w:pPr>
              <w:spacing w:after="0"/>
              <w:rPr>
                <w:sz w:val="5"/>
                <w:szCs w:val="5"/>
                <w:color w:val="auto"/>
              </w:rPr>
            </w:pPr>
          </w:p>
        </w:tc>
        <w:tc>
          <w:tcPr>
            <w:tcW w:w="1720" w:type="dxa"/>
            <w:vAlign w:val="bottom"/>
            <w:tcBorders>
              <w:bottom w:val="single" w:sz="8" w:color="3E3935"/>
            </w:tcBorders>
          </w:tcPr>
          <w:p>
            <w:pPr>
              <w:spacing w:after="0"/>
              <w:rPr>
                <w:sz w:val="5"/>
                <w:szCs w:val="5"/>
                <w:color w:val="auto"/>
              </w:rPr>
            </w:pPr>
          </w:p>
        </w:tc>
      </w:tr>
      <w:tr>
        <w:trPr>
          <w:trHeight w:val="292"/>
        </w:trPr>
        <w:tc>
          <w:tcPr>
            <w:tcW w:w="5660" w:type="dxa"/>
            <w:vAlign w:val="bottom"/>
          </w:tcPr>
          <w:p>
            <w:pPr>
              <w:ind w:left="100"/>
              <w:spacing w:after="0"/>
              <w:rPr>
                <w:sz w:val="20"/>
                <w:szCs w:val="20"/>
                <w:color w:val="auto"/>
              </w:rPr>
            </w:pPr>
            <w:r>
              <w:rPr>
                <w:rFonts w:ascii="Arial" w:cs="Arial" w:eastAsia="Arial" w:hAnsi="Arial"/>
                <w:sz w:val="20"/>
                <w:szCs w:val="20"/>
                <w:color w:val="3E3935"/>
              </w:rPr>
              <w:t>Performance-Based Stock Options</w:t>
            </w:r>
          </w:p>
        </w:tc>
        <w:tc>
          <w:tcPr>
            <w:tcW w:w="3540" w:type="dxa"/>
            <w:vAlign w:val="bottom"/>
          </w:tcPr>
          <w:p>
            <w:pPr>
              <w:jc w:val="right"/>
              <w:ind w:right="42"/>
              <w:spacing w:after="0"/>
              <w:rPr>
                <w:sz w:val="20"/>
                <w:szCs w:val="20"/>
                <w:color w:val="auto"/>
              </w:rPr>
            </w:pPr>
            <w:r>
              <w:rPr>
                <w:rFonts w:ascii="Arial" w:cs="Arial" w:eastAsia="Arial" w:hAnsi="Arial"/>
                <w:sz w:val="20"/>
                <w:szCs w:val="20"/>
                <w:color w:val="3E3935"/>
              </w:rPr>
              <w:t>—</w:t>
            </w:r>
          </w:p>
        </w:tc>
        <w:tc>
          <w:tcPr>
            <w:tcW w:w="1720" w:type="dxa"/>
            <w:vAlign w:val="bottom"/>
          </w:tcPr>
          <w:p>
            <w:pPr>
              <w:jc w:val="right"/>
              <w:ind w:right="122"/>
              <w:spacing w:after="0"/>
              <w:rPr>
                <w:sz w:val="20"/>
                <w:szCs w:val="20"/>
                <w:color w:val="auto"/>
              </w:rPr>
            </w:pPr>
            <w:r>
              <w:rPr>
                <w:rFonts w:ascii="Arial" w:cs="Arial" w:eastAsia="Arial" w:hAnsi="Arial"/>
                <w:sz w:val="20"/>
                <w:szCs w:val="20"/>
                <w:color w:val="3E3935"/>
              </w:rPr>
              <w:t>4,200,000</w:t>
            </w:r>
          </w:p>
        </w:tc>
      </w:tr>
      <w:tr>
        <w:trPr>
          <w:trHeight w:val="62"/>
        </w:trPr>
        <w:tc>
          <w:tcPr>
            <w:tcW w:w="5660" w:type="dxa"/>
            <w:vAlign w:val="bottom"/>
            <w:tcBorders>
              <w:bottom w:val="single" w:sz="8" w:color="0071CE"/>
            </w:tcBorders>
          </w:tcPr>
          <w:p>
            <w:pPr>
              <w:spacing w:after="0"/>
              <w:rPr>
                <w:sz w:val="5"/>
                <w:szCs w:val="5"/>
                <w:color w:val="auto"/>
              </w:rPr>
            </w:pPr>
          </w:p>
        </w:tc>
        <w:tc>
          <w:tcPr>
            <w:tcW w:w="3540" w:type="dxa"/>
            <w:vAlign w:val="bottom"/>
            <w:tcBorders>
              <w:bottom w:val="single" w:sz="8" w:color="0071CE"/>
            </w:tcBorders>
          </w:tcPr>
          <w:p>
            <w:pPr>
              <w:spacing w:after="0"/>
              <w:rPr>
                <w:sz w:val="5"/>
                <w:szCs w:val="5"/>
                <w:color w:val="auto"/>
              </w:rPr>
            </w:pPr>
          </w:p>
        </w:tc>
        <w:tc>
          <w:tcPr>
            <w:tcW w:w="1720" w:type="dxa"/>
            <w:vAlign w:val="bottom"/>
            <w:tcBorders>
              <w:bottom w:val="single" w:sz="8" w:color="0071CE"/>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93345</wp:posOffset>
            </wp:positionV>
            <wp:extent cx="5927725" cy="1016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2"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84</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3E3935"/>
        </w:rPr>
        <w:t xml:space="preserve">ITEM NO. 1: </w:t>
      </w:r>
      <w:r>
        <w:rPr>
          <w:rFonts w:ascii="Arial" w:cs="Arial" w:eastAsia="Arial" w:hAnsi="Arial"/>
          <w:sz w:val="39"/>
          <w:szCs w:val="39"/>
          <w:b w:val="1"/>
          <w:bCs w:val="1"/>
          <w:color w:val="00C1DE"/>
        </w:rPr>
        <w:t>ELECTION OF DIRECTORS</w:t>
      </w:r>
    </w:p>
    <w:p>
      <w:pPr>
        <w:sectPr>
          <w:pgSz w:w="11900" w:h="16838" w:orient="portrait"/>
          <w:cols w:equalWidth="0" w:num="1">
            <w:col w:w="11080"/>
          </w:cols>
          <w:pgMar w:left="320" w:top="456" w:right="499" w:bottom="1440" w:gutter="0" w:footer="0" w:header="0"/>
        </w:sectPr>
      </w:pPr>
    </w:p>
    <w:p>
      <w:pPr>
        <w:spacing w:after="0" w:line="247"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 Board has nominated 12 directors — Ms. Barra, Mr. Bush, Ms. Gooden, Mr. Jimenez, Ms. Mendillo, Ms. Miscik, Ms. Russo, Mr. Schoewe, Ms. Stephenson, Mr. Tatum, Mr. Wenig, and Ms. Whitman — to be elected to serve on the Board until the next annual meeting of shareholders, or until their successors are duly elected and qualified, or until his or her earlier resignation or removal.</w:t>
      </w:r>
    </w:p>
    <w:p>
      <w:pPr>
        <w:spacing w:after="0" w:line="12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If any nominee becomes unable to serve, proxies will be voted for the election of such other person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as the Board may designate unless the Board chooses to reduce the number of directors. Each of the directors has consented to serving as a nominee, being named in this Proxy Statement, and serving on the Board if elected.</w:t>
      </w:r>
    </w:p>
    <w:p>
      <w:pPr>
        <w:spacing w:after="0" w:line="1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The Board believes that GM has the right Board at the right time and that these directors collectively possess the right mix of skills, qualifications, and experiences to make strategic decisions that strengthen our business today and position it for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237490</wp:posOffset>
            </wp:positionV>
            <wp:extent cx="6938010" cy="6711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38010" cy="67119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tbl>
      <w:tblPr>
        <w:tblLayout w:type="fixed"/>
        <w:tblInd w:w="500" w:type="dxa"/>
        <w:tblCellMar>
          <w:top w:w="0" w:type="dxa"/>
          <w:left w:w="0" w:type="dxa"/>
          <w:bottom w:w="0" w:type="dxa"/>
          <w:right w:w="0" w:type="dxa"/>
        </w:tblCellMar>
      </w:tblPr>
      <w:tr>
        <w:trPr>
          <w:trHeight w:val="330"/>
        </w:trPr>
        <w:tc>
          <w:tcPr>
            <w:tcW w:w="818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each of the nominees.</w:t>
            </w:r>
          </w:p>
        </w:tc>
        <w:tc>
          <w:tcPr>
            <w:tcW w:w="1860" w:type="dxa"/>
            <w:vAlign w:val="bottom"/>
            <w:vMerge w:val="restart"/>
          </w:tcPr>
          <w:p>
            <w:pPr>
              <w:ind w:left="1260"/>
              <w:spacing w:after="0"/>
              <w:rPr>
                <w:sz w:val="20"/>
                <w:szCs w:val="20"/>
                <w:color w:val="auto"/>
              </w:rPr>
            </w:pPr>
            <w:r>
              <w:rPr>
                <w:rFonts w:ascii="Arial" w:cs="Arial" w:eastAsia="Arial" w:hAnsi="Arial"/>
                <w:sz w:val="29"/>
                <w:szCs w:val="29"/>
                <w:b w:val="1"/>
                <w:bCs w:val="1"/>
                <w:color w:val="0071CE"/>
                <w:w w:val="94"/>
              </w:rPr>
              <w:t>FOR</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234315</wp:posOffset>
            </wp:positionV>
            <wp:extent cx="5927725" cy="1016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353"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0071CE"/>
        </w:rPr>
        <w:t>85</w:t>
      </w:r>
    </w:p>
    <w:p>
      <w:pPr>
        <w:sectPr>
          <w:pgSz w:w="11900" w:h="16838" w:orient="portrait"/>
          <w:cols w:equalWidth="0" w:num="1">
            <w:col w:w="11080"/>
          </w:cols>
          <w:pgMar w:left="320" w:top="456" w:right="49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860" w:right="880" w:hanging="2701"/>
        <w:spacing w:after="0" w:line="263" w:lineRule="auto"/>
        <w:tabs>
          <w:tab w:leader="none" w:pos="2840" w:val="left"/>
        </w:tabs>
        <w:rPr>
          <w:sz w:val="20"/>
          <w:szCs w:val="20"/>
          <w:color w:val="auto"/>
        </w:rPr>
      </w:pPr>
      <w:r>
        <w:rPr>
          <w:rFonts w:ascii="Arial" w:cs="Arial" w:eastAsia="Arial" w:hAnsi="Arial"/>
          <w:sz w:val="39"/>
          <w:szCs w:val="39"/>
          <w:b w:val="1"/>
          <w:bCs w:val="1"/>
          <w:color w:val="3E3935"/>
        </w:rPr>
        <w:t>ITEM NO. 2:</w:t>
      </w:r>
      <w:r>
        <w:rPr>
          <w:rFonts w:ascii="Arial" w:cs="Arial" w:eastAsia="Arial" w:hAnsi="Arial"/>
          <w:sz w:val="39"/>
          <w:szCs w:val="39"/>
          <w:b w:val="1"/>
          <w:bCs w:val="1"/>
          <w:color w:val="00C1DE"/>
        </w:rPr>
        <w:tab/>
        <w:t>BOARD PROPOSAL TO APPROVE, ON AN ADVISORY BASIS, NAMED EXECUTIVE OFFICER COMPENSATION</w:t>
      </w:r>
    </w:p>
    <w:p>
      <w:pPr>
        <w:sectPr>
          <w:pgSz w:w="11900" w:h="16838" w:orient="portrait"/>
          <w:cols w:equalWidth="0" w:num="1">
            <w:col w:w="11080"/>
          </w:cols>
          <w:pgMar w:left="320" w:top="456" w:right="499" w:bottom="1440" w:gutter="0" w:footer="0" w:header="0"/>
        </w:sectPr>
      </w:pPr>
    </w:p>
    <w:p>
      <w:pPr>
        <w:spacing w:after="0" w:line="305"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w:t>
      </w:r>
    </w:p>
    <w:p>
      <w:pPr>
        <w:spacing w:after="0" w:line="19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Compensation Committee has approved the compensation arrangements for our NEOs described in the Executive Compensation section beginning on page 41 and the accompanying compensation tables beginning on page 69 of this Proxy Statement. We urge you to read the Compensation Discussion and Analysis for a more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complete understanding of our executive compensation plans, including our compensation philosophy, our objectives, and the 2020 compensation of our NEOs.</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We are asking shareholders to vote in favor of the following resolution:</w:t>
      </w:r>
    </w:p>
    <w:p>
      <w:pPr>
        <w:spacing w:after="0" w:line="1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3E3935"/>
        </w:rPr>
        <w:t xml:space="preserve">RESOLVED, </w:t>
      </w:r>
      <w:r>
        <w:rPr>
          <w:rFonts w:ascii="Arial" w:cs="Arial" w:eastAsia="Arial" w:hAnsi="Arial"/>
          <w:sz w:val="20"/>
          <w:szCs w:val="20"/>
          <w:color w:val="3E3935"/>
        </w:rPr>
        <w:t>that the compensation paid to the Company’s</w:t>
      </w:r>
      <w:r>
        <w:rPr>
          <w:rFonts w:ascii="Arial" w:cs="Arial" w:eastAsia="Arial" w:hAnsi="Arial"/>
          <w:sz w:val="20"/>
          <w:szCs w:val="20"/>
          <w:b w:val="1"/>
          <w:bCs w:val="1"/>
          <w:color w:val="3E3935"/>
        </w:rPr>
        <w:t xml:space="preserve"> </w:t>
      </w:r>
      <w:r>
        <w:rPr>
          <w:rFonts w:ascii="Arial" w:cs="Arial" w:eastAsia="Arial" w:hAnsi="Arial"/>
          <w:sz w:val="20"/>
          <w:szCs w:val="20"/>
          <w:color w:val="3E3935"/>
        </w:rPr>
        <w:t>named executive officers, as disclosed pursuant to Item 402 of Regulation S-K, including the Compensation Discussion and Analysis, compensation tables, and the related narrative discussion, is hereby APPROVED.</w:t>
      </w:r>
    </w:p>
    <w:p>
      <w:pPr>
        <w:spacing w:after="0" w:line="1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Although the vote on this item is non-binding, the Board of Directors and the Compensation Committee value the opinions of our shareholders and will consider the outcome of the vote when making future compensation decisions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389890</wp:posOffset>
            </wp:positionV>
            <wp:extent cx="6938010" cy="6711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38010" cy="671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294"/>
        </w:trPr>
        <w:tc>
          <w:tcPr>
            <w:tcW w:w="884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the advisory proposal to approve</w:t>
            </w:r>
          </w:p>
        </w:tc>
        <w:tc>
          <w:tcPr>
            <w:tcW w:w="1200" w:type="dxa"/>
            <w:vAlign w:val="bottom"/>
          </w:tcPr>
          <w:p>
            <w:pPr>
              <w:spacing w:after="0"/>
              <w:rPr>
                <w:sz w:val="24"/>
                <w:szCs w:val="24"/>
                <w:color w:val="auto"/>
              </w:rPr>
            </w:pPr>
          </w:p>
        </w:tc>
      </w:tr>
      <w:tr>
        <w:trPr>
          <w:trHeight w:val="382"/>
        </w:trPr>
        <w:tc>
          <w:tcPr>
            <w:tcW w:w="8840" w:type="dxa"/>
            <w:vAlign w:val="bottom"/>
          </w:tcPr>
          <w:p>
            <w:pPr>
              <w:spacing w:after="0"/>
              <w:rPr>
                <w:sz w:val="20"/>
                <w:szCs w:val="20"/>
                <w:color w:val="auto"/>
              </w:rPr>
            </w:pPr>
            <w:r>
              <w:rPr>
                <w:rFonts w:ascii="Arial" w:cs="Arial" w:eastAsia="Arial" w:hAnsi="Arial"/>
                <w:sz w:val="25"/>
                <w:szCs w:val="25"/>
                <w:b w:val="1"/>
                <w:bCs w:val="1"/>
                <w:color w:val="0071CE"/>
              </w:rPr>
              <w:t>named executive officer compensation.</w:t>
            </w:r>
          </w:p>
        </w:tc>
        <w:tc>
          <w:tcPr>
            <w:tcW w:w="1200" w:type="dxa"/>
            <w:vAlign w:val="bottom"/>
          </w:tcPr>
          <w:p>
            <w:pPr>
              <w:ind w:left="600"/>
              <w:spacing w:after="0"/>
              <w:rPr>
                <w:sz w:val="20"/>
                <w:szCs w:val="20"/>
                <w:color w:val="auto"/>
              </w:rPr>
            </w:pPr>
            <w:r>
              <w:rPr>
                <w:rFonts w:ascii="Arial" w:cs="Arial" w:eastAsia="Arial" w:hAnsi="Arial"/>
                <w:sz w:val="29"/>
                <w:szCs w:val="29"/>
                <w:b w:val="1"/>
                <w:bCs w:val="1"/>
                <w:color w:val="0071CE"/>
                <w:w w:val="94"/>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234315</wp:posOffset>
            </wp:positionV>
            <wp:extent cx="5927725" cy="1016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353"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86</w:t>
      </w:r>
    </w:p>
    <w:p>
      <w:pPr>
        <w:sectPr>
          <w:pgSz w:w="11900" w:h="16838" w:orient="portrait"/>
          <w:cols w:equalWidth="0" w:num="1">
            <w:col w:w="11080"/>
          </w:cols>
          <w:pgMar w:left="320" w:top="456" w:right="4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860" w:right="1100" w:hanging="2701"/>
        <w:spacing w:after="0" w:line="253" w:lineRule="auto"/>
        <w:tabs>
          <w:tab w:leader="none" w:pos="2840" w:val="left"/>
        </w:tabs>
        <w:rPr>
          <w:sz w:val="20"/>
          <w:szCs w:val="20"/>
          <w:color w:val="auto"/>
        </w:rPr>
      </w:pPr>
      <w:r>
        <w:rPr>
          <w:rFonts w:ascii="Arial" w:cs="Arial" w:eastAsia="Arial" w:hAnsi="Arial"/>
          <w:sz w:val="39"/>
          <w:szCs w:val="39"/>
          <w:b w:val="1"/>
          <w:bCs w:val="1"/>
          <w:color w:val="3E3935"/>
        </w:rPr>
        <w:t>ITEM NO. 3:</w:t>
      </w:r>
      <w:r>
        <w:rPr>
          <w:rFonts w:ascii="Arial" w:cs="Arial" w:eastAsia="Arial" w:hAnsi="Arial"/>
          <w:sz w:val="39"/>
          <w:szCs w:val="39"/>
          <w:b w:val="1"/>
          <w:bCs w:val="1"/>
          <w:color w:val="00C1DE"/>
        </w:rPr>
        <w:tab/>
        <w:t>BOARD PROPOSAL TO RATIFY THE SELECTION OF ERNST &amp; YOUNG LLP AS THE COMPANY’S INDEPENDENT REGISTERED PUBLIC ACCOUNTING FIRM FOR 2021</w:t>
      </w:r>
    </w:p>
    <w:p>
      <w:pPr>
        <w:sectPr>
          <w:pgSz w:w="11900" w:h="16838" w:orient="portrait"/>
          <w:cols w:equalWidth="0" w:num="1">
            <w:col w:w="11100"/>
          </w:cols>
          <w:pgMar w:left="320" w:top="456" w:right="479" w:bottom="1440" w:gutter="0" w:footer="0" w:header="0"/>
        </w:sectPr>
      </w:pPr>
    </w:p>
    <w:p>
      <w:pPr>
        <w:spacing w:after="0" w:line="325"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The Audit Committee is directly responsible for the appointment, compensation, retention, and oversight of the Company’s independent registered public accounting firm retained to audit the Company’s financial statements.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as the Company’s independent auditors for the fiscal year ending December 31, 2021.</w:t>
      </w:r>
    </w:p>
    <w:p>
      <w:pPr>
        <w:spacing w:after="0" w:line="105"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b w:val="1"/>
          <w:bCs w:val="1"/>
          <w:i w:val="1"/>
          <w:iCs w:val="1"/>
          <w:color w:val="0071CE"/>
        </w:rPr>
        <w:t xml:space="preserve">Criteria for Re-Engaging EY. </w:t>
      </w:r>
      <w:r>
        <w:rPr>
          <w:rFonts w:ascii="Arial" w:cs="Arial" w:eastAsia="Arial" w:hAnsi="Arial"/>
          <w:sz w:val="20"/>
          <w:szCs w:val="20"/>
          <w:color w:val="3E3935"/>
        </w:rPr>
        <w:t>EY has served as the</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Company’s independent registered public accounting firm since 2017 when the Audit Committee selected them as part of a competitive and comprehensive request for proposal (“RFP”) process. Through this RFP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3E3935"/>
        </w:rPr>
        <w:t>retention of EY as our independent auditors is in the best interests of our shareholders.</w:t>
      </w:r>
    </w:p>
    <w:p>
      <w:pPr>
        <w:spacing w:after="0" w:line="103"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i w:val="1"/>
          <w:iCs w:val="1"/>
          <w:color w:val="0071CE"/>
        </w:rPr>
        <w:t xml:space="preserve">Shareholder Ratification of Our Selection of EY. </w:t>
      </w:r>
      <w:r>
        <w:rPr>
          <w:rFonts w:ascii="Arial" w:cs="Arial" w:eastAsia="Arial" w:hAnsi="Arial"/>
          <w:sz w:val="19"/>
          <w:szCs w:val="19"/>
          <w:color w:val="3E3935"/>
        </w:rPr>
        <w:t>As a</w:t>
      </w:r>
      <w:r>
        <w:rPr>
          <w:rFonts w:ascii="Arial" w:cs="Arial" w:eastAsia="Arial" w:hAnsi="Arial"/>
          <w:sz w:val="19"/>
          <w:szCs w:val="19"/>
          <w:b w:val="1"/>
          <w:bCs w:val="1"/>
          <w:i w:val="1"/>
          <w:iCs w:val="1"/>
          <w:color w:val="0071CE"/>
        </w:rPr>
        <w:t xml:space="preserve"> </w:t>
      </w:r>
      <w:r>
        <w:rPr>
          <w:rFonts w:ascii="Arial" w:cs="Arial" w:eastAsia="Arial" w:hAnsi="Arial"/>
          <w:sz w:val="19"/>
          <w:szCs w:val="19"/>
          <w:color w:val="3E3935"/>
        </w:rPr>
        <w:t>matter of good corporate governance, the Board submits the 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104"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i w:val="1"/>
          <w:iCs w:val="1"/>
          <w:color w:val="0071CE"/>
        </w:rPr>
        <w:t xml:space="preserve">We Expect EY to Attend Our Annual Meeting. </w:t>
      </w:r>
      <w:r>
        <w:rPr>
          <w:rFonts w:ascii="Arial" w:cs="Arial" w:eastAsia="Arial" w:hAnsi="Arial"/>
          <w:sz w:val="20"/>
          <w:szCs w:val="20"/>
          <w:color w:val="3E3935"/>
        </w:rPr>
        <w:t>We expect</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that representatives of EY will be present at the Annual Meeting. They will have an opportunity to make a statement if they so desire and are expected to be available to respond to appropriate questions from shareholders.</w:t>
      </w:r>
    </w:p>
    <w:p>
      <w:pPr>
        <w:spacing w:after="0" w:line="116" w:lineRule="exact"/>
        <w:rPr>
          <w:sz w:val="20"/>
          <w:szCs w:val="20"/>
          <w:color w:val="auto"/>
        </w:rPr>
      </w:pPr>
    </w:p>
    <w:p>
      <w:pPr>
        <w:jc w:val="both"/>
        <w:ind w:right="20"/>
        <w:spacing w:after="0" w:line="228" w:lineRule="auto"/>
        <w:rPr>
          <w:sz w:val="20"/>
          <w:szCs w:val="20"/>
          <w:color w:val="auto"/>
        </w:rPr>
      </w:pPr>
      <w:r>
        <w:rPr>
          <w:rFonts w:ascii="Arial" w:cs="Arial" w:eastAsia="Arial" w:hAnsi="Arial"/>
          <w:sz w:val="20"/>
          <w:szCs w:val="20"/>
          <w:color w:val="3E3935"/>
        </w:rPr>
        <w:t>For additional information concerning the Audit Committee and its activities with EY, see “Corporate Governance—Board Committees” on page 18 and the “Audit Committee Report” on pages 38 to 39 of this Proxy Statement.</w:t>
      </w:r>
    </w:p>
    <w:p>
      <w:pPr>
        <w:spacing w:after="0" w:line="557"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157" w:lineRule="exact"/>
        <w:rPr>
          <w:sz w:val="20"/>
          <w:szCs w:val="20"/>
          <w:color w:val="auto"/>
        </w:rPr>
      </w:pPr>
    </w:p>
    <w:tbl>
      <w:tblPr>
        <w:tblLayout w:type="fixed"/>
        <w:tblInd w:w="170" w:type="dxa"/>
        <w:tblCellMar>
          <w:top w:w="0" w:type="dxa"/>
          <w:left w:w="0" w:type="dxa"/>
          <w:bottom w:w="0" w:type="dxa"/>
          <w:right w:w="0" w:type="dxa"/>
        </w:tblCellMar>
      </w:tblPr>
      <w:tr>
        <w:trPr>
          <w:trHeight w:val="374"/>
        </w:trPr>
        <w:tc>
          <w:tcPr>
            <w:tcW w:w="9200" w:type="dxa"/>
            <w:vAlign w:val="bottom"/>
            <w:tcBorders>
              <w:top w:val="single" w:sz="8" w:color="3E3935"/>
              <w:left w:val="single" w:sz="8" w:color="3E3935"/>
              <w:right w:val="single" w:sz="8" w:color="3E3935"/>
            </w:tcBorders>
            <w:gridSpan w:val="3"/>
            <w:shd w:val="clear" w:color="auto" w:fill="F1F1F0"/>
          </w:tcPr>
          <w:p>
            <w:pPr>
              <w:ind w:left="340"/>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color w:val="00C1DE"/>
              </w:rPr>
              <w:t>FOR</w:t>
            </w:r>
            <w:r>
              <w:rPr>
                <w:rFonts w:ascii="Arial" w:cs="Arial" w:eastAsia="Arial" w:hAnsi="Arial"/>
                <w:sz w:val="25"/>
                <w:szCs w:val="25"/>
                <w:b w:val="1"/>
                <w:bCs w:val="1"/>
                <w:color w:val="0071CE"/>
              </w:rPr>
              <w:t xml:space="preserve"> the proposal to ratify the selection of</w:t>
            </w:r>
          </w:p>
        </w:tc>
        <w:tc>
          <w:tcPr>
            <w:tcW w:w="1740" w:type="dxa"/>
            <w:vAlign w:val="bottom"/>
            <w:tcBorders>
              <w:top w:val="single" w:sz="8" w:color="3E3935"/>
              <w:right w:val="single" w:sz="8" w:color="3E3935"/>
            </w:tcBorders>
            <w:shd w:val="clear" w:color="auto" w:fill="F1F1F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Borders>
              <w:left w:val="single" w:sz="8" w:color="3E3935"/>
            </w:tcBorders>
            <w:shd w:val="clear" w:color="auto" w:fill="F1F1F0"/>
          </w:tcPr>
          <w:p>
            <w:pPr>
              <w:spacing w:after="0" w:line="20" w:lineRule="exact"/>
              <w:rPr>
                <w:sz w:val="1"/>
                <w:szCs w:val="1"/>
                <w:color w:val="auto"/>
              </w:rPr>
            </w:pPr>
          </w:p>
        </w:tc>
        <w:tc>
          <w:tcPr>
            <w:tcW w:w="520" w:type="dxa"/>
            <w:vAlign w:val="bottom"/>
            <w:shd w:val="clear" w:color="auto" w:fill="00C1DE"/>
          </w:tcPr>
          <w:p>
            <w:pPr>
              <w:spacing w:after="0" w:line="20" w:lineRule="exact"/>
              <w:rPr>
                <w:sz w:val="1"/>
                <w:szCs w:val="1"/>
                <w:color w:val="auto"/>
              </w:rPr>
            </w:pPr>
          </w:p>
        </w:tc>
        <w:tc>
          <w:tcPr>
            <w:tcW w:w="4620" w:type="dxa"/>
            <w:vAlign w:val="bottom"/>
            <w:tcBorders>
              <w:right w:val="single" w:sz="8" w:color="3E3935"/>
            </w:tcBorders>
            <w:shd w:val="clear" w:color="auto" w:fill="F1F1F0"/>
          </w:tcPr>
          <w:p>
            <w:pPr>
              <w:spacing w:after="0" w:line="20" w:lineRule="exact"/>
              <w:rPr>
                <w:sz w:val="1"/>
                <w:szCs w:val="1"/>
                <w:color w:val="auto"/>
              </w:rPr>
            </w:pPr>
          </w:p>
        </w:tc>
        <w:tc>
          <w:tcPr>
            <w:tcW w:w="1740" w:type="dxa"/>
            <w:vAlign w:val="bottom"/>
            <w:tcBorders>
              <w:right w:val="single" w:sz="8" w:color="3E3935"/>
            </w:tcBorders>
            <w:shd w:val="clear" w:color="auto" w:fill="F1F1F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200" w:type="dxa"/>
            <w:vAlign w:val="bottom"/>
            <w:tcBorders>
              <w:left w:val="single" w:sz="8" w:color="3E3935"/>
              <w:right w:val="single" w:sz="8" w:color="3E3935"/>
            </w:tcBorders>
            <w:gridSpan w:val="3"/>
            <w:shd w:val="clear" w:color="auto" w:fill="F1F1F0"/>
          </w:tcPr>
          <w:p>
            <w:pPr>
              <w:ind w:left="340"/>
              <w:spacing w:after="0"/>
              <w:rPr>
                <w:sz w:val="20"/>
                <w:szCs w:val="20"/>
                <w:color w:val="auto"/>
              </w:rPr>
            </w:pPr>
            <w:r>
              <w:rPr>
                <w:rFonts w:ascii="Arial" w:cs="Arial" w:eastAsia="Arial" w:hAnsi="Arial"/>
                <w:sz w:val="25"/>
                <w:szCs w:val="25"/>
                <w:b w:val="1"/>
                <w:bCs w:val="1"/>
                <w:color w:val="0071CE"/>
              </w:rPr>
              <w:t>Ernst &amp; Young LLP as the independent registered public accounting firm</w:t>
            </w:r>
          </w:p>
        </w:tc>
        <w:tc>
          <w:tcPr>
            <w:tcW w:w="1740" w:type="dxa"/>
            <w:vAlign w:val="bottom"/>
            <w:tcBorders>
              <w:right w:val="single" w:sz="8" w:color="3E3935"/>
            </w:tcBorders>
            <w:vMerge w:val="restart"/>
            <w:shd w:val="clear" w:color="auto" w:fill="F1F1F0"/>
          </w:tcPr>
          <w:p>
            <w:pPr>
              <w:ind w:left="580"/>
              <w:spacing w:after="0"/>
              <w:rPr>
                <w:sz w:val="20"/>
                <w:szCs w:val="20"/>
                <w:color w:val="auto"/>
              </w:rPr>
            </w:pPr>
            <w:r>
              <w:rPr>
                <w:rFonts w:ascii="Arial" w:cs="Arial" w:eastAsia="Arial" w:hAnsi="Arial"/>
                <w:sz w:val="29"/>
                <w:szCs w:val="29"/>
                <w:b w:val="1"/>
                <w:bCs w:val="1"/>
                <w:color w:val="0071CE"/>
              </w:rPr>
              <w:t>FOR</w:t>
            </w:r>
          </w:p>
        </w:tc>
        <w:tc>
          <w:tcPr>
            <w:tcW w:w="0" w:type="dxa"/>
            <w:vAlign w:val="bottom"/>
          </w:tcPr>
          <w:p>
            <w:pPr>
              <w:spacing w:after="0"/>
              <w:rPr>
                <w:sz w:val="1"/>
                <w:szCs w:val="1"/>
                <w:color w:val="auto"/>
              </w:rPr>
            </w:pPr>
          </w:p>
        </w:tc>
      </w:tr>
      <w:tr>
        <w:trPr>
          <w:trHeight w:val="221"/>
        </w:trPr>
        <w:tc>
          <w:tcPr>
            <w:tcW w:w="9200" w:type="dxa"/>
            <w:vAlign w:val="bottom"/>
            <w:tcBorders>
              <w:left w:val="single" w:sz="8" w:color="3E3935"/>
              <w:right w:val="single" w:sz="8" w:color="3E3935"/>
            </w:tcBorders>
            <w:gridSpan w:val="3"/>
            <w:vMerge w:val="restart"/>
            <w:shd w:val="clear" w:color="auto" w:fill="F1F1F0"/>
          </w:tcPr>
          <w:p>
            <w:pPr>
              <w:ind w:left="340"/>
              <w:spacing w:after="0"/>
              <w:rPr>
                <w:sz w:val="20"/>
                <w:szCs w:val="20"/>
                <w:color w:val="auto"/>
              </w:rPr>
            </w:pPr>
            <w:r>
              <w:rPr>
                <w:rFonts w:ascii="Arial" w:cs="Arial" w:eastAsia="Arial" w:hAnsi="Arial"/>
                <w:sz w:val="25"/>
                <w:szCs w:val="25"/>
                <w:b w:val="1"/>
                <w:bCs w:val="1"/>
                <w:color w:val="0071CE"/>
              </w:rPr>
              <w:t>for 2021.</w:t>
            </w:r>
          </w:p>
        </w:tc>
        <w:tc>
          <w:tcPr>
            <w:tcW w:w="1740" w:type="dxa"/>
            <w:vAlign w:val="bottom"/>
            <w:tcBorders>
              <w:right w:val="single" w:sz="8" w:color="3E3935"/>
            </w:tcBorders>
            <w:vMerge w:val="continue"/>
            <w:shd w:val="clear" w:color="auto" w:fill="F1F1F0"/>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200" w:type="dxa"/>
            <w:vAlign w:val="bottom"/>
            <w:tcBorders>
              <w:left w:val="single" w:sz="8" w:color="3E3935"/>
              <w:right w:val="single" w:sz="8" w:color="3E3935"/>
            </w:tcBorders>
            <w:gridSpan w:val="3"/>
            <w:vMerge w:val="continue"/>
            <w:shd w:val="clear" w:color="auto" w:fill="F1F1F0"/>
          </w:tcPr>
          <w:p>
            <w:pPr>
              <w:spacing w:after="0"/>
              <w:rPr>
                <w:sz w:val="9"/>
                <w:szCs w:val="9"/>
                <w:color w:val="auto"/>
              </w:rPr>
            </w:pPr>
          </w:p>
        </w:tc>
        <w:tc>
          <w:tcPr>
            <w:tcW w:w="1740" w:type="dxa"/>
            <w:vAlign w:val="bottom"/>
            <w:tcBorders>
              <w:right w:val="single" w:sz="8" w:color="3E3935"/>
            </w:tcBorders>
            <w:shd w:val="clear" w:color="auto" w:fill="F1F1F0"/>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060" w:type="dxa"/>
            <w:vAlign w:val="bottom"/>
            <w:tcBorders>
              <w:left w:val="single" w:sz="8" w:color="3E3935"/>
              <w:bottom w:val="single" w:sz="8" w:color="3E3935"/>
            </w:tcBorders>
            <w:shd w:val="clear" w:color="auto" w:fill="F1F1F0"/>
          </w:tcPr>
          <w:p>
            <w:pPr>
              <w:spacing w:after="0"/>
              <w:rPr>
                <w:sz w:val="17"/>
                <w:szCs w:val="17"/>
                <w:color w:val="auto"/>
              </w:rPr>
            </w:pPr>
          </w:p>
        </w:tc>
        <w:tc>
          <w:tcPr>
            <w:tcW w:w="520" w:type="dxa"/>
            <w:vAlign w:val="bottom"/>
            <w:tcBorders>
              <w:bottom w:val="single" w:sz="8" w:color="3E3935"/>
            </w:tcBorders>
            <w:shd w:val="clear" w:color="auto" w:fill="F1F1F0"/>
          </w:tcPr>
          <w:p>
            <w:pPr>
              <w:spacing w:after="0"/>
              <w:rPr>
                <w:sz w:val="17"/>
                <w:szCs w:val="17"/>
                <w:color w:val="auto"/>
              </w:rPr>
            </w:pPr>
          </w:p>
        </w:tc>
        <w:tc>
          <w:tcPr>
            <w:tcW w:w="4620" w:type="dxa"/>
            <w:vAlign w:val="bottom"/>
            <w:tcBorders>
              <w:bottom w:val="single" w:sz="8" w:color="3E3935"/>
              <w:right w:val="single" w:sz="8" w:color="3E3935"/>
            </w:tcBorders>
            <w:shd w:val="clear" w:color="auto" w:fill="F1F1F0"/>
          </w:tcPr>
          <w:p>
            <w:pPr>
              <w:spacing w:after="0"/>
              <w:rPr>
                <w:sz w:val="17"/>
                <w:szCs w:val="17"/>
                <w:color w:val="auto"/>
              </w:rPr>
            </w:pPr>
          </w:p>
        </w:tc>
        <w:tc>
          <w:tcPr>
            <w:tcW w:w="1740" w:type="dxa"/>
            <w:vAlign w:val="bottom"/>
            <w:tcBorders>
              <w:bottom w:val="single" w:sz="8" w:color="3E3935"/>
              <w:right w:val="single" w:sz="8" w:color="3E3935"/>
            </w:tcBorders>
            <w:shd w:val="clear" w:color="auto" w:fill="F1F1F0"/>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-653415</wp:posOffset>
            </wp:positionV>
            <wp:extent cx="237490" cy="2292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37490" cy="22923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93345</wp:posOffset>
            </wp:positionV>
            <wp:extent cx="5927725" cy="1016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2"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87</w:t>
      </w:r>
    </w:p>
    <w:p>
      <w:pPr>
        <w:sectPr>
          <w:pgSz w:w="11900" w:h="16838" w:orient="portrait"/>
          <w:cols w:equalWidth="0" w:num="1">
            <w:col w:w="11100"/>
          </w:cols>
          <w:pgMar w:left="320" w:top="456" w:right="4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60"/>
        <w:spacing w:after="0"/>
        <w:tabs>
          <w:tab w:leader="none" w:pos="2860" w:val="left"/>
        </w:tabs>
        <w:rPr>
          <w:sz w:val="20"/>
          <w:szCs w:val="20"/>
          <w:color w:val="auto"/>
        </w:rPr>
      </w:pPr>
      <w:r>
        <w:rPr>
          <w:rFonts w:ascii="Arial" w:cs="Arial" w:eastAsia="Arial" w:hAnsi="Arial"/>
          <w:sz w:val="39"/>
          <w:szCs w:val="39"/>
          <w:b w:val="1"/>
          <w:bCs w:val="1"/>
          <w:color w:val="3E3935"/>
        </w:rPr>
        <w:t>ITEM NO. 4:</w:t>
      </w:r>
      <w:r>
        <w:rPr>
          <w:rFonts w:ascii="Arial" w:cs="Arial" w:eastAsia="Arial" w:hAnsi="Arial"/>
          <w:sz w:val="39"/>
          <w:szCs w:val="39"/>
          <w:b w:val="1"/>
          <w:bCs w:val="1"/>
          <w:color w:val="00C1DE"/>
        </w:rPr>
        <w:tab/>
        <w:t>SHAREHOLDER PROPOSAL</w:t>
      </w:r>
    </w:p>
    <w:p>
      <w:pPr>
        <w:spacing w:after="0" w:line="56" w:lineRule="exact"/>
        <w:rPr>
          <w:sz w:val="20"/>
          <w:szCs w:val="20"/>
          <w:color w:val="auto"/>
        </w:rPr>
      </w:pPr>
    </w:p>
    <w:p>
      <w:pPr>
        <w:ind w:left="2880"/>
        <w:spacing w:after="0"/>
        <w:rPr>
          <w:sz w:val="20"/>
          <w:szCs w:val="20"/>
          <w:color w:val="auto"/>
        </w:rPr>
      </w:pPr>
      <w:r>
        <w:rPr>
          <w:rFonts w:ascii="Arial" w:cs="Arial" w:eastAsia="Arial" w:hAnsi="Arial"/>
          <w:sz w:val="39"/>
          <w:szCs w:val="39"/>
          <w:b w:val="1"/>
          <w:bCs w:val="1"/>
          <w:color w:val="00C1DE"/>
        </w:rPr>
        <w:t>REGARDING SHAREHOLDER</w:t>
      </w:r>
    </w:p>
    <w:p>
      <w:pPr>
        <w:spacing w:after="0" w:line="6" w:lineRule="exact"/>
        <w:rPr>
          <w:sz w:val="20"/>
          <w:szCs w:val="20"/>
          <w:color w:val="auto"/>
        </w:rPr>
      </w:pPr>
    </w:p>
    <w:p>
      <w:pPr>
        <w:ind w:left="2880"/>
        <w:spacing w:after="0"/>
        <w:rPr>
          <w:sz w:val="20"/>
          <w:szCs w:val="20"/>
          <w:color w:val="auto"/>
        </w:rPr>
      </w:pPr>
      <w:r>
        <w:rPr>
          <w:rFonts w:ascii="Arial" w:cs="Arial" w:eastAsia="Arial" w:hAnsi="Arial"/>
          <w:sz w:val="39"/>
          <w:szCs w:val="39"/>
          <w:b w:val="1"/>
          <w:bCs w:val="1"/>
          <w:color w:val="00C1DE"/>
        </w:rPr>
        <w:t>WRITTEN CONSENT</w:t>
      </w:r>
    </w:p>
    <w:p>
      <w:pPr>
        <w:spacing w:after="0" w:line="271" w:lineRule="exact"/>
        <w:rPr>
          <w:sz w:val="20"/>
          <w:szCs w:val="20"/>
          <w:color w:val="auto"/>
        </w:rPr>
      </w:pPr>
    </w:p>
    <w:p>
      <w:pPr>
        <w:jc w:val="both"/>
        <w:ind w:left="160"/>
        <w:spacing w:after="0" w:line="237" w:lineRule="auto"/>
        <w:rPr>
          <w:sz w:val="20"/>
          <w:szCs w:val="20"/>
          <w:color w:val="auto"/>
        </w:rPr>
      </w:pPr>
      <w:r>
        <w:rPr>
          <w:rFonts w:ascii="Arial" w:cs="Arial" w:eastAsia="Arial" w:hAnsi="Arial"/>
          <w:sz w:val="20"/>
          <w:szCs w:val="20"/>
          <w:i w:val="1"/>
          <w:iCs w:val="1"/>
          <w:color w:val="3E3935"/>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57785</wp:posOffset>
            </wp:positionV>
            <wp:extent cx="69297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04"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3E3935"/>
        </w:rPr>
        <w:t>Proposal 4 – 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2794000" cy="5518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94000"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Shareholders request that our board of directors take such steps as may be necessary to permit written consent by shareholders entitled to cast the minimum number of votes that would be necessary to authorize the action at a meeting at which all shareholders entitled to vote thereon were present and voting. This written consent is to give shareholders the fullest power to act by written consent consistent with applicable law. This includes shareholder ability to initiate any appropriate topic for written consent.</w:t>
      </w:r>
    </w:p>
    <w:p>
      <w:pPr>
        <w:spacing w:after="0" w:line="11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This proposal topic won 95%-support at Dover Corporation and 88%-support at AT&amp;T. It also won our 40% support at our 2019 annual meeting. The 40% support was likely close to majority support from shareholders who have access to independent proxy voting advice.</w:t>
      </w:r>
    </w:p>
    <w:p>
      <w:pPr>
        <w:spacing w:after="0" w:line="12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It is particularly important to have a shareholder right to act by written consent due to our lame right to call for a special shareholder meeting. It takes 32% of the shares, that typically cast a GM ballot, to call a shareholder special meeting.</w:t>
      </w:r>
    </w:p>
    <w:p>
      <w:pPr>
        <w:spacing w:after="0" w:line="129"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A shareholder right to act by written consent affords GM management strong protection for management resistance to modernization during the current rapidly changing business environment. Due to the low shareholder participation in annual meeting elections any action taken by written consent would still need more than 65% supermajority approval from the shares that normally cast ballots at the GM annual meeting to equal a majority from the GM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171450</wp:posOffset>
            </wp:positionV>
            <wp:extent cx="5927725" cy="1016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3E3935"/>
        </w:rPr>
        <w:t>A cornerstone of the 2020 management argument regarding written consent was that with special shareholder meetings shareholders can “express their views” on important shareholder proposals. This has been completely blown out of the water in 2019 when GM switched to online meetings before there was even a pandemic. Now in order to be sure of speaking at a GM annual meeting one must submit a proposal like this proposal 5-months in advance.</w:t>
      </w:r>
    </w:p>
    <w:p>
      <w:pPr>
        <w:spacing w:after="0" w:line="12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With the near universal use of tightly controlled online annual shareholder meetings, which can be only 10-minutes of stilted formalities, shareholders are severely restricted in deliberating and making their views known because all challenging questions and comments can be screened out by management.</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3E3935"/>
        </w:rPr>
        <w:t>For instance the Goodyear online shareholder meeting was spoiled by a trigger-happy management mute button for shareholders that was used to quash constructive criticism. AT&amp;T, with 3000 institutional shareholders, did not even allow shareholders to speak at its online shareholder meeting.</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Taking action by written consent in place of a meeting is a means shareholders can use to raise important matters outside the normal annual meeting cycle like the election of a new director.</w:t>
      </w:r>
    </w:p>
    <w:p>
      <w:pPr>
        <w:spacing w:after="0" w:line="1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For instance Ms. Patricia Russo, who chaired the GM Governance Committee, received the most negative director votes in 2020—6-times the negative votes received by Ms. Linda Gooden. Plus Ms. Russo seems to be unaware that written consent can be structured so that all shareholders receive notice.</w:t>
      </w:r>
    </w:p>
    <w:p>
      <w:pPr>
        <w:spacing w:after="0" w:line="102" w:lineRule="exact"/>
        <w:rPr>
          <w:sz w:val="20"/>
          <w:szCs w:val="20"/>
          <w:color w:val="auto"/>
        </w:rPr>
      </w:pPr>
    </w:p>
    <w:p>
      <w:pPr>
        <w:ind w:right="540"/>
        <w:spacing w:after="0" w:line="254" w:lineRule="auto"/>
        <w:rPr>
          <w:sz w:val="20"/>
          <w:szCs w:val="20"/>
          <w:color w:val="auto"/>
        </w:rPr>
      </w:pPr>
      <w:r>
        <w:rPr>
          <w:rFonts w:ascii="Arial" w:cs="Arial" w:eastAsia="Arial" w:hAnsi="Arial"/>
          <w:sz w:val="20"/>
          <w:szCs w:val="20"/>
          <w:color w:val="3E3935"/>
        </w:rPr>
        <w:t xml:space="preserve">Please vote yes: </w:t>
      </w:r>
      <w:r>
        <w:rPr>
          <w:rFonts w:ascii="Arial" w:cs="Arial" w:eastAsia="Arial" w:hAnsi="Arial"/>
          <w:sz w:val="20"/>
          <w:szCs w:val="20"/>
          <w:b w:val="1"/>
          <w:bCs w:val="1"/>
          <w:color w:val="3E3935"/>
        </w:rPr>
        <w:t>Shareholder Right to Act by Written</w:t>
      </w:r>
      <w:r>
        <w:rPr>
          <w:rFonts w:ascii="Arial" w:cs="Arial" w:eastAsia="Arial" w:hAnsi="Arial"/>
          <w:sz w:val="20"/>
          <w:szCs w:val="20"/>
          <w:color w:val="3E3935"/>
        </w:rPr>
        <w:t xml:space="preserve"> </w:t>
      </w:r>
      <w:r>
        <w:rPr>
          <w:rFonts w:ascii="Arial" w:cs="Arial" w:eastAsia="Arial" w:hAnsi="Arial"/>
          <w:sz w:val="20"/>
          <w:szCs w:val="20"/>
          <w:b w:val="1"/>
          <w:bCs w:val="1"/>
          <w:color w:val="3E3935"/>
        </w:rPr>
        <w:t>Consent — Proposal 4</w:t>
      </w:r>
    </w:p>
    <w:p>
      <w:pPr>
        <w:spacing w:after="0" w:line="768"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75"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88</w:t>
      </w:r>
    </w:p>
    <w:p>
      <w:pPr>
        <w:sectPr>
          <w:pgSz w:w="11900" w:h="16838" w:orient="portrait"/>
          <w:cols w:equalWidth="0" w:num="1">
            <w:col w:w="11080"/>
          </w:cols>
          <w:pgMar w:left="320" w:top="456" w:right="49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380" w:right="560"/>
        <w:spacing w:after="0" w:line="281"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0900"/>
          </w:cols>
          <w:pgMar w:left="320" w:top="456" w:right="679" w:bottom="1440" w:gutter="0" w:footer="0" w:header="0"/>
        </w:sectPr>
      </w:pPr>
    </w:p>
    <w:p>
      <w:pPr>
        <w:spacing w:after="0" w:line="232" w:lineRule="exact"/>
        <w:rPr>
          <w:sz w:val="20"/>
          <w:szCs w:val="20"/>
          <w:color w:val="auto"/>
        </w:rPr>
      </w:pPr>
    </w:p>
    <w:p>
      <w:pPr>
        <w:jc w:val="both"/>
        <w:ind w:left="340"/>
        <w:spacing w:after="0" w:line="260" w:lineRule="auto"/>
        <w:rPr>
          <w:sz w:val="20"/>
          <w:szCs w:val="20"/>
          <w:color w:val="auto"/>
        </w:rPr>
      </w:pPr>
      <w:r>
        <w:rPr>
          <w:rFonts w:ascii="Arial" w:cs="Arial" w:eastAsia="Arial" w:hAnsi="Arial"/>
          <w:sz w:val="21"/>
          <w:szCs w:val="21"/>
          <w:b w:val="1"/>
          <w:bCs w:val="1"/>
          <w:i w:val="1"/>
          <w:iCs w:val="1"/>
          <w:color w:val="3E3935"/>
        </w:rPr>
        <w:t>GM’s shareholders already have the ability to advance concerns outside the annual meeting process through special meetings.</w:t>
      </w:r>
    </w:p>
    <w:p>
      <w:pPr>
        <w:spacing w:after="0" w:line="207" w:lineRule="exact"/>
        <w:rPr>
          <w:sz w:val="20"/>
          <w:szCs w:val="20"/>
          <w:color w:val="auto"/>
        </w:rPr>
      </w:pPr>
    </w:p>
    <w:p>
      <w:pPr>
        <w:jc w:val="both"/>
        <w:ind w:left="340"/>
        <w:spacing w:after="0" w:line="225" w:lineRule="auto"/>
        <w:rPr>
          <w:sz w:val="20"/>
          <w:szCs w:val="20"/>
          <w:color w:val="auto"/>
        </w:rPr>
      </w:pPr>
      <w:r>
        <w:rPr>
          <w:rFonts w:ascii="Arial" w:cs="Arial" w:eastAsia="Arial" w:hAnsi="Arial"/>
          <w:sz w:val="20"/>
          <w:szCs w:val="20"/>
          <w:color w:val="3E3935"/>
        </w:rPr>
        <w:t>Shareholders that are able to demonstrate the requisite level of support can call for a special meeting of shareholders in order to advance their concerns and request shareholder action on a matter. Shareholders may call a special meeting with just 25% of shares that would be entitled to vote on a matter — not the 32% the proponent asserts and much less than the 50% threshold that would be needed to take most actions by written consent. The Board believes that this mechanism is preferable to a simple majority written consent provision because all shareholders have the opportunity to assess, discuss, deliberate, and vote on pending actions.</w:t>
      </w:r>
    </w:p>
    <w:p>
      <w:pPr>
        <w:spacing w:after="0" w:line="179" w:lineRule="exact"/>
        <w:rPr>
          <w:sz w:val="20"/>
          <w:szCs w:val="20"/>
          <w:color w:val="auto"/>
        </w:rPr>
      </w:pPr>
    </w:p>
    <w:p>
      <w:pPr>
        <w:jc w:val="both"/>
        <w:ind w:left="340"/>
        <w:spacing w:after="0" w:line="253" w:lineRule="auto"/>
        <w:rPr>
          <w:sz w:val="20"/>
          <w:szCs w:val="20"/>
          <w:color w:val="auto"/>
        </w:rPr>
      </w:pPr>
      <w:r>
        <w:rPr>
          <w:rFonts w:ascii="Arial" w:cs="Arial" w:eastAsia="Arial" w:hAnsi="Arial"/>
          <w:sz w:val="21"/>
          <w:szCs w:val="21"/>
          <w:b w:val="1"/>
          <w:bCs w:val="1"/>
          <w:i w:val="1"/>
          <w:iCs w:val="1"/>
          <w:color w:val="3E3935"/>
        </w:rPr>
        <w:t>A simple majority written consent provision is not in the best interests of all shareholders, each of whom deserves a chance to participate on pending actions.</w:t>
      </w:r>
    </w:p>
    <w:p>
      <w:pPr>
        <w:spacing w:after="0" w:line="201" w:lineRule="exact"/>
        <w:rPr>
          <w:sz w:val="20"/>
          <w:szCs w:val="20"/>
          <w:color w:val="auto"/>
        </w:rPr>
      </w:pPr>
    </w:p>
    <w:p>
      <w:pPr>
        <w:jc w:val="both"/>
        <w:ind w:left="340"/>
        <w:spacing w:after="0" w:line="225" w:lineRule="auto"/>
        <w:rPr>
          <w:sz w:val="20"/>
          <w:szCs w:val="20"/>
          <w:color w:val="auto"/>
        </w:rPr>
      </w:pPr>
      <w:r>
        <w:rPr>
          <w:rFonts w:ascii="Arial" w:cs="Arial" w:eastAsia="Arial" w:hAnsi="Arial"/>
          <w:sz w:val="20"/>
          <w:szCs w:val="20"/>
          <w:color w:val="3E3935"/>
        </w:rPr>
        <w:t>The Board believes that all shareholders — not just a simple majority — should have an opportunity to hear about and express their views on important shareholder proposals. Because a written consent need not be distributed to all shareholders entitled to vote on a matter, actions permitted to be taken by the written consent of a simple majority of shareholders could deprive many shareholders of the critical opportunity to assess, discuss, deliberate, and vote on pending actions. Notice of any such action by written consent after the fact similarly inhibits this important shareholder right.</w:t>
      </w:r>
    </w:p>
    <w:p>
      <w:pPr>
        <w:spacing w:after="0" w:line="223" w:lineRule="exact"/>
        <w:rPr>
          <w:sz w:val="20"/>
          <w:szCs w:val="20"/>
          <w:color w:val="auto"/>
        </w:rPr>
      </w:pPr>
    </w:p>
    <w:p>
      <w:pPr>
        <w:jc w:val="both"/>
        <w:ind w:left="340"/>
        <w:spacing w:after="0" w:line="225" w:lineRule="auto"/>
        <w:rPr>
          <w:sz w:val="20"/>
          <w:szCs w:val="20"/>
          <w:color w:val="auto"/>
        </w:rPr>
      </w:pPr>
      <w:r>
        <w:rPr>
          <w:rFonts w:ascii="Arial" w:cs="Arial" w:eastAsia="Arial" w:hAnsi="Arial"/>
          <w:sz w:val="20"/>
          <w:szCs w:val="20"/>
          <w:color w:val="3E3935"/>
        </w:rPr>
        <w:t>Further, a simple majority written consent provision would permit shareholders with special and short-term interests to bypass our existing procedural protections and marginalize smaller shareholders. It could also result in multiple shareholder groups soliciting written consents simultaneously, some of which may be duplicative or contradictory. In addition, the Board would not have the opportunity to consider the merits of the proposed action and provide its recommendation for shareholder consideration.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i w:val="1"/>
          <w:iCs w:val="1"/>
          <w:color w:val="3E3935"/>
        </w:rPr>
        <w:t>GM’s virtual annual meetings enhance shareholder participation while maintaining transparency and access to the Board.</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3E3935"/>
        </w:rPr>
        <w:t xml:space="preserve">The proponent argues that the proposal is particularly important due to GM’s transition to a virtual annual meeting in 2019 — suggesting shareholders no longer have an opportunity to address their fellow shareholders and advance their concerns. To the contrary, many more shareholders are attending our meetings than ever before. In 2019, the first year we held a virtual annual meeting, attendance more than tripled that of the prior five-year average at in-person meetings, and attendance at our 2020 meeting further increased by nearly 50%. In addition, GM’s virtual annual meetings permit shareholders an opportunity to speak and ask questions live during the meeting (via telephone and in writing), resulting in a more meaningful experience for our shareholders. A replay of our 2020 Annual Meeting of Shareholders and a summary of the shareholder questions we received (as well as GM’s responses) are available at </w:t>
      </w:r>
      <w:r>
        <w:rPr>
          <w:rFonts w:ascii="Arial" w:cs="Arial" w:eastAsia="Arial" w:hAnsi="Arial"/>
          <w:sz w:val="19"/>
          <w:szCs w:val="19"/>
          <w:i w:val="1"/>
          <w:iCs w:val="1"/>
          <w:color w:val="00C1DE"/>
        </w:rPr>
        <w:t>investor.gm.com/shareholder</w:t>
      </w:r>
      <w:r>
        <w:rPr>
          <w:rFonts w:ascii="Arial" w:cs="Arial" w:eastAsia="Arial" w:hAnsi="Arial"/>
          <w:sz w:val="19"/>
          <w:szCs w:val="19"/>
          <w:color w:val="3E3935"/>
        </w:rPr>
        <w:t>.</w:t>
      </w:r>
    </w:p>
    <w:p>
      <w:pPr>
        <w:spacing w:after="0" w:line="2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Further, contrary to the proponent’s assertion, GM’s decision to hold virtual annual meetings does not affect the ability of shareholders to call a special meeting, and GM does not screen out appropriate questions and commentary offered by shareholders at our annual meetings.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i w:val="1"/>
          <w:iCs w:val="1"/>
          <w:color w:val="3E3935"/>
        </w:rPr>
        <w:t>GM’s commitment to shareholder engagement and other governance best practices provides a meaningful voice for shareholders.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3E3935"/>
        </w:rPr>
        <w:t>The Board has adopted a variety of other practices and policies that enhance Board accountability to shareholders, including the annual election of directors, proxy access rights, an active shareholder engagement program, and an established channel for shareholder communication with the Board. See pages 27 to 28 of this Proxy Statement for more information regarding GM’s shareholder engagement practices and how you can contact the Board.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71CE"/>
        </w:rPr>
        <w:t xml:space="preserve">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396240</wp:posOffset>
            </wp:positionV>
            <wp:extent cx="5927725" cy="1016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5400" w:space="340"/>
            <w:col w:w="5160"/>
          </w:cols>
          <w:pgMar w:left="320" w:top="456" w:right="679" w:bottom="1440" w:gutter="0" w:footer="0" w:header="0"/>
          <w:type w:val="continuous"/>
        </w:sectPr>
      </w:pPr>
    </w:p>
    <w:p>
      <w:pPr>
        <w:spacing w:after="0" w:line="340" w:lineRule="exact"/>
        <w:rPr>
          <w:sz w:val="20"/>
          <w:szCs w:val="20"/>
          <w:color w:val="auto"/>
        </w:rPr>
      </w:pPr>
    </w:p>
    <w:p>
      <w:pPr>
        <w:jc w:val="center"/>
        <w:ind w:left="10100"/>
        <w:spacing w:after="0"/>
        <w:rPr>
          <w:sz w:val="20"/>
          <w:szCs w:val="20"/>
          <w:color w:val="auto"/>
        </w:rPr>
      </w:pPr>
      <w:r>
        <w:rPr>
          <w:rFonts w:ascii="Arial" w:cs="Arial" w:eastAsia="Arial" w:hAnsi="Arial"/>
          <w:sz w:val="14"/>
          <w:szCs w:val="14"/>
          <w:color w:val="0071CE"/>
        </w:rPr>
        <w:t>89</w:t>
      </w:r>
    </w:p>
    <w:p>
      <w:pPr>
        <w:sectPr>
          <w:pgSz w:w="11900" w:h="16838" w:orient="portrait"/>
          <w:cols w:equalWidth="0" w:num="1">
            <w:col w:w="10900"/>
          </w:cols>
          <w:pgMar w:left="320" w:top="456" w:right="67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60"/>
        <w:spacing w:after="0"/>
        <w:tabs>
          <w:tab w:leader="none" w:pos="2820" w:val="left"/>
        </w:tabs>
        <w:rPr>
          <w:sz w:val="20"/>
          <w:szCs w:val="20"/>
          <w:color w:val="auto"/>
        </w:rPr>
      </w:pPr>
      <w:r>
        <w:rPr>
          <w:rFonts w:ascii="Arial" w:cs="Arial" w:eastAsia="Arial" w:hAnsi="Arial"/>
          <w:sz w:val="39"/>
          <w:szCs w:val="39"/>
          <w:b w:val="1"/>
          <w:bCs w:val="1"/>
          <w:color w:val="3E3935"/>
        </w:rPr>
        <w:t>ITEM NO. 5:</w:t>
      </w:r>
      <w:r>
        <w:rPr>
          <w:rFonts w:ascii="Arial" w:cs="Arial" w:eastAsia="Arial" w:hAnsi="Arial"/>
          <w:sz w:val="39"/>
          <w:szCs w:val="39"/>
          <w:b w:val="1"/>
          <w:bCs w:val="1"/>
          <w:color w:val="00C1DE"/>
        </w:rPr>
        <w:tab/>
        <w:t>SHAREHOLDER PROPOSAL REGARDING</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39"/>
          <w:szCs w:val="39"/>
          <w:b w:val="1"/>
          <w:bCs w:val="1"/>
          <w:color w:val="00C1DE"/>
        </w:rPr>
        <w:t>A REPORT ON GREENHOUSE GAS</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39"/>
          <w:szCs w:val="39"/>
          <w:b w:val="1"/>
          <w:bCs w:val="1"/>
          <w:color w:val="00C1DE"/>
        </w:rPr>
        <w:t>EMISSIONS TARGETS AS A</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39"/>
          <w:szCs w:val="39"/>
          <w:b w:val="1"/>
          <w:bCs w:val="1"/>
          <w:color w:val="00C1DE"/>
        </w:rPr>
        <w:t>PERFORMANCE ELEMENT OF</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39"/>
          <w:szCs w:val="39"/>
          <w:b w:val="1"/>
          <w:bCs w:val="1"/>
          <w:color w:val="00C1DE"/>
        </w:rPr>
        <w:t>EXECUTIVE COMPENSATION</w:t>
      </w:r>
    </w:p>
    <w:p>
      <w:pPr>
        <w:spacing w:after="0" w:line="204" w:lineRule="exact"/>
        <w:rPr>
          <w:sz w:val="20"/>
          <w:szCs w:val="20"/>
          <w:color w:val="auto"/>
        </w:rPr>
      </w:pPr>
    </w:p>
    <w:p>
      <w:pPr>
        <w:jc w:val="both"/>
        <w:ind w:left="160"/>
        <w:spacing w:after="0" w:line="237" w:lineRule="auto"/>
        <w:rPr>
          <w:sz w:val="20"/>
          <w:szCs w:val="20"/>
          <w:color w:val="auto"/>
        </w:rPr>
      </w:pPr>
      <w:r>
        <w:rPr>
          <w:rFonts w:ascii="Arial" w:cs="Arial" w:eastAsia="Arial" w:hAnsi="Arial"/>
          <w:sz w:val="20"/>
          <w:szCs w:val="20"/>
          <w:i w:val="1"/>
          <w:iCs w:val="1"/>
          <w:color w:val="3E3935"/>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49530</wp:posOffset>
            </wp:positionV>
            <wp:extent cx="69297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04"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3E3935"/>
        </w:rPr>
        <w:t>Whereas</w:t>
      </w:r>
      <w:r>
        <w:rPr>
          <w:rFonts w:ascii="Arial" w:cs="Arial" w:eastAsia="Arial" w:hAnsi="Arial"/>
          <w:sz w:val="20"/>
          <w:szCs w:val="20"/>
          <w:color w:val="3E3935"/>
        </w:rPr>
        <w:t>: The increasing rate and number of climate-related disasters affecting society is causing alarms to be raised within the executive,</w:t>
      </w:r>
      <w:r>
        <w:rPr>
          <w:rFonts w:ascii="Arial" w:cs="Arial" w:eastAsia="Arial" w:hAnsi="Arial"/>
          <w:sz w:val="16"/>
          <w:szCs w:val="16"/>
          <w:color w:val="3E3935"/>
        </w:rPr>
        <w:t>1</w:t>
      </w:r>
      <w:r>
        <w:rPr>
          <w:rFonts w:ascii="Arial" w:cs="Arial" w:eastAsia="Arial" w:hAnsi="Arial"/>
          <w:sz w:val="20"/>
          <w:szCs w:val="20"/>
          <w:color w:val="3E3935"/>
        </w:rPr>
        <w:t xml:space="preserve"> legislative,</w:t>
      </w:r>
      <w:r>
        <w:rPr>
          <w:rFonts w:ascii="Arial" w:cs="Arial" w:eastAsia="Arial" w:hAnsi="Arial"/>
          <w:sz w:val="16"/>
          <w:szCs w:val="16"/>
          <w:color w:val="3E3935"/>
        </w:rPr>
        <w:t>2</w:t>
      </w:r>
      <w:r>
        <w:rPr>
          <w:rFonts w:ascii="Arial" w:cs="Arial" w:eastAsia="Arial" w:hAnsi="Arial"/>
          <w:sz w:val="20"/>
          <w:szCs w:val="20"/>
          <w:color w:val="3E3935"/>
        </w:rPr>
        <w:t xml:space="preserve"> and judicial</w:t>
      </w:r>
      <w:r>
        <w:rPr>
          <w:rFonts w:ascii="Arial" w:cs="Arial" w:eastAsia="Arial" w:hAnsi="Arial"/>
          <w:sz w:val="16"/>
          <w:szCs w:val="16"/>
          <w:color w:val="3E3935"/>
        </w:rPr>
        <w:t>3</w:t>
      </w:r>
      <w:r>
        <w:rPr>
          <w:rFonts w:ascii="Arial" w:cs="Arial" w:eastAsia="Arial" w:hAnsi="Arial"/>
          <w:sz w:val="20"/>
          <w:szCs w:val="20"/>
          <w:color w:val="3E3935"/>
        </w:rPr>
        <w:t xml:space="preserve"> branches of government, making the corporate sector’s contribution to climate mitigation a significant policy issue;</w:t>
      </w:r>
    </w:p>
    <w:p>
      <w:pPr>
        <w:spacing w:after="0" w:line="12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The Commodity Futures Trading Commission recently issued a report</w:t>
      </w:r>
      <w:r>
        <w:rPr>
          <w:rFonts w:ascii="Arial" w:cs="Arial" w:eastAsia="Arial" w:hAnsi="Arial"/>
          <w:sz w:val="16"/>
          <w:szCs w:val="16"/>
          <w:color w:val="3E3935"/>
        </w:rPr>
        <w:t>4</w:t>
      </w:r>
      <w:r>
        <w:rPr>
          <w:rFonts w:ascii="Arial" w:cs="Arial" w:eastAsia="Arial" w:hAnsi="Arial"/>
          <w:sz w:val="20"/>
          <w:szCs w:val="20"/>
          <w:color w:val="3E3935"/>
        </w:rPr>
        <w:t xml:space="preserve"> finding that climate change poses a significant risk to, and could impair the productive capacity of, the U.S. economy;</w:t>
      </w:r>
    </w:p>
    <w:p>
      <w:pPr>
        <w:spacing w:after="0" w:line="116"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Shareholders are increasingly concerned about material climate risk to both their companies and their portfolios and seek clear and consistent disclosures from the companies in which they invest;</w:t>
      </w:r>
    </w:p>
    <w:p>
      <w:pPr>
        <w:spacing w:after="0" w:line="129"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In response to material climate risk, the steering committee of the Climate Action 100+ initiative (CA100+), a coalition of more than 500 investors with $52 trillion in assets, issued a Net Zero Company Benchmark (Net Zero Benchmark) calling on the largest carbon emitting companies — including our Company — to work toward reducing greenhouse gas (GHG) emissions to net zero, improving climate governance, and providing specific climate related financial disclosures;</w:t>
      </w:r>
      <w:r>
        <w:rPr>
          <w:rFonts w:ascii="Arial" w:cs="Arial" w:eastAsia="Arial" w:hAnsi="Arial"/>
          <w:sz w:val="16"/>
          <w:szCs w:val="16"/>
          <w:color w:val="3E3935"/>
        </w:rPr>
        <w:t>5</w:t>
      </w:r>
    </w:p>
    <w:p>
      <w:pPr>
        <w:spacing w:after="0" w:line="13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An important indicator of company alignment with the Paris Agreement’s 1.5 degree goal is Sub- indicator 8.2, which seeks disclosure on whether the company’s executive remuneration scheme incorporates climate change performance elements (“Executive Remuneration Indicator”);</w:t>
      </w:r>
    </w:p>
    <w:p>
      <w:pPr>
        <w:spacing w:after="0" w:line="113"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Indicator 8.2 criteria include: (1)The company’s CEO and/or at least one other senior executive’s remuneration arrangements specifically incorporate climate change performance as a KPI determining performance-linked compensation (reference to ‘ESG’ or ‘sustainability performance’ are insufficient) and (2) that the company’s CEO and/or at least one other senior executive’s remuneration arrangements incorporate progress towards achieving the company’s GHG reduction targets as a KPI determining performance-linked compensation (requires meeting relevant long, medium, and short term targets for Scope 1 — 3 emissions, consistent with net zero emissions by 2050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175895</wp:posOffset>
            </wp:positionV>
            <wp:extent cx="5927725" cy="1016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ind w:left="7"/>
        <w:spacing w:after="0" w:line="225" w:lineRule="auto"/>
        <w:rPr>
          <w:sz w:val="20"/>
          <w:szCs w:val="20"/>
          <w:color w:val="auto"/>
        </w:rPr>
      </w:pPr>
      <w:r>
        <w:rPr>
          <w:rFonts w:ascii="Arial" w:cs="Arial" w:eastAsia="Arial" w:hAnsi="Arial"/>
          <w:sz w:val="20"/>
          <w:szCs w:val="20"/>
          <w:color w:val="3E3935"/>
        </w:rPr>
        <w:t>While GM has set GHG reduction targets,</w:t>
      </w:r>
      <w:r>
        <w:rPr>
          <w:rFonts w:ascii="Arial" w:cs="Arial" w:eastAsia="Arial" w:hAnsi="Arial"/>
          <w:sz w:val="16"/>
          <w:szCs w:val="16"/>
          <w:color w:val="3E3935"/>
        </w:rPr>
        <w:t>6</w:t>
      </w:r>
      <w:r>
        <w:rPr>
          <w:rFonts w:ascii="Arial" w:cs="Arial" w:eastAsia="Arial" w:hAnsi="Arial"/>
          <w:sz w:val="20"/>
          <w:szCs w:val="20"/>
          <w:color w:val="3E3935"/>
        </w:rPr>
        <w:t xml:space="preserve"> it has not reported a remuneration structure that links compensation awards with progress in achieving such targets — a governance best practice for reducing climate risk. Since executive compensation is an effective way to incentivize achievement of performance targets, disclosing relevant metrics can assure investors that management is setting and effectively implementing policies aligned with achieving the Paris 1.5 degree goal. GM’s current trajectory is well above 2 degrees,</w:t>
      </w:r>
      <w:r>
        <w:rPr>
          <w:rFonts w:ascii="Arial" w:cs="Arial" w:eastAsia="Arial" w:hAnsi="Arial"/>
          <w:sz w:val="16"/>
          <w:szCs w:val="16"/>
          <w:color w:val="3E3935"/>
        </w:rPr>
        <w:t>7</w:t>
      </w:r>
      <w:r>
        <w:rPr>
          <w:rFonts w:ascii="Arial" w:cs="Arial" w:eastAsia="Arial" w:hAnsi="Arial"/>
          <w:sz w:val="20"/>
          <w:szCs w:val="20"/>
          <w:color w:val="3E3935"/>
        </w:rPr>
        <w:t xml:space="preserve"> and it has continued to </w:t>
      </w:r>
      <w:r>
        <w:rPr>
          <w:rFonts w:ascii="Arial" w:cs="Arial" w:eastAsia="Arial" w:hAnsi="Arial"/>
          <w:sz w:val="20"/>
          <w:szCs w:val="20"/>
          <w:i w:val="1"/>
          <w:iCs w:val="1"/>
          <w:color w:val="3E3935"/>
        </w:rPr>
        <w:t>increase</w:t>
      </w:r>
      <w:r>
        <w:rPr>
          <w:rFonts w:ascii="Arial" w:cs="Arial" w:eastAsia="Arial" w:hAnsi="Arial"/>
          <w:sz w:val="20"/>
          <w:szCs w:val="20"/>
          <w:color w:val="3E3935"/>
        </w:rPr>
        <w:t xml:space="preserve"> the size of its large SUVs and trucks.</w:t>
      </w:r>
    </w:p>
    <w:p>
      <w:pPr>
        <w:spacing w:after="0" w:line="105" w:lineRule="exact"/>
        <w:rPr>
          <w:sz w:val="20"/>
          <w:szCs w:val="20"/>
          <w:color w:val="auto"/>
        </w:rPr>
      </w:pPr>
    </w:p>
    <w:p>
      <w:pPr>
        <w:jc w:val="both"/>
        <w:ind w:left="7"/>
        <w:spacing w:after="0" w:line="230" w:lineRule="auto"/>
        <w:rPr>
          <w:sz w:val="20"/>
          <w:szCs w:val="20"/>
          <w:color w:val="auto"/>
        </w:rPr>
      </w:pPr>
      <w:r>
        <w:rPr>
          <w:rFonts w:ascii="Arial" w:cs="Arial" w:eastAsia="Arial" w:hAnsi="Arial"/>
          <w:sz w:val="20"/>
          <w:szCs w:val="20"/>
          <w:b w:val="1"/>
          <w:bCs w:val="1"/>
          <w:color w:val="3E3935"/>
        </w:rPr>
        <w:t>Resolved</w:t>
      </w:r>
      <w:r>
        <w:rPr>
          <w:rFonts w:ascii="Arial" w:cs="Arial" w:eastAsia="Arial" w:hAnsi="Arial"/>
          <w:sz w:val="20"/>
          <w:szCs w:val="20"/>
          <w:color w:val="3E3935"/>
        </w:rPr>
        <w:t>: Shareholders request the Board of Directors issue</w:t>
      </w:r>
      <w:r>
        <w:rPr>
          <w:rFonts w:ascii="Arial" w:cs="Arial" w:eastAsia="Arial" w:hAnsi="Arial"/>
          <w:sz w:val="20"/>
          <w:szCs w:val="20"/>
          <w:b w:val="1"/>
          <w:bCs w:val="1"/>
          <w:color w:val="3E3935"/>
        </w:rPr>
        <w:t xml:space="preserve"> </w:t>
      </w:r>
      <w:r>
        <w:rPr>
          <w:rFonts w:ascii="Arial" w:cs="Arial" w:eastAsia="Arial" w:hAnsi="Arial"/>
          <w:sz w:val="20"/>
          <w:szCs w:val="20"/>
          <w:color w:val="3E3935"/>
        </w:rPr>
        <w:t>a report, at reasonable expense and excluding confidential information, evaluating and disclosing if and how the company has met the criteria of the Executive Remuneration Indicator, or whether it intends to revise its policies to be fully responsive to such Indicator and, if so, when it intends to do so.</w:t>
      </w:r>
    </w:p>
    <w:p>
      <w:pPr>
        <w:spacing w:after="0" w:line="89" w:lineRule="exact"/>
        <w:rPr>
          <w:sz w:val="20"/>
          <w:szCs w:val="20"/>
          <w:color w:val="auto"/>
        </w:rPr>
      </w:pPr>
    </w:p>
    <w:p>
      <w:pPr>
        <w:jc w:val="both"/>
        <w:ind w:left="7"/>
        <w:spacing w:after="0" w:line="246" w:lineRule="auto"/>
        <w:rPr>
          <w:sz w:val="20"/>
          <w:szCs w:val="20"/>
          <w:color w:val="auto"/>
        </w:rPr>
      </w:pPr>
      <w:r>
        <w:rPr>
          <w:rFonts w:ascii="Arial" w:cs="Arial" w:eastAsia="Arial" w:hAnsi="Arial"/>
          <w:sz w:val="19"/>
          <w:szCs w:val="19"/>
          <w:b w:val="1"/>
          <w:bCs w:val="1"/>
          <w:color w:val="3E3935"/>
        </w:rPr>
        <w:t>Supporting Statement</w:t>
      </w:r>
      <w:r>
        <w:rPr>
          <w:rFonts w:ascii="Arial" w:cs="Arial" w:eastAsia="Arial" w:hAnsi="Arial"/>
          <w:sz w:val="19"/>
          <w:szCs w:val="19"/>
          <w:color w:val="3E3935"/>
        </w:rPr>
        <w:t>: Proponents suggest, at Company</w:t>
      </w:r>
      <w:r>
        <w:rPr>
          <w:rFonts w:ascii="Arial" w:cs="Arial" w:eastAsia="Arial" w:hAnsi="Arial"/>
          <w:sz w:val="19"/>
          <w:szCs w:val="19"/>
          <w:b w:val="1"/>
          <w:bCs w:val="1"/>
          <w:color w:val="3E3935"/>
        </w:rPr>
        <w:t xml:space="preserve"> </w:t>
      </w:r>
      <w:r>
        <w:rPr>
          <w:rFonts w:ascii="Arial" w:cs="Arial" w:eastAsia="Arial" w:hAnsi="Arial"/>
          <w:sz w:val="19"/>
          <w:szCs w:val="19"/>
          <w:color w:val="3E3935"/>
        </w:rPr>
        <w:t>discretion, the report also include any rationale for a decision not to set and disclose goals in line with the Executive Remuneration Indicator decision not to set and disclose goals in line with the Executive Remuneration Indicator.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3733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34" w:lineRule="exact"/>
        <w:rPr>
          <w:sz w:val="20"/>
          <w:szCs w:val="20"/>
          <w:color w:val="auto"/>
        </w:rPr>
      </w:pPr>
    </w:p>
    <w:p>
      <w:pPr>
        <w:ind w:left="127" w:hanging="127"/>
        <w:spacing w:after="0"/>
        <w:tabs>
          <w:tab w:leader="none" w:pos="127" w:val="left"/>
        </w:tabs>
        <w:numPr>
          <w:ilvl w:val="0"/>
          <w:numId w:val="148"/>
        </w:numPr>
        <w:rPr>
          <w:rFonts w:ascii="Arial" w:cs="Arial" w:eastAsia="Arial" w:hAnsi="Arial"/>
          <w:sz w:val="24"/>
          <w:szCs w:val="24"/>
          <w:color w:val="3E3935"/>
          <w:vertAlign w:val="superscript"/>
        </w:rPr>
      </w:pPr>
      <w:r>
        <w:rPr>
          <w:rFonts w:ascii="Arial" w:cs="Arial" w:eastAsia="Arial" w:hAnsi="Arial"/>
          <w:sz w:val="14"/>
          <w:szCs w:val="14"/>
          <w:u w:val="single" w:color="auto"/>
          <w:color w:val="3E3935"/>
        </w:rPr>
        <w:t>https://www.cnn.com/2020/11/11/politics/climate-executive-actions-joe-biden/index.</w:t>
      </w:r>
    </w:p>
    <w:p>
      <w:pPr>
        <w:ind w:left="127" w:hanging="120"/>
        <w:spacing w:after="0" w:line="181" w:lineRule="auto"/>
        <w:rPr>
          <w:rFonts w:ascii="Arial" w:cs="Arial" w:eastAsia="Arial" w:hAnsi="Arial"/>
          <w:sz w:val="24"/>
          <w:szCs w:val="24"/>
          <w:color w:val="3E3935"/>
          <w:vertAlign w:val="superscript"/>
        </w:rPr>
      </w:pPr>
      <w:r>
        <w:rPr>
          <w:rFonts w:ascii="Arial" w:cs="Arial" w:eastAsia="Arial" w:hAnsi="Arial"/>
          <w:sz w:val="23"/>
          <w:szCs w:val="23"/>
          <w:color w:val="3E3935"/>
          <w:vertAlign w:val="superscript"/>
        </w:rPr>
        <w:t>2</w:t>
      </w:r>
      <w:r>
        <w:rPr>
          <w:rFonts w:ascii="Arial" w:cs="Arial" w:eastAsia="Arial" w:hAnsi="Arial"/>
          <w:sz w:val="14"/>
          <w:szCs w:val="14"/>
          <w:color w:val="3E3935"/>
        </w:rPr>
        <w:t xml:space="preserve"> </w:t>
      </w:r>
      <w:r>
        <w:rPr>
          <w:rFonts w:ascii="Arial" w:cs="Arial" w:eastAsia="Arial" w:hAnsi="Arial"/>
          <w:sz w:val="14"/>
          <w:szCs w:val="14"/>
          <w:u w:val="single" w:color="auto"/>
          <w:color w:val="3E3935"/>
        </w:rPr>
        <w:t>https://www.govtrack.us/congress/bills/subjects/climate_change_and_greenhouse_</w:t>
      </w:r>
      <w:r>
        <w:rPr>
          <w:rFonts w:ascii="Arial" w:cs="Arial" w:eastAsia="Arial" w:hAnsi="Arial"/>
          <w:sz w:val="14"/>
          <w:szCs w:val="14"/>
          <w:color w:val="3E3935"/>
        </w:rPr>
        <w:t xml:space="preserve"> </w:t>
      </w:r>
      <w:r>
        <w:rPr>
          <w:rFonts w:ascii="Arial" w:cs="Arial" w:eastAsia="Arial" w:hAnsi="Arial"/>
          <w:sz w:val="14"/>
          <w:szCs w:val="14"/>
          <w:u w:val="single" w:color="auto"/>
          <w:color w:val="3E3935"/>
        </w:rPr>
        <w:t>introduced date</w:t>
      </w:r>
    </w:p>
    <w:p>
      <w:pPr>
        <w:ind w:left="7"/>
        <w:spacing w:after="0" w:line="186" w:lineRule="auto"/>
        <w:rPr>
          <w:rFonts w:ascii="Arial" w:cs="Arial" w:eastAsia="Arial" w:hAnsi="Arial"/>
          <w:sz w:val="24"/>
          <w:szCs w:val="24"/>
          <w:color w:val="3E3935"/>
          <w:vertAlign w:val="superscript"/>
        </w:rPr>
      </w:pPr>
      <w:r>
        <w:rPr>
          <w:rFonts w:ascii="Arial" w:cs="Arial" w:eastAsia="Arial" w:hAnsi="Arial"/>
          <w:sz w:val="18"/>
          <w:szCs w:val="18"/>
          <w:color w:val="3E3935"/>
          <w:vertAlign w:val="superscript"/>
        </w:rPr>
        <w:t>3</w:t>
      </w:r>
      <w:r>
        <w:rPr>
          <w:rFonts w:ascii="Arial" w:cs="Arial" w:eastAsia="Arial" w:hAnsi="Arial"/>
          <w:sz w:val="11"/>
          <w:szCs w:val="11"/>
          <w:color w:val="3E3935"/>
        </w:rPr>
        <w:t xml:space="preserve"> </w:t>
      </w:r>
      <w:r>
        <w:rPr>
          <w:rFonts w:ascii="Arial" w:cs="Arial" w:eastAsia="Arial" w:hAnsi="Arial"/>
          <w:sz w:val="11"/>
          <w:szCs w:val="11"/>
          <w:u w:val="single" w:color="auto"/>
          <w:color w:val="3E3935"/>
        </w:rPr>
        <w:t>https://www.nature.com/articles/d41586-020-00175-5</w:t>
      </w:r>
    </w:p>
    <w:p>
      <w:pPr>
        <w:ind w:left="127" w:right="400" w:hanging="134"/>
        <w:spacing w:after="0" w:line="202" w:lineRule="auto"/>
        <w:rPr>
          <w:rFonts w:ascii="Arial" w:cs="Arial" w:eastAsia="Arial" w:hAnsi="Arial"/>
          <w:sz w:val="24"/>
          <w:szCs w:val="24"/>
          <w:color w:val="3E3935"/>
          <w:vertAlign w:val="superscript"/>
        </w:rPr>
      </w:pPr>
      <w:r>
        <w:rPr>
          <w:rFonts w:ascii="Arial" w:cs="Arial" w:eastAsia="Arial" w:hAnsi="Arial"/>
          <w:sz w:val="24"/>
          <w:szCs w:val="24"/>
          <w:color w:val="3E3935"/>
          <w:vertAlign w:val="superscript"/>
        </w:rPr>
        <w:t>4</w:t>
      </w:r>
      <w:r>
        <w:rPr>
          <w:rFonts w:ascii="Arial" w:cs="Arial" w:eastAsia="Arial" w:hAnsi="Arial"/>
          <w:sz w:val="14"/>
          <w:szCs w:val="14"/>
          <w:color w:val="3E3935"/>
        </w:rPr>
        <w:t xml:space="preserve"> </w:t>
      </w:r>
      <w:r>
        <w:rPr>
          <w:rFonts w:ascii="Arial" w:cs="Arial" w:eastAsia="Arial" w:hAnsi="Arial"/>
          <w:sz w:val="14"/>
          <w:szCs w:val="14"/>
          <w:u w:val="single" w:color="auto"/>
          <w:color w:val="3E3935"/>
        </w:rPr>
        <w:t>https://www.cftc.gov/sites/default/files/2020-09/9-9-20%20Report%20of%20the%20Subcommittee%20on%20Climate-Related%20Market%20Risk%20-%20Managing%20Climate%20 Risk%20in%20the%20U.S.%20Financial%20System%20for%20 posting.pdf</w:t>
      </w:r>
    </w:p>
    <w:p>
      <w:pPr>
        <w:spacing w:after="0" w:line="3" w:lineRule="exact"/>
        <w:rPr>
          <w:rFonts w:ascii="Arial" w:cs="Arial" w:eastAsia="Arial" w:hAnsi="Arial"/>
          <w:sz w:val="24"/>
          <w:szCs w:val="24"/>
          <w:color w:val="3E3935"/>
          <w:vertAlign w:val="superscript"/>
        </w:rPr>
      </w:pPr>
    </w:p>
    <w:p>
      <w:pPr>
        <w:jc w:val="both"/>
        <w:ind w:left="7"/>
        <w:spacing w:after="0" w:line="191" w:lineRule="auto"/>
        <w:rPr>
          <w:rFonts w:ascii="Arial" w:cs="Arial" w:eastAsia="Arial" w:hAnsi="Arial"/>
          <w:sz w:val="24"/>
          <w:szCs w:val="24"/>
          <w:color w:val="3E3935"/>
          <w:vertAlign w:val="superscript"/>
        </w:rPr>
      </w:pPr>
      <w:r>
        <w:rPr>
          <w:rFonts w:ascii="Arial" w:cs="Arial" w:eastAsia="Arial" w:hAnsi="Arial"/>
          <w:sz w:val="22"/>
          <w:szCs w:val="22"/>
          <w:color w:val="3E3935"/>
          <w:vertAlign w:val="superscript"/>
        </w:rPr>
        <w:t>5</w:t>
      </w:r>
      <w:r>
        <w:rPr>
          <w:rFonts w:ascii="Arial" w:cs="Arial" w:eastAsia="Arial" w:hAnsi="Arial"/>
          <w:sz w:val="13"/>
          <w:szCs w:val="13"/>
          <w:color w:val="3E3935"/>
        </w:rPr>
        <w:t xml:space="preserve"> </w:t>
      </w:r>
      <w:r>
        <w:rPr>
          <w:rFonts w:ascii="Arial" w:cs="Arial" w:eastAsia="Arial" w:hAnsi="Arial"/>
          <w:sz w:val="13"/>
          <w:szCs w:val="13"/>
          <w:u w:val="single" w:color="auto"/>
          <w:color w:val="3E3935"/>
        </w:rPr>
        <w:t>https://www.climateaction100.org/wp-content/uploads/2020/12/Net-Zero-Benchmar</w:t>
      </w:r>
      <w:r>
        <w:rPr>
          <w:rFonts w:ascii="Arial" w:cs="Arial" w:eastAsia="Arial" w:hAnsi="Arial"/>
          <w:sz w:val="13"/>
          <w:szCs w:val="13"/>
          <w:color w:val="3E3935"/>
        </w:rPr>
        <w:t xml:space="preserve"> </w:t>
      </w:r>
      <w:r>
        <w:rPr>
          <w:rFonts w:ascii="Arial" w:cs="Arial" w:eastAsia="Arial" w:hAnsi="Arial"/>
          <w:sz w:val="22"/>
          <w:szCs w:val="22"/>
          <w:color w:val="3E3935"/>
          <w:vertAlign w:val="superscript"/>
        </w:rPr>
        <w:t>6</w:t>
      </w:r>
      <w:r>
        <w:rPr>
          <w:rFonts w:ascii="Arial" w:cs="Arial" w:eastAsia="Arial" w:hAnsi="Arial"/>
          <w:sz w:val="13"/>
          <w:szCs w:val="13"/>
          <w:color w:val="3E3935"/>
        </w:rPr>
        <w:t xml:space="preserve"> </w:t>
      </w:r>
      <w:r>
        <w:rPr>
          <w:rFonts w:ascii="Arial" w:cs="Arial" w:eastAsia="Arial" w:hAnsi="Arial"/>
          <w:sz w:val="13"/>
          <w:szCs w:val="13"/>
          <w:u w:val="single" w:color="auto"/>
          <w:color w:val="3E3935"/>
        </w:rPr>
        <w:t>https://www.gmsustainability.com/_pdf/cdp/Climate_Change_2020_Information_Re</w:t>
      </w:r>
    </w:p>
    <w:p>
      <w:pPr>
        <w:ind w:left="127"/>
        <w:spacing w:after="0"/>
        <w:rPr>
          <w:rFonts w:ascii="Arial" w:cs="Arial" w:eastAsia="Arial" w:hAnsi="Arial"/>
          <w:sz w:val="24"/>
          <w:szCs w:val="24"/>
          <w:color w:val="3E3935"/>
          <w:vertAlign w:val="superscript"/>
        </w:rPr>
      </w:pPr>
      <w:r>
        <w:rPr>
          <w:rFonts w:ascii="Arial" w:cs="Arial" w:eastAsia="Arial" w:hAnsi="Arial"/>
          <w:sz w:val="14"/>
          <w:szCs w:val="14"/>
          <w:u w:val="single" w:color="auto"/>
          <w:color w:val="3E3935"/>
        </w:rPr>
        <w:t>General_Motors_Company.pdf</w:t>
      </w:r>
    </w:p>
    <w:p>
      <w:pPr>
        <w:ind w:left="7"/>
        <w:spacing w:after="0"/>
        <w:rPr>
          <w:rFonts w:ascii="Arial" w:cs="Arial" w:eastAsia="Arial" w:hAnsi="Arial"/>
          <w:sz w:val="24"/>
          <w:szCs w:val="24"/>
          <w:color w:val="3E3935"/>
          <w:vertAlign w:val="superscript"/>
        </w:rPr>
      </w:pPr>
      <w:r>
        <w:rPr>
          <w:rFonts w:ascii="Arial" w:cs="Arial" w:eastAsia="Arial" w:hAnsi="Arial"/>
          <w:sz w:val="24"/>
          <w:szCs w:val="24"/>
          <w:color w:val="3E3935"/>
          <w:vertAlign w:val="superscript"/>
        </w:rPr>
        <w:t>7</w:t>
      </w:r>
      <w:r>
        <w:rPr>
          <w:rFonts w:ascii="Arial" w:cs="Arial" w:eastAsia="Arial" w:hAnsi="Arial"/>
          <w:sz w:val="14"/>
          <w:szCs w:val="14"/>
          <w:color w:val="3E3935"/>
        </w:rPr>
        <w:t xml:space="preserve"> </w:t>
      </w:r>
      <w:r>
        <w:rPr>
          <w:rFonts w:ascii="Arial" w:cs="Arial" w:eastAsia="Arial" w:hAnsi="Arial"/>
          <w:sz w:val="14"/>
          <w:szCs w:val="14"/>
          <w:u w:val="single" w:color="auto"/>
          <w:color w:val="3E3935"/>
        </w:rPr>
        <w:t>https://2degrees-investing.org/leading-car-company-production-plans-set-to-miss-k</w:t>
      </w:r>
    </w:p>
    <w:p>
      <w:pPr>
        <w:spacing w:after="0" w:line="2263"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81"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90</w:t>
      </w:r>
    </w:p>
    <w:p>
      <w:pPr>
        <w:sectPr>
          <w:pgSz w:w="11900" w:h="16838" w:orient="portrait"/>
          <w:cols w:equalWidth="0" w:num="1">
            <w:col w:w="11080"/>
          </w:cols>
          <w:pgMar w:left="320" w:top="456" w:right="4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160" w:right="960"/>
        <w:spacing w:after="0" w:line="281"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080"/>
          </w:cols>
          <w:pgMar w:left="320" w:top="456" w:right="499" w:bottom="1440" w:gutter="0" w:footer="0" w:header="0"/>
        </w:sectPr>
      </w:pPr>
    </w:p>
    <w:p>
      <w:pPr>
        <w:spacing w:after="0" w:line="206" w:lineRule="exact"/>
        <w:rPr>
          <w:sz w:val="20"/>
          <w:szCs w:val="20"/>
          <w:color w:val="auto"/>
        </w:rPr>
      </w:pPr>
    </w:p>
    <w:p>
      <w:pPr>
        <w:jc w:val="both"/>
        <w:ind w:left="160"/>
        <w:spacing w:after="0" w:line="281" w:lineRule="auto"/>
        <w:rPr>
          <w:sz w:val="20"/>
          <w:szCs w:val="20"/>
          <w:color w:val="auto"/>
        </w:rPr>
      </w:pPr>
      <w:r>
        <w:rPr>
          <w:rFonts w:ascii="Arial" w:cs="Arial" w:eastAsia="Arial" w:hAnsi="Arial"/>
          <w:sz w:val="21"/>
          <w:szCs w:val="21"/>
          <w:b w:val="1"/>
          <w:bCs w:val="1"/>
          <w:i w:val="1"/>
          <w:iCs w:val="1"/>
          <w:color w:val="3E3935"/>
        </w:rPr>
        <w:t>GM has committed to carbon neutrality in its products and operations.</w:t>
      </w:r>
    </w:p>
    <w:p>
      <w:pPr>
        <w:spacing w:after="0" w:line="9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3E3935"/>
        </w:rPr>
        <w:t>GM takes the challenge of climate change seriously. In January 2021, we announced plans to be carbon neutral in our global products and operations by 2040. We have also committed to the Business Ambition Pledge for 1.5° and announced that we aspire to eliminate tailpipe emissions from new light-duty vehicles by 2035. GM also plans to source renewable energy to power 100% of its U.S. sites by 2030 and of its global sites by 2035, which represents a five-year acceleration of the Company’s previously announced global goal.</w:t>
      </w:r>
    </w:p>
    <w:p>
      <w:pPr>
        <w:spacing w:after="0" w:line="131"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These carbon reduction commitments build upon our announcement in November 2020 that we increased our financial commitment to EVs and AVs to $27 billion through 2025 — up from $20 billion. We also announced that we intend to offer 30 all-electric models globally by mid-decade and that 40% of the Company’s U.S. models will be battery electric by the end of 2025.</w:t>
      </w:r>
    </w:p>
    <w:p>
      <w:pPr>
        <w:spacing w:after="0" w:line="87" w:lineRule="exact"/>
        <w:rPr>
          <w:sz w:val="20"/>
          <w:szCs w:val="20"/>
          <w:color w:val="auto"/>
        </w:rPr>
      </w:pPr>
    </w:p>
    <w:p>
      <w:pPr>
        <w:jc w:val="both"/>
        <w:ind w:left="160"/>
        <w:spacing w:after="0" w:line="281" w:lineRule="auto"/>
        <w:rPr>
          <w:sz w:val="20"/>
          <w:szCs w:val="20"/>
          <w:color w:val="auto"/>
        </w:rPr>
      </w:pPr>
      <w:r>
        <w:rPr>
          <w:rFonts w:ascii="Arial" w:cs="Arial" w:eastAsia="Arial" w:hAnsi="Arial"/>
          <w:sz w:val="21"/>
          <w:szCs w:val="21"/>
          <w:b w:val="1"/>
          <w:bCs w:val="1"/>
          <w:i w:val="1"/>
          <w:iCs w:val="1"/>
          <w:color w:val="3E3935"/>
        </w:rPr>
        <w:t>GM’s executive compensation practices are aligned with our all-electric future.</w:t>
      </w:r>
    </w:p>
    <w:p>
      <w:pPr>
        <w:spacing w:after="0" w:line="92" w:lineRule="exact"/>
        <w:rPr>
          <w:sz w:val="20"/>
          <w:szCs w:val="20"/>
          <w:color w:val="auto"/>
        </w:rPr>
      </w:pPr>
    </w:p>
    <w:p>
      <w:pPr>
        <w:jc w:val="both"/>
        <w:ind w:left="160"/>
        <w:spacing w:after="0" w:line="236" w:lineRule="auto"/>
        <w:rPr>
          <w:sz w:val="20"/>
          <w:szCs w:val="20"/>
          <w:color w:val="auto"/>
        </w:rPr>
      </w:pPr>
      <w:r>
        <w:rPr>
          <w:rFonts w:ascii="Arial" w:cs="Arial" w:eastAsia="Arial" w:hAnsi="Arial"/>
          <w:sz w:val="19"/>
          <w:szCs w:val="19"/>
          <w:color w:val="3E3935"/>
        </w:rPr>
        <w:t>As discussed in the Executive Compensation section beginning on page 41 of this Proxy Statement, the Board believes it has the right plans in place to motivate, retain, and drive leaders to deliver results that are aligned with our vison of a future with zero emissions. Our fully independent Executive Compensation Committee works closely with its independent advisor each year to set appropriate metrics for the Company’s incentive compensation programs. The Committee has designed the Company’s short-term incentive plan to incentivize our executive officers to deliver on GM’s key strategic initiatives, many of which are expected to reduce GM’s greenhouse gas (“GHG”) emissions, including executing GM’s EV growth strategy, pursuing science-based targets for carbon reduction, and achieving GHG emissions compliance in all global markets.</w:t>
      </w:r>
    </w:p>
    <w:p>
      <w:pPr>
        <w:spacing w:after="0" w:line="13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STIP awards build upon the Committee’s established practice of evaluating the performance of each executive based on how he or she performs relative to pre-established strategic goals, which focus on both operational and sustainability results. As a result, sustainability performance on matters such as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both"/>
        <w:ind w:left="7"/>
        <w:spacing w:after="0" w:line="225" w:lineRule="auto"/>
        <w:rPr>
          <w:sz w:val="20"/>
          <w:szCs w:val="20"/>
          <w:color w:val="auto"/>
        </w:rPr>
      </w:pPr>
      <w:r>
        <w:rPr>
          <w:rFonts w:ascii="Arial" w:cs="Arial" w:eastAsia="Arial" w:hAnsi="Arial"/>
          <w:sz w:val="20"/>
          <w:szCs w:val="20"/>
          <w:color w:val="3E3935"/>
        </w:rPr>
        <w:t xml:space="preserve">GHG emissions targets has impacted our executives’ individual compensation decisions since 2017. We have highlighted our executives’ key 2020 ESG achievements with a leaf in the “Our Company Performance” section on page 42 and the “Performance Results and Compensation Decisions” section beginning on page 54 of this Proxy Statement. In addition, our Sustainability Report, available at </w:t>
      </w:r>
      <w:r>
        <w:rPr>
          <w:rFonts w:ascii="Arial" w:cs="Arial" w:eastAsia="Arial" w:hAnsi="Arial"/>
          <w:sz w:val="20"/>
          <w:szCs w:val="20"/>
          <w:i w:val="1"/>
          <w:iCs w:val="1"/>
          <w:color w:val="00C1DE"/>
        </w:rPr>
        <w:t>gmsustainability.com</w:t>
      </w:r>
      <w:r>
        <w:rPr>
          <w:rFonts w:ascii="Arial" w:cs="Arial" w:eastAsia="Arial" w:hAnsi="Arial"/>
          <w:sz w:val="20"/>
          <w:szCs w:val="20"/>
          <w:color w:val="3E3935"/>
        </w:rPr>
        <w:t>, provides detailed information on our</w:t>
      </w:r>
      <w:r>
        <w:rPr>
          <w:rFonts w:ascii="Arial" w:cs="Arial" w:eastAsia="Arial" w:hAnsi="Arial"/>
          <w:sz w:val="20"/>
          <w:szCs w:val="20"/>
          <w:i w:val="1"/>
          <w:iCs w:val="1"/>
          <w:color w:val="00C1DE"/>
        </w:rPr>
        <w:t xml:space="preserve"> </w:t>
      </w:r>
      <w:r>
        <w:rPr>
          <w:rFonts w:ascii="Arial" w:cs="Arial" w:eastAsia="Arial" w:hAnsi="Arial"/>
          <w:sz w:val="20"/>
          <w:szCs w:val="20"/>
          <w:color w:val="3E3935"/>
        </w:rPr>
        <w:t>ESG results and a listing of our ESG-related policies.</w:t>
      </w:r>
    </w:p>
    <w:p>
      <w:pPr>
        <w:spacing w:after="0" w:line="104" w:lineRule="exact"/>
        <w:rPr>
          <w:sz w:val="20"/>
          <w:szCs w:val="20"/>
          <w:color w:val="auto"/>
        </w:rPr>
      </w:pPr>
    </w:p>
    <w:p>
      <w:pPr>
        <w:jc w:val="both"/>
        <w:ind w:left="7"/>
        <w:spacing w:after="0" w:line="281" w:lineRule="auto"/>
        <w:rPr>
          <w:sz w:val="20"/>
          <w:szCs w:val="20"/>
          <w:color w:val="auto"/>
        </w:rPr>
      </w:pPr>
      <w:r>
        <w:rPr>
          <w:rFonts w:ascii="Arial" w:cs="Arial" w:eastAsia="Arial" w:hAnsi="Arial"/>
          <w:sz w:val="21"/>
          <w:szCs w:val="21"/>
          <w:b w:val="1"/>
          <w:bCs w:val="1"/>
          <w:i w:val="1"/>
          <w:iCs w:val="1"/>
          <w:color w:val="3E3935"/>
        </w:rPr>
        <w:t>GM has a demonstrated track record of taking actions designed to reduce GHG emissions.</w:t>
      </w:r>
    </w:p>
    <w:p>
      <w:pPr>
        <w:spacing w:after="0" w:line="92" w:lineRule="exact"/>
        <w:rPr>
          <w:sz w:val="20"/>
          <w:szCs w:val="20"/>
          <w:color w:val="auto"/>
        </w:rPr>
      </w:pPr>
    </w:p>
    <w:p>
      <w:pPr>
        <w:jc w:val="both"/>
        <w:ind w:left="7"/>
        <w:spacing w:after="0" w:line="234" w:lineRule="auto"/>
        <w:rPr>
          <w:sz w:val="20"/>
          <w:szCs w:val="20"/>
          <w:color w:val="auto"/>
        </w:rPr>
      </w:pPr>
      <w:r>
        <w:rPr>
          <w:rFonts w:ascii="Arial" w:cs="Arial" w:eastAsia="Arial" w:hAnsi="Arial"/>
          <w:sz w:val="20"/>
          <w:szCs w:val="20"/>
          <w:color w:val="3E3935"/>
        </w:rPr>
        <w:t>Our commitment to a future with zero emissions has been reinforced and demonstrated by our actions:</w:t>
      </w:r>
    </w:p>
    <w:p>
      <w:pPr>
        <w:spacing w:after="0" w:line="107" w:lineRule="exact"/>
        <w:rPr>
          <w:sz w:val="20"/>
          <w:szCs w:val="20"/>
          <w:color w:val="auto"/>
        </w:rPr>
      </w:pPr>
    </w:p>
    <w:p>
      <w:pPr>
        <w:jc w:val="both"/>
        <w:ind w:left="247" w:right="20" w:hanging="247"/>
        <w:spacing w:after="0" w:line="234" w:lineRule="auto"/>
        <w:tabs>
          <w:tab w:leader="none" w:pos="247" w:val="left"/>
        </w:tabs>
        <w:numPr>
          <w:ilvl w:val="0"/>
          <w:numId w:val="149"/>
        </w:numPr>
        <w:rPr>
          <w:rFonts w:ascii="Arial" w:cs="Arial" w:eastAsia="Arial" w:hAnsi="Arial"/>
          <w:sz w:val="20"/>
          <w:szCs w:val="20"/>
          <w:color w:val="0071CE"/>
        </w:rPr>
      </w:pPr>
      <w:r>
        <w:rPr>
          <w:rFonts w:ascii="Arial" w:cs="Arial" w:eastAsia="Arial" w:hAnsi="Arial"/>
          <w:sz w:val="20"/>
          <w:szCs w:val="20"/>
          <w:i w:val="1"/>
          <w:iCs w:val="1"/>
          <w:color w:val="3E3935"/>
        </w:rPr>
        <w:t xml:space="preserve">Improved Fuel Efficiency Performance: </w:t>
      </w:r>
      <w:r>
        <w:rPr>
          <w:rFonts w:ascii="Arial" w:cs="Arial" w:eastAsia="Arial" w:hAnsi="Arial"/>
          <w:sz w:val="20"/>
          <w:szCs w:val="20"/>
          <w:color w:val="3E3935"/>
        </w:rPr>
        <w:t>We improved our</w:t>
      </w:r>
      <w:r>
        <w:rPr>
          <w:rFonts w:ascii="Arial" w:cs="Arial" w:eastAsia="Arial" w:hAnsi="Arial"/>
          <w:sz w:val="20"/>
          <w:szCs w:val="20"/>
          <w:i w:val="1"/>
          <w:iCs w:val="1"/>
          <w:color w:val="3E3935"/>
        </w:rPr>
        <w:t xml:space="preserve"> </w:t>
      </w:r>
      <w:r>
        <w:rPr>
          <w:rFonts w:ascii="Arial" w:cs="Arial" w:eastAsia="Arial" w:hAnsi="Arial"/>
          <w:sz w:val="20"/>
          <w:szCs w:val="20"/>
          <w:color w:val="3E3935"/>
        </w:rPr>
        <w:t>fleet average GHG emissions from 331 grams to 314 grams per mile, equivalent to 26.8 to 28.3 miles per gallon, over model years 2012 through 2019.</w:t>
      </w:r>
    </w:p>
    <w:p>
      <w:pPr>
        <w:spacing w:after="0" w:line="106" w:lineRule="exact"/>
        <w:rPr>
          <w:rFonts w:ascii="Arial" w:cs="Arial" w:eastAsia="Arial" w:hAnsi="Arial"/>
          <w:sz w:val="20"/>
          <w:szCs w:val="20"/>
          <w:color w:val="0071CE"/>
        </w:rPr>
      </w:pPr>
    </w:p>
    <w:p>
      <w:pPr>
        <w:jc w:val="both"/>
        <w:ind w:left="247" w:right="20" w:hanging="247"/>
        <w:spacing w:after="0" w:line="255" w:lineRule="auto"/>
        <w:tabs>
          <w:tab w:leader="none" w:pos="247" w:val="left"/>
        </w:tabs>
        <w:numPr>
          <w:ilvl w:val="0"/>
          <w:numId w:val="149"/>
        </w:numPr>
        <w:rPr>
          <w:rFonts w:ascii="Arial" w:cs="Arial" w:eastAsia="Arial" w:hAnsi="Arial"/>
          <w:sz w:val="19"/>
          <w:szCs w:val="19"/>
          <w:color w:val="0071CE"/>
        </w:rPr>
      </w:pPr>
      <w:r>
        <w:rPr>
          <w:rFonts w:ascii="Arial" w:cs="Arial" w:eastAsia="Arial" w:hAnsi="Arial"/>
          <w:sz w:val="19"/>
          <w:szCs w:val="19"/>
          <w:i w:val="1"/>
          <w:iCs w:val="1"/>
          <w:color w:val="3E3935"/>
        </w:rPr>
        <w:t xml:space="preserve">Reduced GHG Emissions: </w:t>
      </w:r>
      <w:r>
        <w:rPr>
          <w:rFonts w:ascii="Arial" w:cs="Arial" w:eastAsia="Arial" w:hAnsi="Arial"/>
          <w:sz w:val="19"/>
          <w:szCs w:val="19"/>
          <w:color w:val="3E3935"/>
        </w:rPr>
        <w:t>We achieved a 20% reduction</w:t>
      </w:r>
      <w:r>
        <w:rPr>
          <w:rFonts w:ascii="Arial" w:cs="Arial" w:eastAsia="Arial" w:hAnsi="Arial"/>
          <w:sz w:val="19"/>
          <w:szCs w:val="19"/>
          <w:i w:val="1"/>
          <w:iCs w:val="1"/>
          <w:color w:val="3E3935"/>
        </w:rPr>
        <w:t xml:space="preserve"> </w:t>
      </w:r>
      <w:r>
        <w:rPr>
          <w:rFonts w:ascii="Arial" w:cs="Arial" w:eastAsia="Arial" w:hAnsi="Arial"/>
          <w:sz w:val="19"/>
          <w:szCs w:val="19"/>
          <w:color w:val="3E3935"/>
        </w:rPr>
        <w:t>in metric tons of CO</w:t>
      </w:r>
      <w:r>
        <w:rPr>
          <w:rFonts w:ascii="Arial" w:cs="Arial" w:eastAsia="Arial" w:hAnsi="Arial"/>
          <w:sz w:val="15"/>
          <w:szCs w:val="15"/>
          <w:color w:val="3E3935"/>
        </w:rPr>
        <w:t>2</w:t>
      </w:r>
      <w:r>
        <w:rPr>
          <w:rFonts w:ascii="Arial" w:cs="Arial" w:eastAsia="Arial" w:hAnsi="Arial"/>
          <w:sz w:val="19"/>
          <w:szCs w:val="19"/>
          <w:color w:val="3E3935"/>
        </w:rPr>
        <w:t>e per vehicle manufactured between 2010 and 2020 — three years ahead of schedule.</w:t>
      </w:r>
    </w:p>
    <w:p>
      <w:pPr>
        <w:spacing w:after="0" w:line="92" w:lineRule="exact"/>
        <w:rPr>
          <w:rFonts w:ascii="Arial" w:cs="Arial" w:eastAsia="Arial" w:hAnsi="Arial"/>
          <w:sz w:val="19"/>
          <w:szCs w:val="19"/>
          <w:color w:val="0071CE"/>
        </w:rPr>
      </w:pPr>
    </w:p>
    <w:p>
      <w:pPr>
        <w:jc w:val="both"/>
        <w:ind w:left="247" w:right="20" w:hanging="247"/>
        <w:spacing w:after="0" w:line="231" w:lineRule="auto"/>
        <w:tabs>
          <w:tab w:leader="none" w:pos="247" w:val="left"/>
        </w:tabs>
        <w:numPr>
          <w:ilvl w:val="0"/>
          <w:numId w:val="149"/>
        </w:numPr>
        <w:rPr>
          <w:rFonts w:ascii="Arial" w:cs="Arial" w:eastAsia="Arial" w:hAnsi="Arial"/>
          <w:sz w:val="20"/>
          <w:szCs w:val="20"/>
          <w:color w:val="0071CE"/>
        </w:rPr>
      </w:pPr>
      <w:r>
        <w:rPr>
          <w:rFonts w:ascii="Arial" w:cs="Arial" w:eastAsia="Arial" w:hAnsi="Arial"/>
          <w:sz w:val="20"/>
          <w:szCs w:val="20"/>
          <w:i w:val="1"/>
          <w:iCs w:val="1"/>
          <w:color w:val="3E3935"/>
        </w:rPr>
        <w:t xml:space="preserve">Transforming Mobility: </w:t>
      </w:r>
      <w:r>
        <w:rPr>
          <w:rFonts w:ascii="Arial" w:cs="Arial" w:eastAsia="Arial" w:hAnsi="Arial"/>
          <w:sz w:val="20"/>
          <w:szCs w:val="20"/>
          <w:color w:val="3E3935"/>
        </w:rPr>
        <w:t>We partnered with Cruise and</w:t>
      </w:r>
      <w:r>
        <w:rPr>
          <w:rFonts w:ascii="Arial" w:cs="Arial" w:eastAsia="Arial" w:hAnsi="Arial"/>
          <w:sz w:val="20"/>
          <w:szCs w:val="20"/>
          <w:i w:val="1"/>
          <w:iCs w:val="1"/>
          <w:color w:val="3E3935"/>
        </w:rPr>
        <w:t xml:space="preserve"> </w:t>
      </w:r>
      <w:r>
        <w:rPr>
          <w:rFonts w:ascii="Arial" w:cs="Arial" w:eastAsia="Arial" w:hAnsi="Arial"/>
          <w:sz w:val="20"/>
          <w:szCs w:val="20"/>
          <w:color w:val="3E3935"/>
        </w:rPr>
        <w:t>Honda to develop and introduce the Cruise Origin, an all-electric AV that has the ability to reduce the number of vehicles on the road through deployment in ride-sharing platforms.</w:t>
      </w:r>
    </w:p>
    <w:p>
      <w:pPr>
        <w:spacing w:after="0" w:line="110" w:lineRule="exact"/>
        <w:rPr>
          <w:rFonts w:ascii="Arial" w:cs="Arial" w:eastAsia="Arial" w:hAnsi="Arial"/>
          <w:sz w:val="20"/>
          <w:szCs w:val="20"/>
          <w:color w:val="0071CE"/>
        </w:rPr>
      </w:pPr>
    </w:p>
    <w:p>
      <w:pPr>
        <w:jc w:val="both"/>
        <w:ind w:left="247" w:right="20" w:hanging="247"/>
        <w:spacing w:after="0" w:line="231" w:lineRule="auto"/>
        <w:tabs>
          <w:tab w:leader="none" w:pos="247" w:val="left"/>
        </w:tabs>
        <w:numPr>
          <w:ilvl w:val="0"/>
          <w:numId w:val="149"/>
        </w:numPr>
        <w:rPr>
          <w:rFonts w:ascii="Arial" w:cs="Arial" w:eastAsia="Arial" w:hAnsi="Arial"/>
          <w:sz w:val="20"/>
          <w:szCs w:val="20"/>
          <w:color w:val="0071CE"/>
        </w:rPr>
      </w:pPr>
      <w:r>
        <w:rPr>
          <w:rFonts w:ascii="Arial" w:cs="Arial" w:eastAsia="Arial" w:hAnsi="Arial"/>
          <w:sz w:val="20"/>
          <w:szCs w:val="20"/>
          <w:i w:val="1"/>
          <w:iCs w:val="1"/>
          <w:color w:val="3E3935"/>
        </w:rPr>
        <w:t xml:space="preserve">Delivering Goods with a Reduced Carbon Footprint: </w:t>
      </w:r>
      <w:r>
        <w:rPr>
          <w:rFonts w:ascii="Arial" w:cs="Arial" w:eastAsia="Arial" w:hAnsi="Arial"/>
          <w:sz w:val="20"/>
          <w:szCs w:val="20"/>
          <w:color w:val="3E3935"/>
        </w:rPr>
        <w:t>In</w:t>
      </w:r>
      <w:r>
        <w:rPr>
          <w:rFonts w:ascii="Arial" w:cs="Arial" w:eastAsia="Arial" w:hAnsi="Arial"/>
          <w:sz w:val="20"/>
          <w:szCs w:val="20"/>
          <w:i w:val="1"/>
          <w:iCs w:val="1"/>
          <w:color w:val="3E3935"/>
        </w:rPr>
        <w:t xml:space="preserve"> </w:t>
      </w:r>
      <w:r>
        <w:rPr>
          <w:rFonts w:ascii="Arial" w:cs="Arial" w:eastAsia="Arial" w:hAnsi="Arial"/>
          <w:sz w:val="20"/>
          <w:szCs w:val="20"/>
          <w:color w:val="3E3935"/>
        </w:rPr>
        <w:t>January 2021, we announced the launch of BrightDrop, a growth business that will offer an all-electric fleet combined with first-to-last-mile delivery products to reduce emissions in delivery fleets.</w:t>
      </w:r>
    </w:p>
    <w:p>
      <w:pPr>
        <w:spacing w:after="0" w:line="88" w:lineRule="exact"/>
        <w:rPr>
          <w:sz w:val="20"/>
          <w:szCs w:val="20"/>
          <w:color w:val="auto"/>
        </w:rPr>
      </w:pPr>
    </w:p>
    <w:p>
      <w:pPr>
        <w:jc w:val="both"/>
        <w:ind w:left="7"/>
        <w:spacing w:after="0" w:line="281" w:lineRule="auto"/>
        <w:rPr>
          <w:sz w:val="20"/>
          <w:szCs w:val="20"/>
          <w:color w:val="auto"/>
        </w:rPr>
      </w:pPr>
      <w:r>
        <w:rPr>
          <w:rFonts w:ascii="Arial" w:cs="Arial" w:eastAsia="Arial" w:hAnsi="Arial"/>
          <w:sz w:val="21"/>
          <w:szCs w:val="21"/>
          <w:b w:val="1"/>
          <w:bCs w:val="1"/>
          <w:i w:val="1"/>
          <w:iCs w:val="1"/>
          <w:color w:val="3E3935"/>
        </w:rPr>
        <w:t>Our executive compensation arrangements already address the objectives of this proposal.</w:t>
      </w:r>
    </w:p>
    <w:p>
      <w:pPr>
        <w:spacing w:after="0" w:line="92" w:lineRule="exact"/>
        <w:rPr>
          <w:sz w:val="20"/>
          <w:szCs w:val="20"/>
          <w:color w:val="auto"/>
        </w:rPr>
      </w:pPr>
    </w:p>
    <w:p>
      <w:pPr>
        <w:jc w:val="both"/>
        <w:ind w:left="7"/>
        <w:spacing w:after="0" w:line="227" w:lineRule="auto"/>
        <w:rPr>
          <w:sz w:val="20"/>
          <w:szCs w:val="20"/>
          <w:color w:val="auto"/>
        </w:rPr>
      </w:pPr>
      <w:r>
        <w:rPr>
          <w:rFonts w:ascii="Arial" w:cs="Arial" w:eastAsia="Arial" w:hAnsi="Arial"/>
          <w:sz w:val="20"/>
          <w:szCs w:val="20"/>
          <w:color w:val="3E3935"/>
        </w:rPr>
        <w:t>Because our executive compensation is already linked to GM’s ongoing efforts to reduce GHG emissions from our products and operations, preparation of the report requested by proponents is neither necessary nor a good use of Company resources.</w:t>
      </w:r>
    </w:p>
    <w:p>
      <w:pPr>
        <w:spacing w:after="0" w:line="105" w:lineRule="exact"/>
        <w:rPr>
          <w:sz w:val="20"/>
          <w:szCs w:val="20"/>
          <w:color w:val="auto"/>
        </w:rPr>
      </w:pPr>
    </w:p>
    <w:p>
      <w:pPr>
        <w:jc w:val="both"/>
        <w:ind w:left="7" w:right="20"/>
        <w:spacing w:after="0" w:line="254"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71CE"/>
        </w:rPr>
        <w:t xml:space="preserve">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192405</wp:posOffset>
            </wp:positionV>
            <wp:extent cx="5927725" cy="1016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68"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91</w:t>
      </w:r>
    </w:p>
    <w:p>
      <w:pPr>
        <w:sectPr>
          <w:pgSz w:w="11900" w:h="16838" w:orient="portrait"/>
          <w:cols w:equalWidth="0" w:num="1">
            <w:col w:w="11080"/>
          </w:cols>
          <w:pgMar w:left="320" w:top="456" w:right="49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71CE"/>
        </w:rPr>
        <w:t>GENERAL INFORMATION ABOUT THE ANNUAL MEETING</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Voting and Meeting Information</w:t>
      </w:r>
    </w:p>
    <w:p>
      <w:pPr>
        <w:spacing w:after="0" w:line="163" w:lineRule="exact"/>
        <w:rPr>
          <w:sz w:val="20"/>
          <w:szCs w:val="20"/>
          <w:color w:val="auto"/>
        </w:rPr>
      </w:pPr>
    </w:p>
    <w:p>
      <w:pPr>
        <w:ind w:left="700" w:hanging="533"/>
        <w:spacing w:after="0"/>
        <w:tabs>
          <w:tab w:leader="none" w:pos="700" w:val="left"/>
        </w:tabs>
        <w:numPr>
          <w:ilvl w:val="0"/>
          <w:numId w:val="150"/>
        </w:numPr>
        <w:rPr>
          <w:rFonts w:ascii="Arial" w:cs="Arial" w:eastAsia="Arial" w:hAnsi="Arial"/>
          <w:sz w:val="21"/>
          <w:szCs w:val="21"/>
          <w:color w:val="0071CE"/>
        </w:rPr>
      </w:pPr>
      <w:r>
        <w:rPr>
          <w:rFonts w:ascii="Arial" w:cs="Arial" w:eastAsia="Arial" w:hAnsi="Arial"/>
          <w:sz w:val="25"/>
          <w:szCs w:val="25"/>
          <w:color w:val="3E3935"/>
        </w:rPr>
        <w:t>Board Recommendations and Vote Requirements*</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196"/>
        </w:trPr>
        <w:tc>
          <w:tcPr>
            <w:tcW w:w="860" w:type="dxa"/>
            <w:vAlign w:val="bottom"/>
            <w:tcBorders>
              <w:top w:val="single" w:sz="8" w:color="00C1DE"/>
              <w:left w:val="single" w:sz="8" w:color="00C1DE"/>
            </w:tcBorders>
          </w:tcPr>
          <w:p>
            <w:pPr>
              <w:spacing w:after="0"/>
              <w:rPr>
                <w:sz w:val="17"/>
                <w:szCs w:val="17"/>
                <w:color w:val="auto"/>
              </w:rPr>
            </w:pPr>
          </w:p>
        </w:tc>
        <w:tc>
          <w:tcPr>
            <w:tcW w:w="3040" w:type="dxa"/>
            <w:vAlign w:val="bottom"/>
            <w:tcBorders>
              <w:top w:val="single" w:sz="8" w:color="00C1DE"/>
            </w:tcBorders>
          </w:tcPr>
          <w:p>
            <w:pPr>
              <w:spacing w:after="0"/>
              <w:rPr>
                <w:sz w:val="17"/>
                <w:szCs w:val="17"/>
                <w:color w:val="auto"/>
              </w:rPr>
            </w:pPr>
          </w:p>
        </w:tc>
        <w:tc>
          <w:tcPr>
            <w:tcW w:w="1620" w:type="dxa"/>
            <w:vAlign w:val="bottom"/>
            <w:tcBorders>
              <w:top w:val="single" w:sz="8" w:color="00C1DE"/>
            </w:tcBorders>
          </w:tcPr>
          <w:p>
            <w:pPr>
              <w:spacing w:after="0"/>
              <w:rPr>
                <w:sz w:val="17"/>
                <w:szCs w:val="17"/>
                <w:color w:val="auto"/>
              </w:rPr>
            </w:pPr>
          </w:p>
        </w:tc>
        <w:tc>
          <w:tcPr>
            <w:tcW w:w="3060" w:type="dxa"/>
            <w:vAlign w:val="bottom"/>
            <w:tcBorders>
              <w:top w:val="single" w:sz="8" w:color="00C1DE"/>
            </w:tcBorders>
          </w:tcPr>
          <w:p>
            <w:pPr>
              <w:spacing w:after="0"/>
              <w:rPr>
                <w:sz w:val="17"/>
                <w:szCs w:val="17"/>
                <w:color w:val="auto"/>
              </w:rPr>
            </w:pPr>
          </w:p>
        </w:tc>
        <w:tc>
          <w:tcPr>
            <w:tcW w:w="1180" w:type="dxa"/>
            <w:vAlign w:val="bottom"/>
            <w:tcBorders>
              <w:top w:val="single" w:sz="8" w:color="00C1DE"/>
            </w:tcBorders>
          </w:tcPr>
          <w:p>
            <w:pPr>
              <w:spacing w:after="0"/>
              <w:rPr>
                <w:sz w:val="17"/>
                <w:szCs w:val="17"/>
                <w:color w:val="auto"/>
              </w:rPr>
            </w:pPr>
          </w:p>
        </w:tc>
        <w:tc>
          <w:tcPr>
            <w:tcW w:w="1180" w:type="dxa"/>
            <w:vAlign w:val="bottom"/>
            <w:tcBorders>
              <w:top w:val="single" w:sz="8" w:color="00C1DE"/>
              <w:right w:val="single" w:sz="8" w:color="00C1DE"/>
            </w:tcBorders>
          </w:tcPr>
          <w:p>
            <w:pPr>
              <w:jc w:val="center"/>
              <w:spacing w:after="0"/>
              <w:rPr>
                <w:sz w:val="20"/>
                <w:szCs w:val="20"/>
                <w:color w:val="auto"/>
              </w:rPr>
            </w:pPr>
            <w:r>
              <w:rPr>
                <w:rFonts w:ascii="Arial" w:cs="Arial" w:eastAsia="Arial" w:hAnsi="Arial"/>
                <w:sz w:val="16"/>
                <w:szCs w:val="16"/>
                <w:b w:val="1"/>
                <w:bCs w:val="1"/>
                <w:color w:val="00C1DE"/>
                <w:w w:val="99"/>
              </w:rPr>
              <w:t>Effect of</w:t>
            </w:r>
          </w:p>
        </w:tc>
        <w:tc>
          <w:tcPr>
            <w:tcW w:w="0" w:type="dxa"/>
            <w:vAlign w:val="bottom"/>
          </w:tcPr>
          <w:p>
            <w:pPr>
              <w:spacing w:after="0"/>
              <w:rPr>
                <w:sz w:val="1"/>
                <w:szCs w:val="1"/>
                <w:color w:val="auto"/>
              </w:rPr>
            </w:pPr>
          </w:p>
        </w:tc>
      </w:tr>
      <w:tr>
        <w:trPr>
          <w:trHeight w:val="187"/>
        </w:trPr>
        <w:tc>
          <w:tcPr>
            <w:tcW w:w="860" w:type="dxa"/>
            <w:vAlign w:val="bottom"/>
            <w:tcBorders>
              <w:left w:val="single" w:sz="8" w:color="00C1DE"/>
            </w:tcBorders>
          </w:tcPr>
          <w:p>
            <w:pPr>
              <w:ind w:left="200"/>
              <w:spacing w:after="0"/>
              <w:rPr>
                <w:sz w:val="20"/>
                <w:szCs w:val="20"/>
                <w:color w:val="auto"/>
              </w:rPr>
            </w:pPr>
            <w:r>
              <w:rPr>
                <w:rFonts w:ascii="Arial" w:cs="Arial" w:eastAsia="Arial" w:hAnsi="Arial"/>
                <w:sz w:val="16"/>
                <w:szCs w:val="16"/>
                <w:b w:val="1"/>
                <w:bCs w:val="1"/>
                <w:color w:val="00C1DE"/>
              </w:rPr>
              <w:t>Agenda</w:t>
            </w:r>
          </w:p>
        </w:tc>
        <w:tc>
          <w:tcPr>
            <w:tcW w:w="30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00C1DE"/>
                <w:w w:val="99"/>
              </w:rPr>
              <w:t>Board</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00C1DE"/>
                <w:w w:val="99"/>
              </w:rPr>
              <w:t>Vote Requirement for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00C1DE"/>
                <w:w w:val="99"/>
              </w:rPr>
              <w:t>Effect of</w:t>
            </w:r>
          </w:p>
        </w:tc>
        <w:tc>
          <w:tcPr>
            <w:tcW w:w="1180" w:type="dxa"/>
            <w:vAlign w:val="bottom"/>
            <w:tcBorders>
              <w:right w:val="single" w:sz="8" w:color="00C1DE"/>
            </w:tcBorders>
          </w:tcPr>
          <w:p>
            <w:pPr>
              <w:jc w:val="center"/>
              <w:spacing w:after="0"/>
              <w:rPr>
                <w:sz w:val="20"/>
                <w:szCs w:val="20"/>
                <w:color w:val="auto"/>
              </w:rPr>
            </w:pPr>
            <w:r>
              <w:rPr>
                <w:rFonts w:ascii="Arial" w:cs="Arial" w:eastAsia="Arial" w:hAnsi="Arial"/>
                <w:sz w:val="16"/>
                <w:szCs w:val="16"/>
                <w:b w:val="1"/>
                <w:bCs w:val="1"/>
                <w:color w:val="00C1DE"/>
              </w:rPr>
              <w:t>Broker</w:t>
            </w:r>
          </w:p>
        </w:tc>
        <w:tc>
          <w:tcPr>
            <w:tcW w:w="0" w:type="dxa"/>
            <w:vAlign w:val="bottom"/>
          </w:tcPr>
          <w:p>
            <w:pPr>
              <w:spacing w:after="0"/>
              <w:rPr>
                <w:sz w:val="1"/>
                <w:szCs w:val="1"/>
                <w:color w:val="auto"/>
              </w:rPr>
            </w:pPr>
          </w:p>
        </w:tc>
      </w:tr>
      <w:tr>
        <w:trPr>
          <w:trHeight w:val="239"/>
        </w:trPr>
        <w:tc>
          <w:tcPr>
            <w:tcW w:w="860" w:type="dxa"/>
            <w:vAlign w:val="bottom"/>
            <w:tcBorders>
              <w:left w:val="single" w:sz="8" w:color="00C1DE"/>
              <w:bottom w:val="single" w:sz="8" w:color="00C1DE"/>
            </w:tcBorders>
          </w:tcPr>
          <w:p>
            <w:pPr>
              <w:jc w:val="center"/>
              <w:ind w:left="100"/>
              <w:spacing w:after="0"/>
              <w:rPr>
                <w:sz w:val="20"/>
                <w:szCs w:val="20"/>
                <w:color w:val="auto"/>
              </w:rPr>
            </w:pPr>
            <w:r>
              <w:rPr>
                <w:rFonts w:ascii="Arial" w:cs="Arial" w:eastAsia="Arial" w:hAnsi="Arial"/>
                <w:sz w:val="16"/>
                <w:szCs w:val="16"/>
                <w:b w:val="1"/>
                <w:bCs w:val="1"/>
                <w:color w:val="00C1DE"/>
                <w:w w:val="97"/>
              </w:rPr>
              <w:t>Item</w:t>
            </w:r>
          </w:p>
        </w:tc>
        <w:tc>
          <w:tcPr>
            <w:tcW w:w="304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Description</w:t>
            </w:r>
          </w:p>
        </w:tc>
        <w:tc>
          <w:tcPr>
            <w:tcW w:w="1620" w:type="dxa"/>
            <w:vAlign w:val="bottom"/>
            <w:tcBorders>
              <w:bottom w:val="single" w:sz="8" w:color="00C1DE"/>
            </w:tcBorders>
          </w:tcPr>
          <w:p>
            <w:pPr>
              <w:jc w:val="center"/>
              <w:spacing w:after="0"/>
              <w:rPr>
                <w:sz w:val="20"/>
                <w:szCs w:val="20"/>
                <w:color w:val="auto"/>
              </w:rPr>
            </w:pPr>
            <w:r>
              <w:rPr>
                <w:rFonts w:ascii="Arial" w:cs="Arial" w:eastAsia="Arial" w:hAnsi="Arial"/>
                <w:sz w:val="16"/>
                <w:szCs w:val="16"/>
                <w:b w:val="1"/>
                <w:bCs w:val="1"/>
                <w:color w:val="00C1DE"/>
              </w:rPr>
              <w:t>Recommendation</w:t>
            </w:r>
          </w:p>
        </w:tc>
        <w:tc>
          <w:tcPr>
            <w:tcW w:w="3060" w:type="dxa"/>
            <w:vAlign w:val="bottom"/>
            <w:tcBorders>
              <w:bottom w:val="single" w:sz="8" w:color="00C1DE"/>
            </w:tcBorders>
          </w:tcPr>
          <w:p>
            <w:pPr>
              <w:jc w:val="center"/>
              <w:spacing w:after="0"/>
              <w:rPr>
                <w:sz w:val="20"/>
                <w:szCs w:val="20"/>
                <w:color w:val="auto"/>
              </w:rPr>
            </w:pPr>
            <w:r>
              <w:rPr>
                <w:rFonts w:ascii="Arial" w:cs="Arial" w:eastAsia="Arial" w:hAnsi="Arial"/>
                <w:sz w:val="16"/>
                <w:szCs w:val="16"/>
                <w:b w:val="1"/>
                <w:bCs w:val="1"/>
                <w:color w:val="00C1DE"/>
              </w:rPr>
              <w:t>Approval</w:t>
            </w:r>
          </w:p>
        </w:tc>
        <w:tc>
          <w:tcPr>
            <w:tcW w:w="1180" w:type="dxa"/>
            <w:vAlign w:val="bottom"/>
            <w:tcBorders>
              <w:bottom w:val="single" w:sz="8" w:color="00C1DE"/>
            </w:tcBorders>
          </w:tcPr>
          <w:p>
            <w:pPr>
              <w:ind w:left="60"/>
              <w:spacing w:after="0"/>
              <w:rPr>
                <w:sz w:val="20"/>
                <w:szCs w:val="20"/>
                <w:color w:val="auto"/>
              </w:rPr>
            </w:pPr>
            <w:r>
              <w:rPr>
                <w:rFonts w:ascii="Arial" w:cs="Arial" w:eastAsia="Arial" w:hAnsi="Arial"/>
                <w:sz w:val="16"/>
                <w:szCs w:val="16"/>
                <w:b w:val="1"/>
                <w:bCs w:val="1"/>
                <w:color w:val="00C1DE"/>
              </w:rPr>
              <w:t>Abstentions</w:t>
            </w:r>
          </w:p>
        </w:tc>
        <w:tc>
          <w:tcPr>
            <w:tcW w:w="1180" w:type="dxa"/>
            <w:vAlign w:val="bottom"/>
            <w:tcBorders>
              <w:bottom w:val="single" w:sz="8" w:color="00C1DE"/>
              <w:right w:val="single" w:sz="8" w:color="00C1DE"/>
            </w:tcBorders>
          </w:tcPr>
          <w:p>
            <w:pPr>
              <w:jc w:val="center"/>
              <w:spacing w:after="0"/>
              <w:rPr>
                <w:sz w:val="20"/>
                <w:szCs w:val="20"/>
                <w:color w:val="auto"/>
              </w:rPr>
            </w:pPr>
            <w:r>
              <w:rPr>
                <w:rFonts w:ascii="Arial" w:cs="Arial" w:eastAsia="Arial" w:hAnsi="Arial"/>
                <w:sz w:val="16"/>
                <w:szCs w:val="16"/>
                <w:b w:val="1"/>
                <w:bCs w:val="1"/>
                <w:color w:val="00C1DE"/>
                <w:w w:val="99"/>
              </w:rPr>
              <w:t>Non-Votes</w:t>
            </w:r>
          </w:p>
        </w:tc>
        <w:tc>
          <w:tcPr>
            <w:tcW w:w="0" w:type="dxa"/>
            <w:vAlign w:val="bottom"/>
          </w:tcPr>
          <w:p>
            <w:pPr>
              <w:spacing w:after="0"/>
              <w:rPr>
                <w:sz w:val="1"/>
                <w:szCs w:val="1"/>
                <w:color w:val="auto"/>
              </w:rPr>
            </w:pPr>
          </w:p>
        </w:tc>
      </w:tr>
      <w:tr>
        <w:trPr>
          <w:trHeight w:val="243"/>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1</w:t>
            </w:r>
          </w:p>
        </w:tc>
        <w:tc>
          <w:tcPr>
            <w:tcW w:w="3040" w:type="dxa"/>
            <w:vAlign w:val="bottom"/>
            <w:tcBorders>
              <w:right w:val="single" w:sz="8" w:color="3E3935"/>
            </w:tcBorders>
          </w:tcPr>
          <w:p>
            <w:pPr>
              <w:ind w:left="80"/>
              <w:spacing w:after="0"/>
              <w:rPr>
                <w:sz w:val="20"/>
                <w:szCs w:val="20"/>
                <w:color w:val="auto"/>
              </w:rPr>
            </w:pPr>
            <w:r>
              <w:rPr>
                <w:rFonts w:ascii="Arial" w:cs="Arial" w:eastAsia="Arial" w:hAnsi="Arial"/>
                <w:sz w:val="16"/>
                <w:szCs w:val="16"/>
                <w:color w:val="3E3935"/>
              </w:rPr>
              <w:t>Board Proposal Regarding Election of</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FOR</w:t>
            </w:r>
          </w:p>
        </w:tc>
        <w:tc>
          <w:tcPr>
            <w:tcW w:w="30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Majority of votes cast</w:t>
            </w: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118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C1DE"/>
            </w:tcBorders>
            <w:vMerge w:val="continue"/>
          </w:tcPr>
          <w:p>
            <w:pPr>
              <w:spacing w:after="0"/>
              <w:rPr>
                <w:sz w:val="8"/>
                <w:szCs w:val="8"/>
                <w:color w:val="auto"/>
              </w:rPr>
            </w:pP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Directors</w:t>
            </w:r>
          </w:p>
        </w:tc>
        <w:tc>
          <w:tcPr>
            <w:tcW w:w="1620" w:type="dxa"/>
            <w:vAlign w:val="bottom"/>
            <w:tcBorders>
              <w:right w:val="single" w:sz="8" w:color="3E3935"/>
            </w:tcBorders>
            <w:vMerge w:val="continue"/>
          </w:tcPr>
          <w:p>
            <w:pPr>
              <w:spacing w:after="0"/>
              <w:rPr>
                <w:sz w:val="8"/>
                <w:szCs w:val="8"/>
                <w:color w:val="auto"/>
              </w:rPr>
            </w:pPr>
          </w:p>
        </w:tc>
        <w:tc>
          <w:tcPr>
            <w:tcW w:w="306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00C1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860" w:type="dxa"/>
            <w:vAlign w:val="bottom"/>
            <w:tcBorders>
              <w:left w:val="single" w:sz="8" w:color="00C1DE"/>
              <w:bottom w:val="single" w:sz="8" w:color="3E3935"/>
            </w:tcBorders>
          </w:tcPr>
          <w:p>
            <w:pPr>
              <w:spacing w:after="0"/>
              <w:rPr>
                <w:sz w:val="9"/>
                <w:szCs w:val="9"/>
                <w:color w:val="auto"/>
              </w:rPr>
            </w:pPr>
          </w:p>
        </w:tc>
        <w:tc>
          <w:tcPr>
            <w:tcW w:w="3040" w:type="dxa"/>
            <w:vAlign w:val="bottom"/>
            <w:tcBorders>
              <w:bottom w:val="single" w:sz="8" w:color="3E3935"/>
              <w:right w:val="single" w:sz="8" w:color="3E3935"/>
            </w:tcBorders>
            <w:vMerge w:val="continue"/>
          </w:tcPr>
          <w:p>
            <w:pPr>
              <w:spacing w:after="0"/>
              <w:rPr>
                <w:sz w:val="9"/>
                <w:szCs w:val="9"/>
                <w:color w:val="auto"/>
              </w:rPr>
            </w:pPr>
          </w:p>
        </w:tc>
        <w:tc>
          <w:tcPr>
            <w:tcW w:w="1620" w:type="dxa"/>
            <w:vAlign w:val="bottom"/>
            <w:tcBorders>
              <w:bottom w:val="single" w:sz="8" w:color="3E3935"/>
              <w:right w:val="single" w:sz="8" w:color="3E3935"/>
            </w:tcBorders>
          </w:tcPr>
          <w:p>
            <w:pPr>
              <w:spacing w:after="0"/>
              <w:rPr>
                <w:sz w:val="9"/>
                <w:szCs w:val="9"/>
                <w:color w:val="auto"/>
              </w:rPr>
            </w:pPr>
          </w:p>
        </w:tc>
        <w:tc>
          <w:tcPr>
            <w:tcW w:w="3060" w:type="dxa"/>
            <w:vAlign w:val="bottom"/>
            <w:tcBorders>
              <w:bottom w:val="single" w:sz="8" w:color="3E3935"/>
              <w:right w:val="single" w:sz="8" w:color="3E3935"/>
            </w:tcBorders>
          </w:tcPr>
          <w:p>
            <w:pPr>
              <w:spacing w:after="0"/>
              <w:rPr>
                <w:sz w:val="9"/>
                <w:szCs w:val="9"/>
                <w:color w:val="auto"/>
              </w:rPr>
            </w:pPr>
          </w:p>
        </w:tc>
        <w:tc>
          <w:tcPr>
            <w:tcW w:w="1180" w:type="dxa"/>
            <w:vAlign w:val="bottom"/>
            <w:tcBorders>
              <w:bottom w:val="single" w:sz="8" w:color="3E3935"/>
              <w:right w:val="single" w:sz="8" w:color="3E3935"/>
            </w:tcBorders>
          </w:tcPr>
          <w:p>
            <w:pPr>
              <w:spacing w:after="0"/>
              <w:rPr>
                <w:sz w:val="9"/>
                <w:szCs w:val="9"/>
                <w:color w:val="auto"/>
              </w:rPr>
            </w:pPr>
          </w:p>
        </w:tc>
        <w:tc>
          <w:tcPr>
            <w:tcW w:w="1180" w:type="dxa"/>
            <w:vAlign w:val="bottom"/>
            <w:tcBorders>
              <w:bottom w:val="single" w:sz="8" w:color="3E3935"/>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60" w:type="dxa"/>
            <w:vAlign w:val="bottom"/>
            <w:tcBorders>
              <w:left w:val="single" w:sz="8" w:color="00C1DE"/>
            </w:tcBorders>
          </w:tcPr>
          <w:p>
            <w:pPr>
              <w:spacing w:after="0"/>
              <w:rPr>
                <w:sz w:val="21"/>
                <w:szCs w:val="21"/>
                <w:color w:val="auto"/>
              </w:rPr>
            </w:pPr>
          </w:p>
        </w:tc>
        <w:tc>
          <w:tcPr>
            <w:tcW w:w="3040" w:type="dxa"/>
            <w:vAlign w:val="bottom"/>
            <w:tcBorders>
              <w:right w:val="single" w:sz="8" w:color="3E3935"/>
            </w:tcBorders>
          </w:tcPr>
          <w:p>
            <w:pPr>
              <w:ind w:left="80"/>
              <w:spacing w:after="0"/>
              <w:rPr>
                <w:sz w:val="20"/>
                <w:szCs w:val="20"/>
                <w:color w:val="auto"/>
              </w:rPr>
            </w:pPr>
            <w:r>
              <w:rPr>
                <w:rFonts w:ascii="Arial" w:cs="Arial" w:eastAsia="Arial" w:hAnsi="Arial"/>
                <w:sz w:val="16"/>
                <w:szCs w:val="16"/>
                <w:color w:val="3E3935"/>
              </w:rPr>
              <w:t>Board Proposal to Approve, on an</w:t>
            </w:r>
          </w:p>
        </w:tc>
        <w:tc>
          <w:tcPr>
            <w:tcW w:w="1620" w:type="dxa"/>
            <w:vAlign w:val="bottom"/>
            <w:tcBorders>
              <w:right w:val="single" w:sz="8" w:color="3E3935"/>
            </w:tcBorders>
          </w:tcPr>
          <w:p>
            <w:pPr>
              <w:spacing w:after="0"/>
              <w:rPr>
                <w:sz w:val="21"/>
                <w:szCs w:val="21"/>
                <w:color w:val="auto"/>
              </w:rPr>
            </w:pPr>
          </w:p>
        </w:tc>
        <w:tc>
          <w:tcPr>
            <w:tcW w:w="3060" w:type="dxa"/>
            <w:vAlign w:val="bottom"/>
            <w:tcBorders>
              <w:right w:val="single" w:sz="8" w:color="3E3935"/>
            </w:tcBorders>
          </w:tcPr>
          <w:p>
            <w:pPr>
              <w:spacing w:after="0"/>
              <w:rPr>
                <w:sz w:val="21"/>
                <w:szCs w:val="21"/>
                <w:color w:val="auto"/>
              </w:rPr>
            </w:pP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180" w:type="dxa"/>
            <w:vAlign w:val="bottom"/>
            <w:tcBorders>
              <w:right w:val="single" w:sz="8" w:color="00C1DE"/>
            </w:tcBorders>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2</w:t>
            </w: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Advisory Basis, Named Executive Officer</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FOR</w:t>
            </w:r>
          </w:p>
        </w:tc>
        <w:tc>
          <w:tcPr>
            <w:tcW w:w="3060" w:type="dxa"/>
            <w:vAlign w:val="bottom"/>
            <w:tcBorders>
              <w:right w:val="single" w:sz="8" w:color="3E3935"/>
            </w:tcBorders>
          </w:tcPr>
          <w:p>
            <w:pPr>
              <w:spacing w:after="0"/>
              <w:rPr>
                <w:sz w:val="8"/>
                <w:szCs w:val="8"/>
                <w:color w:val="auto"/>
              </w:rPr>
            </w:pPr>
          </w:p>
        </w:tc>
        <w:tc>
          <w:tcPr>
            <w:tcW w:w="118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94"/>
        </w:trPr>
        <w:tc>
          <w:tcPr>
            <w:tcW w:w="860" w:type="dxa"/>
            <w:vAlign w:val="bottom"/>
            <w:tcBorders>
              <w:left w:val="single" w:sz="8" w:color="00C1DE"/>
            </w:tcBorders>
            <w:vMerge w:val="continue"/>
          </w:tcPr>
          <w:p>
            <w:pPr>
              <w:spacing w:after="0"/>
              <w:rPr>
                <w:sz w:val="8"/>
                <w:szCs w:val="8"/>
                <w:color w:val="auto"/>
              </w:rPr>
            </w:pPr>
          </w:p>
        </w:tc>
        <w:tc>
          <w:tcPr>
            <w:tcW w:w="3040" w:type="dxa"/>
            <w:vAlign w:val="bottom"/>
            <w:tcBorders>
              <w:right w:val="single" w:sz="8" w:color="3E3935"/>
            </w:tcBorders>
            <w:vMerge w:val="continue"/>
          </w:tcPr>
          <w:p>
            <w:pPr>
              <w:spacing w:after="0"/>
              <w:rPr>
                <w:sz w:val="8"/>
                <w:szCs w:val="8"/>
                <w:color w:val="auto"/>
              </w:rPr>
            </w:pPr>
          </w:p>
        </w:tc>
        <w:tc>
          <w:tcPr>
            <w:tcW w:w="1620" w:type="dxa"/>
            <w:vAlign w:val="bottom"/>
            <w:tcBorders>
              <w:right w:val="single" w:sz="8" w:color="3E3935"/>
            </w:tcBorders>
            <w:vMerge w:val="continue"/>
          </w:tcPr>
          <w:p>
            <w:pPr>
              <w:spacing w:after="0"/>
              <w:rPr>
                <w:sz w:val="8"/>
                <w:szCs w:val="8"/>
                <w:color w:val="auto"/>
              </w:rPr>
            </w:pPr>
          </w:p>
        </w:tc>
        <w:tc>
          <w:tcPr>
            <w:tcW w:w="3060" w:type="dxa"/>
            <w:vAlign w:val="bottom"/>
            <w:tcBorders>
              <w:right w:val="single" w:sz="8" w:color="3E3935"/>
            </w:tcBorders>
          </w:tcPr>
          <w:p>
            <w:pPr>
              <w:spacing w:after="0"/>
              <w:rPr>
                <w:sz w:val="8"/>
                <w:szCs w:val="8"/>
                <w:color w:val="auto"/>
              </w:rPr>
            </w:pP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180" w:type="dxa"/>
            <w:vAlign w:val="bottom"/>
            <w:tcBorders>
              <w:right w:val="single" w:sz="8" w:color="00C1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00C1DE"/>
            </w:tcBorders>
          </w:tcPr>
          <w:p>
            <w:pPr>
              <w:spacing w:after="0"/>
              <w:rPr>
                <w:sz w:val="8"/>
                <w:szCs w:val="8"/>
                <w:color w:val="auto"/>
              </w:rPr>
            </w:pP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Compensation</w:t>
            </w:r>
          </w:p>
        </w:tc>
        <w:tc>
          <w:tcPr>
            <w:tcW w:w="1620" w:type="dxa"/>
            <w:vAlign w:val="bottom"/>
            <w:tcBorders>
              <w:right w:val="single" w:sz="8" w:color="3E3935"/>
            </w:tcBorders>
          </w:tcPr>
          <w:p>
            <w:pPr>
              <w:spacing w:after="0"/>
              <w:rPr>
                <w:sz w:val="8"/>
                <w:szCs w:val="8"/>
                <w:color w:val="auto"/>
              </w:rPr>
            </w:pPr>
          </w:p>
        </w:tc>
        <w:tc>
          <w:tcPr>
            <w:tcW w:w="3060" w:type="dxa"/>
            <w:vAlign w:val="bottom"/>
            <w:tcBorders>
              <w:right w:val="single" w:sz="8" w:color="3E3935"/>
            </w:tcBorders>
          </w:tcPr>
          <w:p>
            <w:pPr>
              <w:spacing w:after="0"/>
              <w:rPr>
                <w:sz w:val="8"/>
                <w:szCs w:val="8"/>
                <w:color w:val="auto"/>
              </w:rPr>
            </w:pPr>
          </w:p>
        </w:tc>
        <w:tc>
          <w:tcPr>
            <w:tcW w:w="118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00C1DE"/>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860" w:type="dxa"/>
            <w:vAlign w:val="bottom"/>
            <w:tcBorders>
              <w:left w:val="single" w:sz="8" w:color="00C1DE"/>
              <w:bottom w:val="single" w:sz="8" w:color="3E3935"/>
            </w:tcBorders>
          </w:tcPr>
          <w:p>
            <w:pPr>
              <w:spacing w:after="0"/>
              <w:rPr>
                <w:sz w:val="9"/>
                <w:szCs w:val="9"/>
                <w:color w:val="auto"/>
              </w:rPr>
            </w:pPr>
          </w:p>
        </w:tc>
        <w:tc>
          <w:tcPr>
            <w:tcW w:w="3040" w:type="dxa"/>
            <w:vAlign w:val="bottom"/>
            <w:tcBorders>
              <w:bottom w:val="single" w:sz="8" w:color="3E3935"/>
              <w:right w:val="single" w:sz="8" w:color="3E3935"/>
            </w:tcBorders>
            <w:vMerge w:val="continue"/>
          </w:tcPr>
          <w:p>
            <w:pPr>
              <w:spacing w:after="0"/>
              <w:rPr>
                <w:sz w:val="9"/>
                <w:szCs w:val="9"/>
                <w:color w:val="auto"/>
              </w:rPr>
            </w:pPr>
          </w:p>
        </w:tc>
        <w:tc>
          <w:tcPr>
            <w:tcW w:w="1620" w:type="dxa"/>
            <w:vAlign w:val="bottom"/>
            <w:tcBorders>
              <w:bottom w:val="single" w:sz="8" w:color="3E3935"/>
              <w:right w:val="single" w:sz="8" w:color="3E3935"/>
            </w:tcBorders>
          </w:tcPr>
          <w:p>
            <w:pPr>
              <w:spacing w:after="0"/>
              <w:rPr>
                <w:sz w:val="9"/>
                <w:szCs w:val="9"/>
                <w:color w:val="auto"/>
              </w:rPr>
            </w:pPr>
          </w:p>
        </w:tc>
        <w:tc>
          <w:tcPr>
            <w:tcW w:w="3060" w:type="dxa"/>
            <w:vAlign w:val="bottom"/>
            <w:tcBorders>
              <w:right w:val="single" w:sz="8" w:color="3E3935"/>
            </w:tcBorders>
          </w:tcPr>
          <w:p>
            <w:pPr>
              <w:spacing w:after="0"/>
              <w:rPr>
                <w:sz w:val="9"/>
                <w:szCs w:val="9"/>
                <w:color w:val="auto"/>
              </w:rPr>
            </w:pPr>
          </w:p>
        </w:tc>
        <w:tc>
          <w:tcPr>
            <w:tcW w:w="1180" w:type="dxa"/>
            <w:vAlign w:val="bottom"/>
            <w:tcBorders>
              <w:bottom w:val="single" w:sz="8" w:color="3E3935"/>
              <w:right w:val="single" w:sz="8" w:color="3E3935"/>
            </w:tcBorders>
          </w:tcPr>
          <w:p>
            <w:pPr>
              <w:spacing w:after="0"/>
              <w:rPr>
                <w:sz w:val="9"/>
                <w:szCs w:val="9"/>
                <w:color w:val="auto"/>
              </w:rPr>
            </w:pPr>
          </w:p>
        </w:tc>
        <w:tc>
          <w:tcPr>
            <w:tcW w:w="1180" w:type="dxa"/>
            <w:vAlign w:val="bottom"/>
            <w:tcBorders>
              <w:bottom w:val="single" w:sz="8" w:color="3E3935"/>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60" w:type="dxa"/>
            <w:vAlign w:val="bottom"/>
            <w:tcBorders>
              <w:left w:val="single" w:sz="8" w:color="00C1DE"/>
            </w:tcBorders>
          </w:tcPr>
          <w:p>
            <w:pPr>
              <w:spacing w:after="0"/>
              <w:rPr>
                <w:sz w:val="19"/>
                <w:szCs w:val="19"/>
                <w:color w:val="auto"/>
              </w:rPr>
            </w:pPr>
          </w:p>
        </w:tc>
        <w:tc>
          <w:tcPr>
            <w:tcW w:w="3040" w:type="dxa"/>
            <w:vAlign w:val="bottom"/>
            <w:tcBorders>
              <w:right w:val="single" w:sz="8" w:color="3E3935"/>
            </w:tcBorders>
          </w:tcPr>
          <w:p>
            <w:pPr>
              <w:ind w:left="80"/>
              <w:spacing w:after="0"/>
              <w:rPr>
                <w:sz w:val="20"/>
                <w:szCs w:val="20"/>
                <w:color w:val="auto"/>
              </w:rPr>
            </w:pPr>
            <w:r>
              <w:rPr>
                <w:rFonts w:ascii="Arial" w:cs="Arial" w:eastAsia="Arial" w:hAnsi="Arial"/>
                <w:sz w:val="16"/>
                <w:szCs w:val="16"/>
                <w:color w:val="3E3935"/>
              </w:rPr>
              <w:t>Board Proposal to Ratify the Selection of</w:t>
            </w:r>
          </w:p>
        </w:tc>
        <w:tc>
          <w:tcPr>
            <w:tcW w:w="1620" w:type="dxa"/>
            <w:vAlign w:val="bottom"/>
            <w:tcBorders>
              <w:right w:val="single" w:sz="8" w:color="3E3935"/>
            </w:tcBorders>
          </w:tcPr>
          <w:p>
            <w:pPr>
              <w:spacing w:after="0"/>
              <w:rPr>
                <w:sz w:val="19"/>
                <w:szCs w:val="19"/>
                <w:color w:val="auto"/>
              </w:rPr>
            </w:pPr>
          </w:p>
        </w:tc>
        <w:tc>
          <w:tcPr>
            <w:tcW w:w="3060" w:type="dxa"/>
            <w:vAlign w:val="bottom"/>
            <w:tcBorders>
              <w:right w:val="single" w:sz="8" w:color="3E3935"/>
            </w:tcBorders>
          </w:tcPr>
          <w:p>
            <w:pPr>
              <w:spacing w:after="0"/>
              <w:rPr>
                <w:sz w:val="19"/>
                <w:szCs w:val="19"/>
                <w:color w:val="auto"/>
              </w:rPr>
            </w:pP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18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8"/>
              </w:rPr>
              <w:t>Discretionary</w:t>
            </w:r>
          </w:p>
        </w:tc>
        <w:tc>
          <w:tcPr>
            <w:tcW w:w="0" w:type="dxa"/>
            <w:vAlign w:val="bottom"/>
          </w:tcPr>
          <w:p>
            <w:pPr>
              <w:spacing w:after="0"/>
              <w:rPr>
                <w:sz w:val="1"/>
                <w:szCs w:val="1"/>
                <w:color w:val="auto"/>
              </w:rPr>
            </w:pPr>
          </w:p>
        </w:tc>
      </w:tr>
      <w:tr>
        <w:trPr>
          <w:trHeight w:val="174"/>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3</w:t>
            </w:r>
          </w:p>
        </w:tc>
        <w:tc>
          <w:tcPr>
            <w:tcW w:w="3040" w:type="dxa"/>
            <w:vAlign w:val="bottom"/>
            <w:tcBorders>
              <w:right w:val="single" w:sz="8" w:color="3E3935"/>
            </w:tcBorders>
          </w:tcPr>
          <w:p>
            <w:pPr>
              <w:ind w:left="80"/>
              <w:spacing w:after="0" w:line="174" w:lineRule="exact"/>
              <w:rPr>
                <w:sz w:val="20"/>
                <w:szCs w:val="20"/>
                <w:color w:val="auto"/>
              </w:rPr>
            </w:pPr>
            <w:r>
              <w:rPr>
                <w:rFonts w:ascii="Arial" w:cs="Arial" w:eastAsia="Arial" w:hAnsi="Arial"/>
                <w:sz w:val="16"/>
                <w:szCs w:val="16"/>
                <w:color w:val="3E3935"/>
              </w:rPr>
              <w:t>Ernst &amp; Young LLP as the Company’s</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FOR</w:t>
            </w:r>
          </w:p>
        </w:tc>
        <w:tc>
          <w:tcPr>
            <w:tcW w:w="3060" w:type="dxa"/>
            <w:vAlign w:val="bottom"/>
            <w:tcBorders>
              <w:right w:val="single" w:sz="8" w:color="3E3935"/>
            </w:tcBorders>
          </w:tcPr>
          <w:p>
            <w:pPr>
              <w:spacing w:after="0"/>
              <w:rPr>
                <w:sz w:val="15"/>
                <w:szCs w:val="15"/>
                <w:color w:val="auto"/>
              </w:rPr>
            </w:pPr>
          </w:p>
        </w:tc>
        <w:tc>
          <w:tcPr>
            <w:tcW w:w="1180" w:type="dxa"/>
            <w:vAlign w:val="bottom"/>
            <w:tcBorders>
              <w:right w:val="single" w:sz="8" w:color="3E3935"/>
            </w:tcBorders>
            <w:vMerge w:val="continue"/>
          </w:tcPr>
          <w:p>
            <w:pPr>
              <w:spacing w:after="0"/>
              <w:rPr>
                <w:sz w:val="15"/>
                <w:szCs w:val="15"/>
                <w:color w:val="auto"/>
              </w:rPr>
            </w:pPr>
          </w:p>
        </w:tc>
        <w:tc>
          <w:tcPr>
            <w:tcW w:w="1180" w:type="dxa"/>
            <w:vAlign w:val="bottom"/>
            <w:tcBorders>
              <w:right w:val="single" w:sz="8" w:color="00C1D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00C1DE"/>
            </w:tcBorders>
            <w:vMerge w:val="continue"/>
          </w:tcPr>
          <w:p>
            <w:pPr>
              <w:spacing w:after="0"/>
              <w:rPr>
                <w:sz w:val="8"/>
                <w:szCs w:val="8"/>
                <w:color w:val="auto"/>
              </w:rPr>
            </w:pP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Independent Registered Public</w:t>
            </w:r>
          </w:p>
        </w:tc>
        <w:tc>
          <w:tcPr>
            <w:tcW w:w="1620" w:type="dxa"/>
            <w:vAlign w:val="bottom"/>
            <w:tcBorders>
              <w:right w:val="single" w:sz="8" w:color="3E3935"/>
            </w:tcBorders>
            <w:vMerge w:val="continue"/>
          </w:tcPr>
          <w:p>
            <w:pPr>
              <w:spacing w:after="0"/>
              <w:rPr>
                <w:sz w:val="8"/>
                <w:szCs w:val="8"/>
                <w:color w:val="auto"/>
              </w:rPr>
            </w:pPr>
          </w:p>
        </w:tc>
        <w:tc>
          <w:tcPr>
            <w:tcW w:w="306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w w:val="99"/>
              </w:rPr>
              <w:t>Majority of shares present</w:t>
            </w: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18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rPr>
              <w:t>vote</w:t>
            </w:r>
          </w:p>
        </w:tc>
        <w:tc>
          <w:tcPr>
            <w:tcW w:w="0" w:type="dxa"/>
            <w:vAlign w:val="bottom"/>
          </w:tcPr>
          <w:p>
            <w:pPr>
              <w:spacing w:after="0"/>
              <w:rPr>
                <w:sz w:val="1"/>
                <w:szCs w:val="1"/>
                <w:color w:val="auto"/>
              </w:rPr>
            </w:pPr>
          </w:p>
        </w:tc>
      </w:tr>
      <w:tr>
        <w:trPr>
          <w:trHeight w:val="101"/>
        </w:trPr>
        <w:tc>
          <w:tcPr>
            <w:tcW w:w="860" w:type="dxa"/>
            <w:vAlign w:val="bottom"/>
            <w:tcBorders>
              <w:left w:val="single" w:sz="8" w:color="00C1DE"/>
            </w:tcBorders>
          </w:tcPr>
          <w:p>
            <w:pPr>
              <w:spacing w:after="0"/>
              <w:rPr>
                <w:sz w:val="8"/>
                <w:szCs w:val="8"/>
                <w:color w:val="auto"/>
              </w:rPr>
            </w:pPr>
          </w:p>
        </w:tc>
        <w:tc>
          <w:tcPr>
            <w:tcW w:w="3040" w:type="dxa"/>
            <w:vAlign w:val="bottom"/>
            <w:tcBorders>
              <w:right w:val="single" w:sz="8" w:color="3E3935"/>
            </w:tcBorders>
            <w:vMerge w:val="continue"/>
          </w:tcPr>
          <w:p>
            <w:pPr>
              <w:spacing w:after="0"/>
              <w:rPr>
                <w:sz w:val="8"/>
                <w:szCs w:val="8"/>
                <w:color w:val="auto"/>
              </w:rPr>
            </w:pPr>
          </w:p>
        </w:tc>
        <w:tc>
          <w:tcPr>
            <w:tcW w:w="1620" w:type="dxa"/>
            <w:vAlign w:val="bottom"/>
            <w:tcBorders>
              <w:right w:val="single" w:sz="8" w:color="3E3935"/>
            </w:tcBorders>
          </w:tcPr>
          <w:p>
            <w:pPr>
              <w:spacing w:after="0"/>
              <w:rPr>
                <w:sz w:val="8"/>
                <w:szCs w:val="8"/>
                <w:color w:val="auto"/>
              </w:rPr>
            </w:pPr>
          </w:p>
        </w:tc>
        <w:tc>
          <w:tcPr>
            <w:tcW w:w="306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00C1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860" w:type="dxa"/>
            <w:vAlign w:val="bottom"/>
            <w:tcBorders>
              <w:left w:val="single" w:sz="8" w:color="00C1DE"/>
            </w:tcBorders>
          </w:tcPr>
          <w:p>
            <w:pPr>
              <w:spacing w:after="0"/>
              <w:rPr>
                <w:sz w:val="4"/>
                <w:szCs w:val="4"/>
                <w:color w:val="auto"/>
              </w:rPr>
            </w:pP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Accounting Firm for 2021</w:t>
            </w:r>
          </w:p>
        </w:tc>
        <w:tc>
          <w:tcPr>
            <w:tcW w:w="1620" w:type="dxa"/>
            <w:vAlign w:val="bottom"/>
            <w:tcBorders>
              <w:right w:val="single" w:sz="8" w:color="3E3935"/>
            </w:tcBorders>
          </w:tcPr>
          <w:p>
            <w:pPr>
              <w:spacing w:after="0"/>
              <w:rPr>
                <w:sz w:val="4"/>
                <w:szCs w:val="4"/>
                <w:color w:val="auto"/>
              </w:rPr>
            </w:pPr>
          </w:p>
        </w:tc>
        <w:tc>
          <w:tcPr>
            <w:tcW w:w="3060" w:type="dxa"/>
            <w:vAlign w:val="bottom"/>
            <w:tcBorders>
              <w:right w:val="single" w:sz="8" w:color="3E3935"/>
            </w:tcBorders>
            <w:vMerge w:val="continue"/>
          </w:tcPr>
          <w:p>
            <w:pPr>
              <w:spacing w:after="0"/>
              <w:rPr>
                <w:sz w:val="4"/>
                <w:szCs w:val="4"/>
                <w:color w:val="auto"/>
              </w:rPr>
            </w:pPr>
          </w:p>
        </w:tc>
        <w:tc>
          <w:tcPr>
            <w:tcW w:w="1180" w:type="dxa"/>
            <w:vAlign w:val="bottom"/>
            <w:tcBorders>
              <w:right w:val="single" w:sz="8" w:color="3E3935"/>
            </w:tcBorders>
          </w:tcPr>
          <w:p>
            <w:pPr>
              <w:spacing w:after="0"/>
              <w:rPr>
                <w:sz w:val="4"/>
                <w:szCs w:val="4"/>
                <w:color w:val="auto"/>
              </w:rPr>
            </w:pPr>
          </w:p>
        </w:tc>
        <w:tc>
          <w:tcPr>
            <w:tcW w:w="1180" w:type="dxa"/>
            <w:vAlign w:val="bottom"/>
            <w:tcBorders>
              <w:right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00C1DE"/>
            </w:tcBorders>
          </w:tcPr>
          <w:p>
            <w:pPr>
              <w:spacing w:after="0"/>
              <w:rPr>
                <w:sz w:val="12"/>
                <w:szCs w:val="12"/>
                <w:color w:val="auto"/>
              </w:rPr>
            </w:pPr>
          </w:p>
        </w:tc>
        <w:tc>
          <w:tcPr>
            <w:tcW w:w="3040" w:type="dxa"/>
            <w:vAlign w:val="bottom"/>
            <w:tcBorders>
              <w:right w:val="single" w:sz="8" w:color="3E3935"/>
            </w:tcBorders>
            <w:vMerge w:val="continue"/>
          </w:tcPr>
          <w:p>
            <w:pPr>
              <w:spacing w:after="0"/>
              <w:rPr>
                <w:sz w:val="12"/>
                <w:szCs w:val="12"/>
                <w:color w:val="auto"/>
              </w:rPr>
            </w:pPr>
          </w:p>
        </w:tc>
        <w:tc>
          <w:tcPr>
            <w:tcW w:w="1620" w:type="dxa"/>
            <w:vAlign w:val="bottom"/>
            <w:tcBorders>
              <w:right w:val="single" w:sz="8" w:color="3E3935"/>
            </w:tcBorders>
          </w:tcPr>
          <w:p>
            <w:pPr>
              <w:spacing w:after="0"/>
              <w:rPr>
                <w:sz w:val="12"/>
                <w:szCs w:val="12"/>
                <w:color w:val="auto"/>
              </w:rPr>
            </w:pPr>
          </w:p>
        </w:tc>
        <w:tc>
          <w:tcPr>
            <w:tcW w:w="3060" w:type="dxa"/>
            <w:vAlign w:val="bottom"/>
            <w:tcBorders>
              <w:right w:val="single" w:sz="8" w:color="3E3935"/>
            </w:tcBorders>
            <w:vMerge w:val="restart"/>
          </w:tcPr>
          <w:p>
            <w:pPr>
              <w:jc w:val="center"/>
              <w:spacing w:after="0" w:line="172" w:lineRule="exact"/>
              <w:rPr>
                <w:sz w:val="20"/>
                <w:szCs w:val="20"/>
                <w:color w:val="auto"/>
              </w:rPr>
            </w:pPr>
            <w:r>
              <w:rPr>
                <w:rFonts w:ascii="Arial" w:cs="Arial" w:eastAsia="Arial" w:hAnsi="Arial"/>
                <w:sz w:val="16"/>
                <w:szCs w:val="16"/>
                <w:color w:val="3E3935"/>
                <w:w w:val="99"/>
              </w:rPr>
              <w:t>(in person or by proxy)</w:t>
            </w:r>
          </w:p>
        </w:tc>
        <w:tc>
          <w:tcPr>
            <w:tcW w:w="1180" w:type="dxa"/>
            <w:vAlign w:val="bottom"/>
            <w:tcBorders>
              <w:right w:val="single" w:sz="8" w:color="3E3935"/>
            </w:tcBorders>
          </w:tcPr>
          <w:p>
            <w:pPr>
              <w:spacing w:after="0"/>
              <w:rPr>
                <w:sz w:val="12"/>
                <w:szCs w:val="12"/>
                <w:color w:val="auto"/>
              </w:rPr>
            </w:pPr>
          </w:p>
        </w:tc>
        <w:tc>
          <w:tcPr>
            <w:tcW w:w="1180" w:type="dxa"/>
            <w:vAlign w:val="bottom"/>
            <w:tcBorders>
              <w:right w:val="single" w:sz="8" w:color="00C1DE"/>
            </w:tcBorders>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860" w:type="dxa"/>
            <w:vAlign w:val="bottom"/>
            <w:tcBorders>
              <w:left w:val="single" w:sz="8" w:color="00C1DE"/>
              <w:bottom w:val="single" w:sz="8" w:color="3E3935"/>
            </w:tcBorders>
          </w:tcPr>
          <w:p>
            <w:pPr>
              <w:spacing w:after="0"/>
              <w:rPr>
                <w:sz w:val="2"/>
                <w:szCs w:val="2"/>
                <w:color w:val="auto"/>
              </w:rPr>
            </w:pPr>
          </w:p>
        </w:tc>
        <w:tc>
          <w:tcPr>
            <w:tcW w:w="3040" w:type="dxa"/>
            <w:vAlign w:val="bottom"/>
            <w:tcBorders>
              <w:bottom w:val="single" w:sz="8" w:color="3E3935"/>
              <w:right w:val="single" w:sz="8" w:color="3E3935"/>
            </w:tcBorders>
          </w:tcPr>
          <w:p>
            <w:pPr>
              <w:spacing w:after="0"/>
              <w:rPr>
                <w:sz w:val="2"/>
                <w:szCs w:val="2"/>
                <w:color w:val="auto"/>
              </w:rPr>
            </w:pPr>
          </w:p>
        </w:tc>
        <w:tc>
          <w:tcPr>
            <w:tcW w:w="1620" w:type="dxa"/>
            <w:vAlign w:val="bottom"/>
            <w:tcBorders>
              <w:bottom w:val="single" w:sz="8" w:color="3E3935"/>
              <w:right w:val="single" w:sz="8" w:color="3E3935"/>
            </w:tcBorders>
          </w:tcPr>
          <w:p>
            <w:pPr>
              <w:spacing w:after="0"/>
              <w:rPr>
                <w:sz w:val="2"/>
                <w:szCs w:val="2"/>
                <w:color w:val="auto"/>
              </w:rPr>
            </w:pPr>
          </w:p>
        </w:tc>
        <w:tc>
          <w:tcPr>
            <w:tcW w:w="3060" w:type="dxa"/>
            <w:vAlign w:val="bottom"/>
            <w:tcBorders>
              <w:right w:val="single" w:sz="8" w:color="3E3935"/>
            </w:tcBorders>
            <w:vMerge w:val="continue"/>
          </w:tcPr>
          <w:p>
            <w:pPr>
              <w:spacing w:after="0"/>
              <w:rPr>
                <w:sz w:val="2"/>
                <w:szCs w:val="2"/>
                <w:color w:val="auto"/>
              </w:rPr>
            </w:pPr>
          </w:p>
        </w:tc>
        <w:tc>
          <w:tcPr>
            <w:tcW w:w="1180" w:type="dxa"/>
            <w:vAlign w:val="bottom"/>
            <w:tcBorders>
              <w:bottom w:val="single" w:sz="8" w:color="3E3935"/>
              <w:right w:val="single" w:sz="8" w:color="3E3935"/>
            </w:tcBorders>
          </w:tcPr>
          <w:p>
            <w:pPr>
              <w:spacing w:after="0"/>
              <w:rPr>
                <w:sz w:val="2"/>
                <w:szCs w:val="2"/>
                <w:color w:val="auto"/>
              </w:rPr>
            </w:pPr>
          </w:p>
        </w:tc>
        <w:tc>
          <w:tcPr>
            <w:tcW w:w="118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4</w:t>
            </w:r>
          </w:p>
        </w:tc>
        <w:tc>
          <w:tcPr>
            <w:tcW w:w="3040" w:type="dxa"/>
            <w:vAlign w:val="bottom"/>
            <w:tcBorders>
              <w:right w:val="single" w:sz="8" w:color="3E3935"/>
            </w:tcBorders>
          </w:tcPr>
          <w:p>
            <w:pPr>
              <w:ind w:left="80"/>
              <w:spacing w:after="0"/>
              <w:rPr>
                <w:sz w:val="20"/>
                <w:szCs w:val="20"/>
                <w:color w:val="auto"/>
              </w:rPr>
            </w:pPr>
            <w:r>
              <w:rPr>
                <w:rFonts w:ascii="Arial" w:cs="Arial" w:eastAsia="Arial" w:hAnsi="Arial"/>
                <w:sz w:val="16"/>
                <w:szCs w:val="16"/>
                <w:color w:val="3E3935"/>
              </w:rPr>
              <w:t>Shareholder Proposal Regarding</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AGAINST</w:t>
            </w:r>
          </w:p>
        </w:tc>
        <w:tc>
          <w:tcPr>
            <w:tcW w:w="306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and entitled to vote</w:t>
            </w:r>
          </w:p>
        </w:tc>
        <w:tc>
          <w:tcPr>
            <w:tcW w:w="118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Counted as</w:t>
            </w:r>
          </w:p>
        </w:tc>
        <w:tc>
          <w:tcPr>
            <w:tcW w:w="118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C1DE"/>
            </w:tcBorders>
            <w:vMerge w:val="continue"/>
          </w:tcPr>
          <w:p>
            <w:pPr>
              <w:spacing w:after="0"/>
              <w:rPr>
                <w:sz w:val="8"/>
                <w:szCs w:val="8"/>
                <w:color w:val="auto"/>
              </w:rPr>
            </w:pP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Shareholder Written Consent</w:t>
            </w:r>
          </w:p>
        </w:tc>
        <w:tc>
          <w:tcPr>
            <w:tcW w:w="1620" w:type="dxa"/>
            <w:vAlign w:val="bottom"/>
            <w:tcBorders>
              <w:right w:val="single" w:sz="8" w:color="3E3935"/>
            </w:tcBorders>
            <w:vMerge w:val="continue"/>
          </w:tcPr>
          <w:p>
            <w:pPr>
              <w:spacing w:after="0"/>
              <w:rPr>
                <w:sz w:val="8"/>
                <w:szCs w:val="8"/>
                <w:color w:val="auto"/>
              </w:rPr>
            </w:pPr>
          </w:p>
        </w:tc>
        <w:tc>
          <w:tcPr>
            <w:tcW w:w="3060" w:type="dxa"/>
            <w:vAlign w:val="bottom"/>
            <w:tcBorders>
              <w:right w:val="single" w:sz="8" w:color="3E3935"/>
            </w:tcBorders>
          </w:tcPr>
          <w:p>
            <w:pPr>
              <w:spacing w:after="0"/>
              <w:rPr>
                <w:sz w:val="8"/>
                <w:szCs w:val="8"/>
                <w:color w:val="auto"/>
              </w:rPr>
            </w:pP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180" w:type="dxa"/>
            <w:vAlign w:val="bottom"/>
            <w:tcBorders>
              <w:right w:val="single" w:sz="8" w:color="00C1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60" w:type="dxa"/>
            <w:vAlign w:val="bottom"/>
            <w:tcBorders>
              <w:left w:val="single" w:sz="8" w:color="00C1DE"/>
            </w:tcBorders>
          </w:tcPr>
          <w:p>
            <w:pPr>
              <w:spacing w:after="0"/>
              <w:rPr>
                <w:sz w:val="9"/>
                <w:szCs w:val="9"/>
                <w:color w:val="auto"/>
              </w:rPr>
            </w:pPr>
          </w:p>
        </w:tc>
        <w:tc>
          <w:tcPr>
            <w:tcW w:w="3040" w:type="dxa"/>
            <w:vAlign w:val="bottom"/>
            <w:tcBorders>
              <w:right w:val="single" w:sz="8" w:color="3E3935"/>
            </w:tcBorders>
            <w:vMerge w:val="continue"/>
          </w:tcPr>
          <w:p>
            <w:pPr>
              <w:spacing w:after="0"/>
              <w:rPr>
                <w:sz w:val="9"/>
                <w:szCs w:val="9"/>
                <w:color w:val="auto"/>
              </w:rPr>
            </w:pPr>
          </w:p>
        </w:tc>
        <w:tc>
          <w:tcPr>
            <w:tcW w:w="1620" w:type="dxa"/>
            <w:vAlign w:val="bottom"/>
            <w:tcBorders>
              <w:right w:val="single" w:sz="8" w:color="3E3935"/>
            </w:tcBorders>
          </w:tcPr>
          <w:p>
            <w:pPr>
              <w:spacing w:after="0"/>
              <w:rPr>
                <w:sz w:val="9"/>
                <w:szCs w:val="9"/>
                <w:color w:val="auto"/>
              </w:rPr>
            </w:pPr>
          </w:p>
        </w:tc>
        <w:tc>
          <w:tcPr>
            <w:tcW w:w="3060" w:type="dxa"/>
            <w:vAlign w:val="bottom"/>
            <w:tcBorders>
              <w:right w:val="single" w:sz="8" w:color="3E3935"/>
            </w:tcBorders>
          </w:tcPr>
          <w:p>
            <w:pPr>
              <w:spacing w:after="0"/>
              <w:rPr>
                <w:sz w:val="9"/>
                <w:szCs w:val="9"/>
                <w:color w:val="auto"/>
              </w:rPr>
            </w:pPr>
          </w:p>
        </w:tc>
        <w:tc>
          <w:tcPr>
            <w:tcW w:w="1180" w:type="dxa"/>
            <w:vAlign w:val="bottom"/>
            <w:tcBorders>
              <w:right w:val="single" w:sz="8" w:color="3E3935"/>
            </w:tcBorders>
            <w:vMerge w:val="continue"/>
          </w:tcPr>
          <w:p>
            <w:pPr>
              <w:spacing w:after="0"/>
              <w:rPr>
                <w:sz w:val="9"/>
                <w:szCs w:val="9"/>
                <w:color w:val="auto"/>
              </w:rPr>
            </w:pPr>
          </w:p>
        </w:tc>
        <w:tc>
          <w:tcPr>
            <w:tcW w:w="1180" w:type="dxa"/>
            <w:vAlign w:val="bottom"/>
            <w:tcBorders>
              <w:right w:val="single" w:sz="8" w:color="00C1DE"/>
            </w:tcBorders>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860" w:type="dxa"/>
            <w:vAlign w:val="bottom"/>
            <w:tcBorders>
              <w:left w:val="single" w:sz="8" w:color="00C1DE"/>
              <w:bottom w:val="single" w:sz="8" w:color="3E3935"/>
            </w:tcBorders>
          </w:tcPr>
          <w:p>
            <w:pPr>
              <w:spacing w:after="0"/>
              <w:rPr>
                <w:sz w:val="2"/>
                <w:szCs w:val="2"/>
                <w:color w:val="auto"/>
              </w:rPr>
            </w:pPr>
          </w:p>
        </w:tc>
        <w:tc>
          <w:tcPr>
            <w:tcW w:w="3040" w:type="dxa"/>
            <w:vAlign w:val="bottom"/>
            <w:tcBorders>
              <w:bottom w:val="single" w:sz="8" w:color="3E3935"/>
              <w:right w:val="single" w:sz="8" w:color="3E3935"/>
            </w:tcBorders>
          </w:tcPr>
          <w:p>
            <w:pPr>
              <w:spacing w:after="0"/>
              <w:rPr>
                <w:sz w:val="2"/>
                <w:szCs w:val="2"/>
                <w:color w:val="auto"/>
              </w:rPr>
            </w:pPr>
          </w:p>
        </w:tc>
        <w:tc>
          <w:tcPr>
            <w:tcW w:w="1620" w:type="dxa"/>
            <w:vAlign w:val="bottom"/>
            <w:tcBorders>
              <w:bottom w:val="single" w:sz="8" w:color="3E3935"/>
              <w:right w:val="single" w:sz="8" w:color="3E3935"/>
            </w:tcBorders>
          </w:tcPr>
          <w:p>
            <w:pPr>
              <w:spacing w:after="0"/>
              <w:rPr>
                <w:sz w:val="2"/>
                <w:szCs w:val="2"/>
                <w:color w:val="auto"/>
              </w:rPr>
            </w:pPr>
          </w:p>
        </w:tc>
        <w:tc>
          <w:tcPr>
            <w:tcW w:w="3060" w:type="dxa"/>
            <w:vAlign w:val="bottom"/>
            <w:tcBorders>
              <w:right w:val="single" w:sz="8" w:color="3E3935"/>
            </w:tcBorders>
          </w:tcPr>
          <w:p>
            <w:pPr>
              <w:spacing w:after="0"/>
              <w:rPr>
                <w:sz w:val="2"/>
                <w:szCs w:val="2"/>
                <w:color w:val="auto"/>
              </w:rPr>
            </w:pPr>
          </w:p>
        </w:tc>
        <w:tc>
          <w:tcPr>
            <w:tcW w:w="1180" w:type="dxa"/>
            <w:vAlign w:val="bottom"/>
            <w:tcBorders>
              <w:bottom w:val="single" w:sz="8" w:color="3E3935"/>
              <w:right w:val="single" w:sz="8" w:color="3E3935"/>
            </w:tcBorders>
          </w:tcPr>
          <w:p>
            <w:pPr>
              <w:spacing w:after="0"/>
              <w:rPr>
                <w:sz w:val="2"/>
                <w:szCs w:val="2"/>
                <w:color w:val="auto"/>
              </w:rPr>
            </w:pPr>
          </w:p>
        </w:tc>
        <w:tc>
          <w:tcPr>
            <w:tcW w:w="118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0" w:type="dxa"/>
            <w:vAlign w:val="bottom"/>
            <w:tcBorders>
              <w:left w:val="single" w:sz="8" w:color="00C1DE"/>
            </w:tcBorders>
          </w:tcPr>
          <w:p>
            <w:pPr>
              <w:spacing w:after="0"/>
              <w:rPr>
                <w:sz w:val="19"/>
                <w:szCs w:val="19"/>
                <w:color w:val="auto"/>
              </w:rPr>
            </w:pPr>
          </w:p>
        </w:tc>
        <w:tc>
          <w:tcPr>
            <w:tcW w:w="3040" w:type="dxa"/>
            <w:vAlign w:val="bottom"/>
            <w:tcBorders>
              <w:right w:val="single" w:sz="8" w:color="3E3935"/>
            </w:tcBorders>
          </w:tcPr>
          <w:p>
            <w:pPr>
              <w:ind w:left="80"/>
              <w:spacing w:after="0"/>
              <w:rPr>
                <w:sz w:val="20"/>
                <w:szCs w:val="20"/>
                <w:color w:val="auto"/>
              </w:rPr>
            </w:pPr>
            <w:r>
              <w:rPr>
                <w:rFonts w:ascii="Arial" w:cs="Arial" w:eastAsia="Arial" w:hAnsi="Arial"/>
                <w:sz w:val="16"/>
                <w:szCs w:val="16"/>
                <w:color w:val="3E3935"/>
              </w:rPr>
              <w:t>Shareholder Proposal Regarding a</w:t>
            </w:r>
          </w:p>
        </w:tc>
        <w:tc>
          <w:tcPr>
            <w:tcW w:w="1620" w:type="dxa"/>
            <w:vAlign w:val="bottom"/>
            <w:tcBorders>
              <w:right w:val="single" w:sz="8" w:color="3E3935"/>
            </w:tcBorders>
          </w:tcPr>
          <w:p>
            <w:pPr>
              <w:spacing w:after="0"/>
              <w:rPr>
                <w:sz w:val="19"/>
                <w:szCs w:val="19"/>
                <w:color w:val="auto"/>
              </w:rPr>
            </w:pPr>
          </w:p>
        </w:tc>
        <w:tc>
          <w:tcPr>
            <w:tcW w:w="3060" w:type="dxa"/>
            <w:vAlign w:val="bottom"/>
            <w:tcBorders>
              <w:right w:val="single" w:sz="8" w:color="3E3935"/>
            </w:tcBorders>
          </w:tcPr>
          <w:p>
            <w:pPr>
              <w:spacing w:after="0"/>
              <w:rPr>
                <w:sz w:val="19"/>
                <w:szCs w:val="19"/>
                <w:color w:val="auto"/>
              </w:rPr>
            </w:pP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Counted as</w:t>
            </w:r>
          </w:p>
        </w:tc>
        <w:tc>
          <w:tcPr>
            <w:tcW w:w="1180" w:type="dxa"/>
            <w:vAlign w:val="bottom"/>
            <w:tcBorders>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60" w:type="dxa"/>
            <w:vAlign w:val="bottom"/>
            <w:tcBorders>
              <w:left w:val="single" w:sz="8" w:color="00C1DE"/>
            </w:tcBorders>
            <w:vMerge w:val="restart"/>
          </w:tcPr>
          <w:p>
            <w:pPr>
              <w:jc w:val="center"/>
              <w:ind w:left="140"/>
              <w:spacing w:after="0"/>
              <w:rPr>
                <w:sz w:val="20"/>
                <w:szCs w:val="20"/>
                <w:color w:val="auto"/>
              </w:rPr>
            </w:pPr>
            <w:r>
              <w:rPr>
                <w:rFonts w:ascii="Arial" w:cs="Arial" w:eastAsia="Arial" w:hAnsi="Arial"/>
                <w:sz w:val="16"/>
                <w:szCs w:val="16"/>
                <w:color w:val="3E3935"/>
                <w:w w:val="89"/>
              </w:rPr>
              <w:t>5</w:t>
            </w:r>
          </w:p>
        </w:tc>
        <w:tc>
          <w:tcPr>
            <w:tcW w:w="3040" w:type="dxa"/>
            <w:vAlign w:val="bottom"/>
            <w:tcBorders>
              <w:right w:val="single" w:sz="8" w:color="3E3935"/>
            </w:tcBorders>
          </w:tcPr>
          <w:p>
            <w:pPr>
              <w:ind w:left="80"/>
              <w:spacing w:after="0" w:line="174" w:lineRule="exact"/>
              <w:rPr>
                <w:sz w:val="20"/>
                <w:szCs w:val="20"/>
                <w:color w:val="auto"/>
              </w:rPr>
            </w:pPr>
            <w:r>
              <w:rPr>
                <w:rFonts w:ascii="Arial" w:cs="Arial" w:eastAsia="Arial" w:hAnsi="Arial"/>
                <w:sz w:val="16"/>
                <w:szCs w:val="16"/>
                <w:color w:val="3E3935"/>
              </w:rPr>
              <w:t>Report on Greenhouse Gas Emissions</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AGAINST</w:t>
            </w:r>
          </w:p>
        </w:tc>
        <w:tc>
          <w:tcPr>
            <w:tcW w:w="3060" w:type="dxa"/>
            <w:vAlign w:val="bottom"/>
            <w:tcBorders>
              <w:right w:val="single" w:sz="8" w:color="3E3935"/>
            </w:tcBorders>
          </w:tcPr>
          <w:p>
            <w:pPr>
              <w:spacing w:after="0"/>
              <w:rPr>
                <w:sz w:val="15"/>
                <w:szCs w:val="15"/>
                <w:color w:val="auto"/>
              </w:rPr>
            </w:pPr>
          </w:p>
        </w:tc>
        <w:tc>
          <w:tcPr>
            <w:tcW w:w="1180" w:type="dxa"/>
            <w:vAlign w:val="bottom"/>
            <w:tcBorders>
              <w:right w:val="single" w:sz="8" w:color="3E3935"/>
            </w:tcBorders>
            <w:vMerge w:val="continue"/>
          </w:tcPr>
          <w:p>
            <w:pPr>
              <w:spacing w:after="0"/>
              <w:rPr>
                <w:sz w:val="15"/>
                <w:szCs w:val="15"/>
                <w:color w:val="auto"/>
              </w:rPr>
            </w:pPr>
          </w:p>
        </w:tc>
        <w:tc>
          <w:tcPr>
            <w:tcW w:w="118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C1DE"/>
            </w:tcBorders>
            <w:vMerge w:val="continue"/>
          </w:tcPr>
          <w:p>
            <w:pPr>
              <w:spacing w:after="0"/>
              <w:rPr>
                <w:sz w:val="8"/>
                <w:szCs w:val="8"/>
                <w:color w:val="auto"/>
              </w:rPr>
            </w:pPr>
          </w:p>
        </w:tc>
        <w:tc>
          <w:tcPr>
            <w:tcW w:w="3040" w:type="dxa"/>
            <w:vAlign w:val="bottom"/>
            <w:tcBorders>
              <w:right w:val="single" w:sz="8" w:color="3E3935"/>
            </w:tcBorders>
            <w:vMerge w:val="restart"/>
          </w:tcPr>
          <w:p>
            <w:pPr>
              <w:ind w:left="80"/>
              <w:spacing w:after="0"/>
              <w:rPr>
                <w:sz w:val="20"/>
                <w:szCs w:val="20"/>
                <w:color w:val="auto"/>
              </w:rPr>
            </w:pPr>
            <w:r>
              <w:rPr>
                <w:rFonts w:ascii="Arial" w:cs="Arial" w:eastAsia="Arial" w:hAnsi="Arial"/>
                <w:sz w:val="16"/>
                <w:szCs w:val="16"/>
                <w:color w:val="3E3935"/>
              </w:rPr>
              <w:t>Targets as a Performance Element of</w:t>
            </w:r>
          </w:p>
        </w:tc>
        <w:tc>
          <w:tcPr>
            <w:tcW w:w="1620" w:type="dxa"/>
            <w:vAlign w:val="bottom"/>
            <w:tcBorders>
              <w:right w:val="single" w:sz="8" w:color="3E3935"/>
            </w:tcBorders>
            <w:vMerge w:val="continue"/>
          </w:tcPr>
          <w:p>
            <w:pPr>
              <w:spacing w:after="0"/>
              <w:rPr>
                <w:sz w:val="8"/>
                <w:szCs w:val="8"/>
                <w:color w:val="auto"/>
              </w:rPr>
            </w:pPr>
          </w:p>
        </w:tc>
        <w:tc>
          <w:tcPr>
            <w:tcW w:w="3060" w:type="dxa"/>
            <w:vAlign w:val="bottom"/>
            <w:tcBorders>
              <w:right w:val="single" w:sz="8" w:color="3E3935"/>
            </w:tcBorders>
          </w:tcPr>
          <w:p>
            <w:pPr>
              <w:spacing w:after="0"/>
              <w:rPr>
                <w:sz w:val="8"/>
                <w:szCs w:val="8"/>
                <w:color w:val="auto"/>
              </w:rPr>
            </w:pPr>
          </w:p>
        </w:tc>
        <w:tc>
          <w:tcPr>
            <w:tcW w:w="118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“AGAINST”</w:t>
            </w:r>
          </w:p>
        </w:tc>
        <w:tc>
          <w:tcPr>
            <w:tcW w:w="1180" w:type="dxa"/>
            <w:vAlign w:val="bottom"/>
            <w:tcBorders>
              <w:right w:val="single" w:sz="8" w:color="00C1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60" w:type="dxa"/>
            <w:vAlign w:val="bottom"/>
            <w:tcBorders>
              <w:left w:val="single" w:sz="8" w:color="00C1DE"/>
            </w:tcBorders>
          </w:tcPr>
          <w:p>
            <w:pPr>
              <w:spacing w:after="0"/>
              <w:rPr>
                <w:sz w:val="8"/>
                <w:szCs w:val="8"/>
                <w:color w:val="auto"/>
              </w:rPr>
            </w:pPr>
          </w:p>
        </w:tc>
        <w:tc>
          <w:tcPr>
            <w:tcW w:w="3040" w:type="dxa"/>
            <w:vAlign w:val="bottom"/>
            <w:tcBorders>
              <w:right w:val="single" w:sz="8" w:color="3E3935"/>
            </w:tcBorders>
            <w:vMerge w:val="continue"/>
          </w:tcPr>
          <w:p>
            <w:pPr>
              <w:spacing w:after="0"/>
              <w:rPr>
                <w:sz w:val="8"/>
                <w:szCs w:val="8"/>
                <w:color w:val="auto"/>
              </w:rPr>
            </w:pPr>
          </w:p>
        </w:tc>
        <w:tc>
          <w:tcPr>
            <w:tcW w:w="1620" w:type="dxa"/>
            <w:vAlign w:val="bottom"/>
            <w:tcBorders>
              <w:right w:val="single" w:sz="8" w:color="3E3935"/>
            </w:tcBorders>
          </w:tcPr>
          <w:p>
            <w:pPr>
              <w:spacing w:after="0"/>
              <w:rPr>
                <w:sz w:val="8"/>
                <w:szCs w:val="8"/>
                <w:color w:val="auto"/>
              </w:rPr>
            </w:pPr>
          </w:p>
        </w:tc>
        <w:tc>
          <w:tcPr>
            <w:tcW w:w="3060" w:type="dxa"/>
            <w:vAlign w:val="bottom"/>
            <w:tcBorders>
              <w:right w:val="single" w:sz="8" w:color="3E3935"/>
            </w:tcBorders>
          </w:tcPr>
          <w:p>
            <w:pPr>
              <w:spacing w:after="0"/>
              <w:rPr>
                <w:sz w:val="8"/>
                <w:szCs w:val="8"/>
                <w:color w:val="auto"/>
              </w:rPr>
            </w:pPr>
          </w:p>
        </w:tc>
        <w:tc>
          <w:tcPr>
            <w:tcW w:w="1180" w:type="dxa"/>
            <w:vAlign w:val="bottom"/>
            <w:tcBorders>
              <w:right w:val="single" w:sz="8" w:color="3E3935"/>
            </w:tcBorders>
            <w:vMerge w:val="continue"/>
          </w:tcPr>
          <w:p>
            <w:pPr>
              <w:spacing w:after="0"/>
              <w:rPr>
                <w:sz w:val="8"/>
                <w:szCs w:val="8"/>
                <w:color w:val="auto"/>
              </w:rPr>
            </w:pPr>
          </w:p>
        </w:tc>
        <w:tc>
          <w:tcPr>
            <w:tcW w:w="1180" w:type="dxa"/>
            <w:vAlign w:val="bottom"/>
            <w:tcBorders>
              <w:right w:val="single" w:sz="8" w:color="00C1DE"/>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860" w:type="dxa"/>
            <w:vAlign w:val="bottom"/>
            <w:tcBorders>
              <w:left w:val="single" w:sz="8" w:color="00C1DE"/>
            </w:tcBorders>
          </w:tcPr>
          <w:p>
            <w:pPr>
              <w:spacing w:after="0"/>
              <w:rPr>
                <w:sz w:val="19"/>
                <w:szCs w:val="19"/>
                <w:color w:val="auto"/>
              </w:rPr>
            </w:pPr>
          </w:p>
        </w:tc>
        <w:tc>
          <w:tcPr>
            <w:tcW w:w="3040" w:type="dxa"/>
            <w:vAlign w:val="bottom"/>
            <w:tcBorders>
              <w:right w:val="single" w:sz="8" w:color="3E3935"/>
            </w:tcBorders>
          </w:tcPr>
          <w:p>
            <w:pPr>
              <w:ind w:left="80"/>
              <w:spacing w:after="0"/>
              <w:rPr>
                <w:sz w:val="20"/>
                <w:szCs w:val="20"/>
                <w:color w:val="auto"/>
              </w:rPr>
            </w:pPr>
            <w:r>
              <w:rPr>
                <w:rFonts w:ascii="Arial" w:cs="Arial" w:eastAsia="Arial" w:hAnsi="Arial"/>
                <w:sz w:val="16"/>
                <w:szCs w:val="16"/>
                <w:color w:val="3E3935"/>
              </w:rPr>
              <w:t>Executive Compensation</w:t>
            </w:r>
          </w:p>
        </w:tc>
        <w:tc>
          <w:tcPr>
            <w:tcW w:w="1620" w:type="dxa"/>
            <w:vAlign w:val="bottom"/>
            <w:tcBorders>
              <w:right w:val="single" w:sz="8" w:color="3E3935"/>
            </w:tcBorders>
          </w:tcPr>
          <w:p>
            <w:pPr>
              <w:spacing w:after="0"/>
              <w:rPr>
                <w:sz w:val="19"/>
                <w:szCs w:val="19"/>
                <w:color w:val="auto"/>
              </w:rPr>
            </w:pPr>
          </w:p>
        </w:tc>
        <w:tc>
          <w:tcPr>
            <w:tcW w:w="3060" w:type="dxa"/>
            <w:vAlign w:val="bottom"/>
            <w:tcBorders>
              <w:right w:val="single" w:sz="8" w:color="3E3935"/>
            </w:tcBorders>
          </w:tcPr>
          <w:p>
            <w:pPr>
              <w:spacing w:after="0"/>
              <w:rPr>
                <w:sz w:val="19"/>
                <w:szCs w:val="19"/>
                <w:color w:val="auto"/>
              </w:rPr>
            </w:pPr>
          </w:p>
        </w:tc>
        <w:tc>
          <w:tcPr>
            <w:tcW w:w="1180" w:type="dxa"/>
            <w:vAlign w:val="bottom"/>
            <w:tcBorders>
              <w:right w:val="single" w:sz="8" w:color="3E3935"/>
            </w:tcBorders>
          </w:tcPr>
          <w:p>
            <w:pPr>
              <w:spacing w:after="0"/>
              <w:rPr>
                <w:sz w:val="19"/>
                <w:szCs w:val="19"/>
                <w:color w:val="auto"/>
              </w:rPr>
            </w:pPr>
          </w:p>
        </w:tc>
        <w:tc>
          <w:tcPr>
            <w:tcW w:w="1180" w:type="dxa"/>
            <w:vAlign w:val="bottom"/>
            <w:tcBorders>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0071CE"/>
            </w:tcBorders>
            <w:shd w:val="clear" w:color="auto" w:fill="0071CE"/>
          </w:tcPr>
          <w:p>
            <w:pPr>
              <w:spacing w:after="0" w:line="20" w:lineRule="exact"/>
              <w:rPr>
                <w:sz w:val="1"/>
                <w:szCs w:val="1"/>
                <w:color w:val="auto"/>
              </w:rPr>
            </w:pPr>
          </w:p>
        </w:tc>
        <w:tc>
          <w:tcPr>
            <w:tcW w:w="3040" w:type="dxa"/>
            <w:vAlign w:val="bottom"/>
            <w:tcBorders>
              <w:right w:val="single" w:sz="8" w:color="0071CE"/>
            </w:tcBorders>
            <w:shd w:val="clear" w:color="auto" w:fill="0071CE"/>
          </w:tcPr>
          <w:p>
            <w:pPr>
              <w:spacing w:after="0" w:line="20" w:lineRule="exact"/>
              <w:rPr>
                <w:sz w:val="1"/>
                <w:szCs w:val="1"/>
                <w:color w:val="auto"/>
              </w:rPr>
            </w:pPr>
          </w:p>
        </w:tc>
        <w:tc>
          <w:tcPr>
            <w:tcW w:w="1620" w:type="dxa"/>
            <w:vAlign w:val="bottom"/>
            <w:tcBorders>
              <w:right w:val="single" w:sz="8" w:color="0071CE"/>
            </w:tcBorders>
            <w:shd w:val="clear" w:color="auto" w:fill="0071CE"/>
          </w:tcPr>
          <w:p>
            <w:pPr>
              <w:spacing w:after="0" w:line="20" w:lineRule="exact"/>
              <w:rPr>
                <w:sz w:val="1"/>
                <w:szCs w:val="1"/>
                <w:color w:val="auto"/>
              </w:rPr>
            </w:pPr>
          </w:p>
        </w:tc>
        <w:tc>
          <w:tcPr>
            <w:tcW w:w="3060" w:type="dxa"/>
            <w:vAlign w:val="bottom"/>
            <w:tcBorders>
              <w:right w:val="single" w:sz="8" w:color="0071CE"/>
            </w:tcBorders>
            <w:shd w:val="clear" w:color="auto" w:fill="0071CE"/>
          </w:tcPr>
          <w:p>
            <w:pPr>
              <w:spacing w:after="0" w:line="20" w:lineRule="exact"/>
              <w:rPr>
                <w:sz w:val="1"/>
                <w:szCs w:val="1"/>
                <w:color w:val="auto"/>
              </w:rPr>
            </w:pPr>
          </w:p>
        </w:tc>
        <w:tc>
          <w:tcPr>
            <w:tcW w:w="1180" w:type="dxa"/>
            <w:vAlign w:val="bottom"/>
            <w:tcBorders>
              <w:right w:val="single" w:sz="8" w:color="0071CE"/>
            </w:tcBorders>
            <w:shd w:val="clear" w:color="auto" w:fill="0071CE"/>
          </w:tcPr>
          <w:p>
            <w:pPr>
              <w:spacing w:after="0" w:line="20" w:lineRule="exact"/>
              <w:rPr>
                <w:sz w:val="1"/>
                <w:szCs w:val="1"/>
                <w:color w:val="auto"/>
              </w:rPr>
            </w:pPr>
          </w:p>
        </w:tc>
        <w:tc>
          <w:tcPr>
            <w:tcW w:w="1180" w:type="dxa"/>
            <w:vAlign w:val="bottom"/>
            <w:tcBorders>
              <w:right w:val="single" w:sz="8" w:color="0071CE"/>
            </w:tcBorders>
            <w:shd w:val="clear" w:color="auto" w:fill="0071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both"/>
        <w:ind w:left="600" w:right="20" w:hanging="433"/>
        <w:spacing w:after="0" w:line="246" w:lineRule="auto"/>
        <w:tabs>
          <w:tab w:leader="none" w:pos="600" w:val="left"/>
        </w:tabs>
        <w:numPr>
          <w:ilvl w:val="0"/>
          <w:numId w:val="151"/>
        </w:numPr>
        <w:rPr>
          <w:rFonts w:ascii="Arial" w:cs="Arial" w:eastAsia="Arial" w:hAnsi="Arial"/>
          <w:sz w:val="18"/>
          <w:szCs w:val="18"/>
          <w:i w:val="1"/>
          <w:iCs w:val="1"/>
          <w:color w:val="3E3935"/>
        </w:rPr>
      </w:pPr>
      <w:r>
        <w:rPr>
          <w:rFonts w:ascii="Arial" w:cs="Arial" w:eastAsia="Arial" w:hAnsi="Arial"/>
          <w:sz w:val="18"/>
          <w:szCs w:val="18"/>
          <w:i w:val="1"/>
          <w:iCs w:val="1"/>
          <w:color w:val="3E3935"/>
        </w:rPr>
        <w:t>See sections 1.7 and 2.2(c) of the General Motors Company Amended and Restated Bylaws as of August 14, 2018, (the “Bylaws”) for a description of the vote requirements and the impact of abstentions and broker non-votes on the meeting agenda items listed above.</w:t>
      </w:r>
    </w:p>
    <w:p>
      <w:pPr>
        <w:spacing w:after="0" w:line="320" w:lineRule="exact"/>
        <w:rPr>
          <w:sz w:val="20"/>
          <w:szCs w:val="20"/>
          <w:color w:val="auto"/>
        </w:rPr>
      </w:pPr>
    </w:p>
    <w:p>
      <w:pPr>
        <w:ind w:left="700" w:hanging="533"/>
        <w:spacing w:after="0"/>
        <w:tabs>
          <w:tab w:leader="none" w:pos="700" w:val="left"/>
        </w:tabs>
        <w:numPr>
          <w:ilvl w:val="0"/>
          <w:numId w:val="152"/>
        </w:numPr>
        <w:rPr>
          <w:rFonts w:ascii="Arial" w:cs="Arial" w:eastAsia="Arial" w:hAnsi="Arial"/>
          <w:sz w:val="21"/>
          <w:szCs w:val="21"/>
          <w:color w:val="0071CE"/>
        </w:rPr>
      </w:pPr>
      <w:r>
        <w:rPr>
          <w:rFonts w:ascii="Arial" w:cs="Arial" w:eastAsia="Arial" w:hAnsi="Arial"/>
          <w:sz w:val="25"/>
          <w:szCs w:val="25"/>
          <w:color w:val="3E3935"/>
        </w:rPr>
        <w:t>Other Matters to Be Presented at the Annual Meeting</w:t>
      </w:r>
    </w:p>
    <w:p>
      <w:pPr>
        <w:spacing w:after="0" w:line="135"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3E3935"/>
        </w:rPr>
        <w:t>We do not know of any matters to be voted on by shareholders at the Annual Meeting other than those included in this Proxy Statement. If any matter, other than the election of the Board’s nominees for director or Items 2 through 5 in this Proxy Statement, is properly presented at the meeting, your executed proxy gives the Proxies (as defined below) discretionary authority to vote your shares in accordance with their best judgment with respect to the matter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84455</wp:posOffset>
            </wp:positionV>
            <wp:extent cx="5927725" cy="1016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7" w:lineRule="exact"/>
        <w:rPr>
          <w:sz w:val="20"/>
          <w:szCs w:val="20"/>
          <w:color w:val="auto"/>
        </w:rPr>
      </w:pPr>
    </w:p>
    <w:p>
      <w:pPr>
        <w:jc w:val="center"/>
        <w:ind w:right="10620"/>
        <w:spacing w:after="0"/>
        <w:rPr>
          <w:sz w:val="20"/>
          <w:szCs w:val="20"/>
          <w:color w:val="auto"/>
        </w:rPr>
      </w:pPr>
      <w:r>
        <w:rPr>
          <w:rFonts w:ascii="Arial" w:cs="Arial" w:eastAsia="Arial" w:hAnsi="Arial"/>
          <w:sz w:val="14"/>
          <w:szCs w:val="14"/>
          <w:color w:val="0071CE"/>
        </w:rPr>
        <w:t>92</w:t>
      </w:r>
    </w:p>
    <w:p>
      <w:pPr>
        <w:sectPr>
          <w:pgSz w:w="11900" w:h="16838" w:orient="portrait"/>
          <w:cols w:equalWidth="0" w:num="1">
            <w:col w:w="11100"/>
          </w:cols>
          <w:pgMar w:left="320" w:top="456"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53"/>
        </w:numPr>
        <w:rPr>
          <w:rFonts w:ascii="Arial" w:cs="Arial" w:eastAsia="Arial" w:hAnsi="Arial"/>
          <w:sz w:val="21"/>
          <w:szCs w:val="21"/>
          <w:color w:val="0071CE"/>
        </w:rPr>
      </w:pPr>
      <w:r>
        <w:rPr>
          <w:rFonts w:ascii="Arial" w:cs="Arial" w:eastAsia="Arial" w:hAnsi="Arial"/>
          <w:sz w:val="25"/>
          <w:szCs w:val="25"/>
          <w:color w:val="3E3935"/>
        </w:rPr>
        <w:t>Attending the Virtual Annual Meeting</w:t>
      </w:r>
    </w:p>
    <w:p>
      <w:pPr>
        <w:spacing w:after="0" w:line="149"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3E3935"/>
        </w:rPr>
        <w:t>GM currently expects that its Annual Meeting will be held via a live video webcast; however, as of the date of this mailing, COVID-19 continues to spread throughout the United States, including Michigan. If it becomes necessary due to public health considerations or the need to comply with federal, state, and local restrictions on gatherings and movement, we may need to conduct the Annual Meeting in an audio-only format. If this occurs, the Board of Directors and certain members of management will dial in to the webinar from remote locations and will not be present in person.</w:t>
      </w:r>
    </w:p>
    <w:p>
      <w:pPr>
        <w:spacing w:after="0" w:line="180" w:lineRule="exact"/>
        <w:rPr>
          <w:sz w:val="20"/>
          <w:szCs w:val="20"/>
          <w:color w:val="auto"/>
        </w:rPr>
      </w:pPr>
    </w:p>
    <w:tbl>
      <w:tblPr>
        <w:tblLayout w:type="fixed"/>
        <w:tblInd w:w="170" w:type="dxa"/>
        <w:tblCellMar>
          <w:top w:w="0" w:type="dxa"/>
          <w:left w:w="0" w:type="dxa"/>
          <w:bottom w:w="0" w:type="dxa"/>
          <w:right w:w="0" w:type="dxa"/>
        </w:tblCellMar>
      </w:tblPr>
      <w:tr>
        <w:trPr>
          <w:trHeight w:val="253"/>
        </w:trPr>
        <w:tc>
          <w:tcPr>
            <w:tcW w:w="2580" w:type="dxa"/>
            <w:vAlign w:val="bottom"/>
            <w:tcBorders>
              <w:top w:val="single" w:sz="8" w:color="3E3935"/>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360" w:type="dxa"/>
            <w:vAlign w:val="bottom"/>
            <w:tcBorders>
              <w:top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 xml:space="preserve">1. Visit </w:t>
            </w:r>
            <w:r>
              <w:rPr>
                <w:rFonts w:ascii="Arial" w:cs="Arial" w:eastAsia="Arial" w:hAnsi="Arial"/>
                <w:sz w:val="20"/>
                <w:szCs w:val="20"/>
                <w:i w:val="1"/>
                <w:iCs w:val="1"/>
                <w:color w:val="00C1DE"/>
              </w:rPr>
              <w:t>virtualshareholdermeeting.com/GM2021</w:t>
            </w:r>
            <w:r>
              <w:rPr>
                <w:rFonts w:ascii="Arial" w:cs="Arial" w:eastAsia="Arial" w:hAnsi="Arial"/>
                <w:sz w:val="20"/>
                <w:szCs w:val="20"/>
                <w:color w:val="3E3935"/>
              </w:rPr>
              <w:t>; and</w:t>
            </w:r>
          </w:p>
        </w:tc>
      </w:tr>
      <w:tr>
        <w:trPr>
          <w:trHeight w:val="214"/>
        </w:trPr>
        <w:tc>
          <w:tcPr>
            <w:tcW w:w="258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the Annual Meeting</w:t>
            </w:r>
          </w:p>
        </w:tc>
        <w:tc>
          <w:tcPr>
            <w:tcW w:w="836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2. Enter the 16-digit control number included on your Notice Regarding the Availability of</w:t>
            </w:r>
          </w:p>
        </w:tc>
      </w:tr>
      <w:tr>
        <w:trPr>
          <w:trHeight w:val="238"/>
        </w:trPr>
        <w:tc>
          <w:tcPr>
            <w:tcW w:w="258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Online</w:t>
            </w:r>
          </w:p>
        </w:tc>
        <w:tc>
          <w:tcPr>
            <w:tcW w:w="8360" w:type="dxa"/>
            <w:vAlign w:val="bottom"/>
            <w:tcBorders>
              <w:right w:val="single" w:sz="8" w:color="3E3935"/>
            </w:tcBorders>
          </w:tcPr>
          <w:p>
            <w:pPr>
              <w:ind w:left="400"/>
              <w:spacing w:after="0"/>
              <w:rPr>
                <w:sz w:val="20"/>
                <w:szCs w:val="20"/>
                <w:color w:val="auto"/>
              </w:rPr>
            </w:pPr>
            <w:r>
              <w:rPr>
                <w:rFonts w:ascii="Arial" w:cs="Arial" w:eastAsia="Arial" w:hAnsi="Arial"/>
                <w:sz w:val="20"/>
                <w:szCs w:val="20"/>
                <w:color w:val="3E3935"/>
              </w:rPr>
              <w:t>Proxy Materials (“Notice”), on your proxy card (if you received a printed copy of the proxy</w:t>
            </w:r>
          </w:p>
        </w:tc>
      </w:tr>
      <w:tr>
        <w:trPr>
          <w:trHeight w:val="235"/>
        </w:trPr>
        <w:tc>
          <w:tcPr>
            <w:tcW w:w="2580" w:type="dxa"/>
            <w:vAlign w:val="bottom"/>
            <w:tcBorders>
              <w:left w:val="single" w:sz="8" w:color="3E3935"/>
              <w:right w:val="single" w:sz="8" w:color="3E3935"/>
            </w:tcBorders>
          </w:tcPr>
          <w:p>
            <w:pPr>
              <w:spacing w:after="0"/>
              <w:rPr>
                <w:sz w:val="20"/>
                <w:szCs w:val="20"/>
                <w:color w:val="auto"/>
              </w:rPr>
            </w:pPr>
          </w:p>
        </w:tc>
        <w:tc>
          <w:tcPr>
            <w:tcW w:w="8360" w:type="dxa"/>
            <w:vAlign w:val="bottom"/>
            <w:tcBorders>
              <w:right w:val="single" w:sz="8" w:color="3E3935"/>
            </w:tcBorders>
          </w:tcPr>
          <w:p>
            <w:pPr>
              <w:ind w:left="400"/>
              <w:spacing w:after="0"/>
              <w:rPr>
                <w:sz w:val="20"/>
                <w:szCs w:val="20"/>
                <w:color w:val="auto"/>
              </w:rPr>
            </w:pPr>
            <w:r>
              <w:rPr>
                <w:rFonts w:ascii="Arial" w:cs="Arial" w:eastAsia="Arial" w:hAnsi="Arial"/>
                <w:sz w:val="20"/>
                <w:szCs w:val="20"/>
                <w:color w:val="3E3935"/>
              </w:rPr>
              <w:t>materials), or on the instructions that accompanied your proxy materials.</w:t>
            </w:r>
          </w:p>
        </w:tc>
      </w:tr>
      <w:tr>
        <w:trPr>
          <w:trHeight w:val="273"/>
        </w:trPr>
        <w:tc>
          <w:tcPr>
            <w:tcW w:w="2580" w:type="dxa"/>
            <w:vAlign w:val="bottom"/>
            <w:tcBorders>
              <w:left w:val="single" w:sz="8" w:color="3E3935"/>
              <w:right w:val="single" w:sz="8" w:color="3E3935"/>
            </w:tcBorders>
          </w:tcPr>
          <w:p>
            <w:pPr>
              <w:spacing w:after="0"/>
              <w:rPr>
                <w:sz w:val="23"/>
                <w:szCs w:val="23"/>
                <w:color w:val="auto"/>
              </w:rPr>
            </w:pP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You may begin to log into the meeting platform beginning at 12:45 p.m. Eastern Time on</w:t>
            </w:r>
          </w:p>
        </w:tc>
      </w:tr>
      <w:tr>
        <w:trPr>
          <w:trHeight w:val="231"/>
        </w:trPr>
        <w:tc>
          <w:tcPr>
            <w:tcW w:w="2580" w:type="dxa"/>
            <w:vAlign w:val="bottom"/>
            <w:tcBorders>
              <w:left w:val="single" w:sz="8" w:color="3E3935"/>
              <w:bottom w:val="single" w:sz="8" w:color="3E3935"/>
              <w:right w:val="single" w:sz="8" w:color="3E3935"/>
            </w:tcBorders>
          </w:tcPr>
          <w:p>
            <w:pPr>
              <w:spacing w:after="0"/>
              <w:rPr>
                <w:sz w:val="20"/>
                <w:szCs w:val="20"/>
                <w:color w:val="auto"/>
              </w:rPr>
            </w:pPr>
          </w:p>
        </w:tc>
        <w:tc>
          <w:tcPr>
            <w:tcW w:w="8360" w:type="dxa"/>
            <w:vAlign w:val="bottom"/>
            <w:tcBorders>
              <w:bottom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June 14, 2021. The meeting will begin promptly at 1:00 p.m. Eastern Time.</w:t>
            </w:r>
          </w:p>
        </w:tc>
      </w:tr>
      <w:tr>
        <w:trPr>
          <w:trHeight w:val="233"/>
        </w:trPr>
        <w:tc>
          <w:tcPr>
            <w:tcW w:w="258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Call (877) 328-2502 (toll free) or (412) 317-5419 (international) to listen to the meeting</w:t>
            </w:r>
          </w:p>
        </w:tc>
      </w:tr>
      <w:tr>
        <w:trPr>
          <w:trHeight w:val="214"/>
        </w:trPr>
        <w:tc>
          <w:tcPr>
            <w:tcW w:w="258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the Annual Meeting</w:t>
            </w:r>
          </w:p>
        </w:tc>
        <w:tc>
          <w:tcPr>
            <w:tcW w:w="836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proceedings. You will not be able to vote your shares during the meeting.</w:t>
            </w:r>
          </w:p>
        </w:tc>
      </w:tr>
      <w:tr>
        <w:trPr>
          <w:trHeight w:val="214"/>
        </w:trPr>
        <w:tc>
          <w:tcPr>
            <w:tcW w:w="258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Without Internet</w:t>
            </w:r>
          </w:p>
        </w:tc>
        <w:tc>
          <w:tcPr>
            <w:tcW w:w="8360" w:type="dxa"/>
            <w:vAlign w:val="bottom"/>
            <w:tcBorders>
              <w:right w:val="single" w:sz="8" w:color="3E3935"/>
            </w:tcBorders>
          </w:tcPr>
          <w:p>
            <w:pPr>
              <w:spacing w:after="0"/>
              <w:rPr>
                <w:sz w:val="18"/>
                <w:szCs w:val="18"/>
                <w:color w:val="auto"/>
              </w:rPr>
            </w:pPr>
          </w:p>
        </w:tc>
      </w:tr>
      <w:tr>
        <w:trPr>
          <w:trHeight w:val="242"/>
        </w:trPr>
        <w:tc>
          <w:tcPr>
            <w:tcW w:w="258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Access</w:t>
            </w:r>
          </w:p>
        </w:tc>
        <w:tc>
          <w:tcPr>
            <w:tcW w:w="8360" w:type="dxa"/>
            <w:vAlign w:val="bottom"/>
            <w:tcBorders>
              <w:bottom w:val="single" w:sz="8" w:color="3E3935"/>
              <w:right w:val="single" w:sz="8" w:color="3E3935"/>
            </w:tcBorders>
          </w:tcPr>
          <w:p>
            <w:pPr>
              <w:spacing w:after="0"/>
              <w:rPr>
                <w:sz w:val="21"/>
                <w:szCs w:val="21"/>
                <w:color w:val="auto"/>
              </w:rPr>
            </w:pPr>
          </w:p>
        </w:tc>
      </w:tr>
      <w:tr>
        <w:trPr>
          <w:trHeight w:val="233"/>
        </w:trPr>
        <w:tc>
          <w:tcPr>
            <w:tcW w:w="258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w w:val="99"/>
              </w:rPr>
              <w:t xml:space="preserve">Visit </w:t>
            </w:r>
            <w:r>
              <w:rPr>
                <w:rFonts w:ascii="Arial" w:cs="Arial" w:eastAsia="Arial" w:hAnsi="Arial"/>
                <w:sz w:val="20"/>
                <w:szCs w:val="20"/>
                <w:i w:val="1"/>
                <w:iCs w:val="1"/>
                <w:color w:val="00C1DE"/>
                <w:w w:val="99"/>
              </w:rPr>
              <w:t>virtualshareholdermeeting.com/GM2021</w:t>
            </w:r>
            <w:r>
              <w:rPr>
                <w:rFonts w:ascii="Arial" w:cs="Arial" w:eastAsia="Arial" w:hAnsi="Arial"/>
                <w:sz w:val="20"/>
                <w:szCs w:val="20"/>
                <w:color w:val="3E3935"/>
                <w:w w:val="99"/>
              </w:rPr>
              <w:t xml:space="preserve"> and register as a guest. You will not be able to</w:t>
            </w:r>
          </w:p>
        </w:tc>
      </w:tr>
      <w:tr>
        <w:trPr>
          <w:trHeight w:val="214"/>
        </w:trPr>
        <w:tc>
          <w:tcPr>
            <w:tcW w:w="258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the Annual Meeting</w:t>
            </w:r>
          </w:p>
        </w:tc>
        <w:tc>
          <w:tcPr>
            <w:tcW w:w="8360" w:type="dxa"/>
            <w:vAlign w:val="bottom"/>
            <w:tcBorders>
              <w:right w:val="single" w:sz="8" w:color="3E3935"/>
            </w:tcBorders>
          </w:tcPr>
          <w:p>
            <w:pPr>
              <w:ind w:left="200"/>
              <w:spacing w:after="0" w:line="214" w:lineRule="exact"/>
              <w:rPr>
                <w:sz w:val="20"/>
                <w:szCs w:val="20"/>
                <w:color w:val="auto"/>
              </w:rPr>
            </w:pPr>
            <w:r>
              <w:rPr>
                <w:rFonts w:ascii="Arial" w:cs="Arial" w:eastAsia="Arial" w:hAnsi="Arial"/>
                <w:sz w:val="20"/>
                <w:szCs w:val="20"/>
                <w:color w:val="3E3935"/>
              </w:rPr>
              <w:t>vote your shares or ask questions during the meeting.</w:t>
            </w:r>
          </w:p>
        </w:tc>
      </w:tr>
      <w:tr>
        <w:trPr>
          <w:trHeight w:val="214"/>
        </w:trPr>
        <w:tc>
          <w:tcPr>
            <w:tcW w:w="2580" w:type="dxa"/>
            <w:vAlign w:val="bottom"/>
            <w:tcBorders>
              <w:left w:val="single" w:sz="8" w:color="3E3935"/>
              <w:right w:val="single" w:sz="8" w:color="3E3935"/>
            </w:tcBorders>
          </w:tcPr>
          <w:p>
            <w:pPr>
              <w:ind w:left="160"/>
              <w:spacing w:after="0" w:line="214" w:lineRule="exact"/>
              <w:rPr>
                <w:sz w:val="20"/>
                <w:szCs w:val="20"/>
                <w:color w:val="auto"/>
              </w:rPr>
            </w:pPr>
            <w:r>
              <w:rPr>
                <w:rFonts w:ascii="Arial" w:cs="Arial" w:eastAsia="Arial" w:hAnsi="Arial"/>
                <w:sz w:val="20"/>
                <w:szCs w:val="20"/>
                <w:b w:val="1"/>
                <w:bCs w:val="1"/>
                <w:color w:val="00C1DE"/>
              </w:rPr>
              <w:t>Without a 16-digit</w:t>
            </w:r>
          </w:p>
        </w:tc>
        <w:tc>
          <w:tcPr>
            <w:tcW w:w="8360" w:type="dxa"/>
            <w:vAlign w:val="bottom"/>
            <w:tcBorders>
              <w:right w:val="single" w:sz="8" w:color="3E3935"/>
            </w:tcBorders>
          </w:tcPr>
          <w:p>
            <w:pPr>
              <w:spacing w:after="0"/>
              <w:rPr>
                <w:sz w:val="18"/>
                <w:szCs w:val="18"/>
                <w:color w:val="auto"/>
              </w:rPr>
            </w:pPr>
          </w:p>
        </w:tc>
      </w:tr>
      <w:tr>
        <w:trPr>
          <w:trHeight w:val="242"/>
        </w:trPr>
        <w:tc>
          <w:tcPr>
            <w:tcW w:w="258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Control Number</w:t>
            </w:r>
          </w:p>
        </w:tc>
        <w:tc>
          <w:tcPr>
            <w:tcW w:w="8360" w:type="dxa"/>
            <w:vAlign w:val="bottom"/>
            <w:tcBorders>
              <w:bottom w:val="single" w:sz="8" w:color="3E3935"/>
              <w:right w:val="single" w:sz="8" w:color="3E3935"/>
            </w:tcBorders>
          </w:tcPr>
          <w:p>
            <w:pPr>
              <w:spacing w:after="0"/>
              <w:rPr>
                <w:sz w:val="21"/>
                <w:szCs w:val="21"/>
                <w:color w:val="auto"/>
              </w:rPr>
            </w:pPr>
          </w:p>
        </w:tc>
      </w:tr>
      <w:tr>
        <w:trPr>
          <w:trHeight w:val="233"/>
        </w:trPr>
        <w:tc>
          <w:tcPr>
            <w:tcW w:w="258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For Help with Technical</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Call (800) 586-1548 (U.S.) or (303) 562-9288 (international) for assistance. If you need</w:t>
            </w:r>
          </w:p>
        </w:tc>
      </w:tr>
      <w:tr>
        <w:trPr>
          <w:trHeight w:val="238"/>
        </w:trPr>
        <w:tc>
          <w:tcPr>
            <w:tcW w:w="258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Difficulties</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 xml:space="preserve">additional shareholder support, please e-mail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xml:space="preserve"> or call (313)</w:t>
            </w:r>
          </w:p>
        </w:tc>
      </w:tr>
      <w:tr>
        <w:trPr>
          <w:trHeight w:val="218"/>
        </w:trPr>
        <w:tc>
          <w:tcPr>
            <w:tcW w:w="2580" w:type="dxa"/>
            <w:vAlign w:val="bottom"/>
            <w:tcBorders>
              <w:left w:val="single" w:sz="8" w:color="3E3935"/>
              <w:bottom w:val="single" w:sz="8" w:color="3E3935"/>
              <w:right w:val="single" w:sz="8" w:color="3E3935"/>
            </w:tcBorders>
          </w:tcPr>
          <w:p>
            <w:pPr>
              <w:spacing w:after="0"/>
              <w:rPr>
                <w:sz w:val="18"/>
                <w:szCs w:val="18"/>
                <w:color w:val="auto"/>
              </w:rPr>
            </w:pPr>
          </w:p>
        </w:tc>
        <w:tc>
          <w:tcPr>
            <w:tcW w:w="8360" w:type="dxa"/>
            <w:vAlign w:val="bottom"/>
            <w:tcBorders>
              <w:bottom w:val="single" w:sz="8" w:color="3E3935"/>
              <w:right w:val="single" w:sz="8" w:color="3E3935"/>
            </w:tcBorders>
          </w:tcPr>
          <w:p>
            <w:pPr>
              <w:ind w:left="200"/>
              <w:spacing w:after="0" w:line="218" w:lineRule="exact"/>
              <w:rPr>
                <w:sz w:val="20"/>
                <w:szCs w:val="20"/>
                <w:color w:val="auto"/>
              </w:rPr>
            </w:pPr>
            <w:r>
              <w:rPr>
                <w:rFonts w:ascii="Arial" w:cs="Arial" w:eastAsia="Arial" w:hAnsi="Arial"/>
                <w:sz w:val="20"/>
                <w:szCs w:val="20"/>
                <w:color w:val="3E3935"/>
              </w:rPr>
              <w:t>667-1432 for assistance.</w:t>
            </w:r>
          </w:p>
        </w:tc>
      </w:tr>
      <w:tr>
        <w:trPr>
          <w:trHeight w:val="261"/>
        </w:trPr>
        <w:tc>
          <w:tcPr>
            <w:tcW w:w="258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Additional Questions</w:t>
            </w:r>
          </w:p>
        </w:tc>
        <w:tc>
          <w:tcPr>
            <w:tcW w:w="8360" w:type="dxa"/>
            <w:vAlign w:val="bottom"/>
            <w:tcBorders>
              <w:bottom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 xml:space="preserve">Email GM Shareholder Relations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xml:space="preserve"> or call (313) 667-1432.</w:t>
            </w:r>
          </w:p>
        </w:tc>
      </w:tr>
    </w:tbl>
    <w:p>
      <w:pPr>
        <w:spacing w:after="0" w:line="336" w:lineRule="exact"/>
        <w:rPr>
          <w:sz w:val="20"/>
          <w:szCs w:val="20"/>
          <w:color w:val="auto"/>
        </w:rPr>
      </w:pPr>
    </w:p>
    <w:p>
      <w:pPr>
        <w:ind w:left="700" w:hanging="533"/>
        <w:spacing w:after="0"/>
        <w:tabs>
          <w:tab w:leader="none" w:pos="700" w:val="left"/>
        </w:tabs>
        <w:numPr>
          <w:ilvl w:val="0"/>
          <w:numId w:val="154"/>
        </w:numPr>
        <w:rPr>
          <w:rFonts w:ascii="Arial" w:cs="Arial" w:eastAsia="Arial" w:hAnsi="Arial"/>
          <w:sz w:val="21"/>
          <w:szCs w:val="21"/>
          <w:color w:val="0071CE"/>
        </w:rPr>
      </w:pPr>
      <w:r>
        <w:rPr>
          <w:rFonts w:ascii="Arial" w:cs="Arial" w:eastAsia="Arial" w:hAnsi="Arial"/>
          <w:sz w:val="25"/>
          <w:szCs w:val="25"/>
          <w:color w:val="3E3935"/>
        </w:rPr>
        <w:t>Submitting Questions for Our Online Meeting</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277"/>
        </w:trPr>
        <w:tc>
          <w:tcPr>
            <w:tcW w:w="2380" w:type="dxa"/>
            <w:vAlign w:val="bottom"/>
            <w:tcBorders>
              <w:top w:val="single" w:sz="8" w:color="3E3935"/>
              <w:left w:val="single" w:sz="8" w:color="3E3935"/>
              <w:right w:val="single" w:sz="8" w:color="3E3935"/>
            </w:tcBorders>
            <w:vMerge w:val="restart"/>
          </w:tcPr>
          <w:p>
            <w:pPr>
              <w:ind w:left="160"/>
              <w:spacing w:after="0"/>
              <w:rPr>
                <w:sz w:val="20"/>
                <w:szCs w:val="20"/>
                <w:color w:val="auto"/>
              </w:rPr>
            </w:pPr>
            <w:r>
              <w:rPr>
                <w:rFonts w:ascii="Arial" w:cs="Arial" w:eastAsia="Arial" w:hAnsi="Arial"/>
                <w:sz w:val="20"/>
                <w:szCs w:val="20"/>
                <w:b w:val="1"/>
                <w:bCs w:val="1"/>
                <w:color w:val="00C1DE"/>
              </w:rPr>
              <w:t>Submitting Questions</w:t>
            </w:r>
          </w:p>
        </w:tc>
        <w:tc>
          <w:tcPr>
            <w:tcW w:w="480" w:type="dxa"/>
            <w:vAlign w:val="bottom"/>
            <w:tcBorders>
              <w:top w:val="single" w:sz="8" w:color="3E3935"/>
            </w:tcBorders>
          </w:tcPr>
          <w:p>
            <w:pPr>
              <w:jc w:val="right"/>
              <w:spacing w:after="0"/>
              <w:rPr>
                <w:sz w:val="20"/>
                <w:szCs w:val="20"/>
                <w:color w:val="auto"/>
              </w:rPr>
            </w:pPr>
            <w:r>
              <w:rPr>
                <w:rFonts w:ascii="Arial" w:cs="Arial" w:eastAsia="Arial" w:hAnsi="Arial"/>
                <w:sz w:val="20"/>
                <w:szCs w:val="20"/>
                <w:color w:val="3E3935"/>
              </w:rPr>
              <w:t>1.</w:t>
            </w:r>
          </w:p>
        </w:tc>
        <w:tc>
          <w:tcPr>
            <w:tcW w:w="8080" w:type="dxa"/>
            <w:vAlign w:val="bottom"/>
            <w:tcBorders>
              <w:top w:val="single" w:sz="8" w:color="3E3935"/>
              <w:right w:val="single" w:sz="8" w:color="3E3935"/>
            </w:tcBorders>
          </w:tcPr>
          <w:p>
            <w:pPr>
              <w:ind w:left="80"/>
              <w:spacing w:after="0"/>
              <w:rPr>
                <w:sz w:val="20"/>
                <w:szCs w:val="20"/>
                <w:color w:val="auto"/>
              </w:rPr>
            </w:pPr>
            <w:r>
              <w:rPr>
                <w:rFonts w:ascii="Arial" w:cs="Arial" w:eastAsia="Arial" w:hAnsi="Arial"/>
                <w:sz w:val="20"/>
                <w:szCs w:val="20"/>
                <w:color w:val="3E3935"/>
              </w:rPr>
              <w:t xml:space="preserve">Log in to </w:t>
            </w:r>
            <w:r>
              <w:rPr>
                <w:rFonts w:ascii="Arial" w:cs="Arial" w:eastAsia="Arial" w:hAnsi="Arial"/>
                <w:sz w:val="20"/>
                <w:szCs w:val="20"/>
                <w:i w:val="1"/>
                <w:iCs w:val="1"/>
                <w:color w:val="00C1DE"/>
              </w:rPr>
              <w:t>proxyvote.com</w:t>
            </w: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190"/>
        </w:trPr>
        <w:tc>
          <w:tcPr>
            <w:tcW w:w="2380" w:type="dxa"/>
            <w:vAlign w:val="bottom"/>
            <w:tcBorders>
              <w:left w:val="single" w:sz="8" w:color="3E3935"/>
              <w:right w:val="single" w:sz="8" w:color="3E3935"/>
            </w:tcBorders>
            <w:vMerge w:val="continue"/>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Arial" w:cs="Arial" w:eastAsia="Arial" w:hAnsi="Arial"/>
                <w:sz w:val="20"/>
                <w:szCs w:val="20"/>
                <w:color w:val="3E3935"/>
              </w:rPr>
              <w:t>2.</w:t>
            </w:r>
          </w:p>
        </w:tc>
        <w:tc>
          <w:tcPr>
            <w:tcW w:w="8080" w:type="dxa"/>
            <w:vAlign w:val="bottom"/>
            <w:tcBorders>
              <w:right w:val="single" w:sz="8" w:color="3E3935"/>
            </w:tcBorders>
          </w:tcPr>
          <w:p>
            <w:pPr>
              <w:ind w:left="40"/>
              <w:spacing w:after="0" w:line="190" w:lineRule="exact"/>
              <w:rPr>
                <w:sz w:val="20"/>
                <w:szCs w:val="20"/>
                <w:color w:val="auto"/>
              </w:rPr>
            </w:pPr>
            <w:r>
              <w:rPr>
                <w:rFonts w:ascii="Arial" w:cs="Arial" w:eastAsia="Arial" w:hAnsi="Arial"/>
                <w:sz w:val="20"/>
                <w:szCs w:val="20"/>
                <w:color w:val="3E3935"/>
              </w:rPr>
              <w:t>Enter your 16-digit control number; and</w:t>
            </w:r>
          </w:p>
        </w:tc>
        <w:tc>
          <w:tcPr>
            <w:tcW w:w="0" w:type="dxa"/>
            <w:vAlign w:val="bottom"/>
          </w:tcPr>
          <w:p>
            <w:pPr>
              <w:spacing w:after="0"/>
              <w:rPr>
                <w:sz w:val="1"/>
                <w:szCs w:val="1"/>
                <w:color w:val="auto"/>
              </w:rPr>
            </w:pPr>
          </w:p>
        </w:tc>
      </w:tr>
      <w:tr>
        <w:trPr>
          <w:trHeight w:val="238"/>
        </w:trPr>
        <w:tc>
          <w:tcPr>
            <w:tcW w:w="238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Before the Meeting</w:t>
            </w:r>
          </w:p>
        </w:tc>
        <w:tc>
          <w:tcPr>
            <w:tcW w:w="480" w:type="dxa"/>
            <w:vAlign w:val="bottom"/>
          </w:tcPr>
          <w:p>
            <w:pPr>
              <w:jc w:val="right"/>
              <w:spacing w:after="0"/>
              <w:rPr>
                <w:sz w:val="20"/>
                <w:szCs w:val="20"/>
                <w:color w:val="auto"/>
              </w:rPr>
            </w:pPr>
            <w:r>
              <w:rPr>
                <w:rFonts w:ascii="Arial" w:cs="Arial" w:eastAsia="Arial" w:hAnsi="Arial"/>
                <w:sz w:val="20"/>
                <w:szCs w:val="20"/>
                <w:color w:val="3E3935"/>
              </w:rPr>
              <w:t>3.</w:t>
            </w:r>
          </w:p>
        </w:tc>
        <w:tc>
          <w:tcPr>
            <w:tcW w:w="8080" w:type="dxa"/>
            <w:vAlign w:val="bottom"/>
            <w:tcBorders>
              <w:right w:val="single" w:sz="8" w:color="3E3935"/>
            </w:tcBorders>
          </w:tcPr>
          <w:p>
            <w:pPr>
              <w:ind w:left="40"/>
              <w:spacing w:after="0"/>
              <w:rPr>
                <w:sz w:val="20"/>
                <w:szCs w:val="20"/>
                <w:color w:val="auto"/>
              </w:rPr>
            </w:pPr>
            <w:r>
              <w:rPr>
                <w:rFonts w:ascii="Arial" w:cs="Arial" w:eastAsia="Arial" w:hAnsi="Arial"/>
                <w:sz w:val="20"/>
                <w:szCs w:val="20"/>
                <w:color w:val="3E3935"/>
              </w:rPr>
              <w:t>Once past the login screen, click on “Questions for Management,” type in your question,</w:t>
            </w:r>
          </w:p>
        </w:tc>
        <w:tc>
          <w:tcPr>
            <w:tcW w:w="0" w:type="dxa"/>
            <w:vAlign w:val="bottom"/>
          </w:tcPr>
          <w:p>
            <w:pPr>
              <w:spacing w:after="0"/>
              <w:rPr>
                <w:sz w:val="1"/>
                <w:szCs w:val="1"/>
                <w:color w:val="auto"/>
              </w:rPr>
            </w:pPr>
          </w:p>
        </w:tc>
      </w:tr>
      <w:tr>
        <w:trPr>
          <w:trHeight w:val="231"/>
        </w:trPr>
        <w:tc>
          <w:tcPr>
            <w:tcW w:w="2380" w:type="dxa"/>
            <w:vAlign w:val="bottom"/>
            <w:tcBorders>
              <w:left w:val="single" w:sz="8" w:color="3E3935"/>
              <w:bottom w:val="single" w:sz="8" w:color="3E3935"/>
              <w:right w:val="single" w:sz="8" w:color="3E3935"/>
            </w:tcBorders>
          </w:tcPr>
          <w:p>
            <w:pPr>
              <w:spacing w:after="0"/>
              <w:rPr>
                <w:sz w:val="20"/>
                <w:szCs w:val="20"/>
                <w:color w:val="auto"/>
              </w:rPr>
            </w:pPr>
          </w:p>
        </w:tc>
        <w:tc>
          <w:tcPr>
            <w:tcW w:w="480" w:type="dxa"/>
            <w:vAlign w:val="bottom"/>
            <w:tcBorders>
              <w:bottom w:val="single" w:sz="8" w:color="3E3935"/>
            </w:tcBorders>
          </w:tcPr>
          <w:p>
            <w:pPr>
              <w:spacing w:after="0"/>
              <w:rPr>
                <w:sz w:val="20"/>
                <w:szCs w:val="20"/>
                <w:color w:val="auto"/>
              </w:rPr>
            </w:pPr>
          </w:p>
        </w:tc>
        <w:tc>
          <w:tcPr>
            <w:tcW w:w="8080" w:type="dxa"/>
            <w:vAlign w:val="bottom"/>
            <w:tcBorders>
              <w:bottom w:val="single" w:sz="8" w:color="3E3935"/>
              <w:right w:val="single" w:sz="8" w:color="3E3935"/>
            </w:tcBorders>
          </w:tcPr>
          <w:p>
            <w:pPr>
              <w:ind w:left="20"/>
              <w:spacing w:after="0"/>
              <w:rPr>
                <w:sz w:val="20"/>
                <w:szCs w:val="20"/>
                <w:color w:val="auto"/>
              </w:rPr>
            </w:pPr>
            <w:r>
              <w:rPr>
                <w:rFonts w:ascii="Arial" w:cs="Arial" w:eastAsia="Arial" w:hAnsi="Arial"/>
                <w:sz w:val="20"/>
                <w:szCs w:val="20"/>
                <w:color w:val="3E3935"/>
              </w:rPr>
              <w:t>and click “Submit.”</w:t>
            </w:r>
          </w:p>
        </w:tc>
        <w:tc>
          <w:tcPr>
            <w:tcW w:w="0" w:type="dxa"/>
            <w:vAlign w:val="bottom"/>
          </w:tcPr>
          <w:p>
            <w:pPr>
              <w:spacing w:after="0"/>
              <w:rPr>
                <w:sz w:val="1"/>
                <w:szCs w:val="1"/>
                <w:color w:val="auto"/>
              </w:rPr>
            </w:pPr>
          </w:p>
        </w:tc>
      </w:tr>
      <w:tr>
        <w:trPr>
          <w:trHeight w:val="237"/>
        </w:trPr>
        <w:tc>
          <w:tcPr>
            <w:tcW w:w="2380" w:type="dxa"/>
            <w:vAlign w:val="bottom"/>
            <w:tcBorders>
              <w:left w:val="single" w:sz="8" w:color="3E3935"/>
              <w:right w:val="single" w:sz="8" w:color="3E3935"/>
            </w:tcBorders>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3E3935"/>
              </w:rPr>
              <w:t>1.</w:t>
            </w:r>
          </w:p>
        </w:tc>
        <w:tc>
          <w:tcPr>
            <w:tcW w:w="8080" w:type="dxa"/>
            <w:vAlign w:val="bottom"/>
            <w:tcBorders>
              <w:right w:val="single" w:sz="8" w:color="3E3935"/>
            </w:tcBorders>
          </w:tcPr>
          <w:p>
            <w:pPr>
              <w:ind w:left="80"/>
              <w:spacing w:after="0"/>
              <w:rPr>
                <w:sz w:val="20"/>
                <w:szCs w:val="20"/>
                <w:color w:val="auto"/>
              </w:rPr>
            </w:pPr>
            <w:r>
              <w:rPr>
                <w:rFonts w:ascii="Arial" w:cs="Arial" w:eastAsia="Arial" w:hAnsi="Arial"/>
                <w:sz w:val="20"/>
                <w:szCs w:val="20"/>
                <w:color w:val="3E3935"/>
              </w:rPr>
              <w:t>Log into the online meeting platform at</w:t>
            </w:r>
          </w:p>
        </w:tc>
        <w:tc>
          <w:tcPr>
            <w:tcW w:w="0" w:type="dxa"/>
            <w:vAlign w:val="bottom"/>
          </w:tcPr>
          <w:p>
            <w:pPr>
              <w:spacing w:after="0"/>
              <w:rPr>
                <w:sz w:val="1"/>
                <w:szCs w:val="1"/>
                <w:color w:val="auto"/>
              </w:rPr>
            </w:pPr>
          </w:p>
        </w:tc>
      </w:tr>
      <w:tr>
        <w:trPr>
          <w:trHeight w:val="234"/>
        </w:trPr>
        <w:tc>
          <w:tcPr>
            <w:tcW w:w="2380" w:type="dxa"/>
            <w:vAlign w:val="bottom"/>
            <w:tcBorders>
              <w:left w:val="single" w:sz="8" w:color="3E3935"/>
              <w:right w:val="single" w:sz="8" w:color="3E3935"/>
            </w:tcBorders>
            <w:vMerge w:val="restart"/>
          </w:tcPr>
          <w:p>
            <w:pPr>
              <w:ind w:left="160"/>
              <w:spacing w:after="0"/>
              <w:rPr>
                <w:sz w:val="20"/>
                <w:szCs w:val="20"/>
                <w:color w:val="auto"/>
              </w:rPr>
            </w:pPr>
            <w:r>
              <w:rPr>
                <w:rFonts w:ascii="Arial" w:cs="Arial" w:eastAsia="Arial" w:hAnsi="Arial"/>
                <w:sz w:val="20"/>
                <w:szCs w:val="20"/>
                <w:b w:val="1"/>
                <w:bCs w:val="1"/>
                <w:color w:val="00C1DE"/>
              </w:rPr>
              <w:t>Submitting Questions</w:t>
            </w:r>
          </w:p>
        </w:tc>
        <w:tc>
          <w:tcPr>
            <w:tcW w:w="480" w:type="dxa"/>
            <w:vAlign w:val="bottom"/>
          </w:tcPr>
          <w:p>
            <w:pPr>
              <w:spacing w:after="0"/>
              <w:rPr>
                <w:sz w:val="20"/>
                <w:szCs w:val="20"/>
                <w:color w:val="auto"/>
              </w:rPr>
            </w:pPr>
          </w:p>
        </w:tc>
        <w:tc>
          <w:tcPr>
            <w:tcW w:w="8080" w:type="dxa"/>
            <w:vAlign w:val="bottom"/>
            <w:tcBorders>
              <w:right w:val="single" w:sz="8" w:color="3E3935"/>
            </w:tcBorders>
          </w:tcPr>
          <w:p>
            <w:pPr>
              <w:ind w:left="20"/>
              <w:spacing w:after="0"/>
              <w:rPr>
                <w:sz w:val="20"/>
                <w:szCs w:val="20"/>
                <w:color w:val="auto"/>
              </w:rPr>
            </w:pPr>
            <w:r>
              <w:rPr>
                <w:rFonts w:ascii="Arial" w:cs="Arial" w:eastAsia="Arial" w:hAnsi="Arial"/>
                <w:sz w:val="20"/>
                <w:szCs w:val="20"/>
                <w:i w:val="1"/>
                <w:iCs w:val="1"/>
                <w:color w:val="00C1DE"/>
                <w:w w:val="99"/>
              </w:rPr>
              <w:t>virtualshareholdermeeting.com/GM2021</w:t>
            </w:r>
            <w:r>
              <w:rPr>
                <w:rFonts w:ascii="Arial" w:cs="Arial" w:eastAsia="Arial" w:hAnsi="Arial"/>
                <w:sz w:val="20"/>
                <w:szCs w:val="20"/>
                <w:color w:val="3E3935"/>
                <w:w w:val="99"/>
              </w:rPr>
              <w:t>, type your question into the “Ask a Question” field,</w:t>
            </w:r>
          </w:p>
        </w:tc>
        <w:tc>
          <w:tcPr>
            <w:tcW w:w="0" w:type="dxa"/>
            <w:vAlign w:val="bottom"/>
          </w:tcPr>
          <w:p>
            <w:pPr>
              <w:spacing w:after="0"/>
              <w:rPr>
                <w:sz w:val="1"/>
                <w:szCs w:val="1"/>
                <w:color w:val="auto"/>
              </w:rPr>
            </w:pPr>
          </w:p>
        </w:tc>
      </w:tr>
      <w:tr>
        <w:trPr>
          <w:trHeight w:val="83"/>
        </w:trPr>
        <w:tc>
          <w:tcPr>
            <w:tcW w:w="2380" w:type="dxa"/>
            <w:vAlign w:val="bottom"/>
            <w:tcBorders>
              <w:left w:val="single" w:sz="8" w:color="3E3935"/>
              <w:right w:val="single" w:sz="8" w:color="3E3935"/>
            </w:tcBorders>
            <w:vMerge w:val="continue"/>
          </w:tcPr>
          <w:p>
            <w:pPr>
              <w:spacing w:after="0"/>
              <w:rPr>
                <w:sz w:val="7"/>
                <w:szCs w:val="7"/>
                <w:color w:val="auto"/>
              </w:rPr>
            </w:pPr>
          </w:p>
        </w:tc>
        <w:tc>
          <w:tcPr>
            <w:tcW w:w="480" w:type="dxa"/>
            <w:vAlign w:val="bottom"/>
          </w:tcPr>
          <w:p>
            <w:pPr>
              <w:spacing w:after="0"/>
              <w:rPr>
                <w:sz w:val="7"/>
                <w:szCs w:val="7"/>
                <w:color w:val="auto"/>
              </w:rPr>
            </w:pPr>
          </w:p>
        </w:tc>
        <w:tc>
          <w:tcPr>
            <w:tcW w:w="8080" w:type="dxa"/>
            <w:vAlign w:val="bottom"/>
            <w:tcBorders>
              <w:right w:val="single" w:sz="8" w:color="3E3935"/>
            </w:tcBorders>
            <w:vMerge w:val="restart"/>
          </w:tcPr>
          <w:p>
            <w:pPr>
              <w:ind w:left="20"/>
              <w:spacing w:after="0" w:line="214" w:lineRule="exact"/>
              <w:rPr>
                <w:sz w:val="20"/>
                <w:szCs w:val="20"/>
                <w:color w:val="auto"/>
              </w:rPr>
            </w:pPr>
            <w:r>
              <w:rPr>
                <w:rFonts w:ascii="Arial" w:cs="Arial" w:eastAsia="Arial" w:hAnsi="Arial"/>
                <w:sz w:val="20"/>
                <w:szCs w:val="20"/>
                <w:color w:val="3E3935"/>
              </w:rPr>
              <w:t>and click “Submit”; or</w:t>
            </w:r>
          </w:p>
        </w:tc>
        <w:tc>
          <w:tcPr>
            <w:tcW w:w="0" w:type="dxa"/>
            <w:vAlign w:val="bottom"/>
          </w:tcPr>
          <w:p>
            <w:pPr>
              <w:spacing w:after="0"/>
              <w:rPr>
                <w:sz w:val="1"/>
                <w:szCs w:val="1"/>
                <w:color w:val="auto"/>
              </w:rPr>
            </w:pPr>
          </w:p>
        </w:tc>
      </w:tr>
      <w:tr>
        <w:trPr>
          <w:trHeight w:val="131"/>
        </w:trPr>
        <w:tc>
          <w:tcPr>
            <w:tcW w:w="2380" w:type="dxa"/>
            <w:vAlign w:val="bottom"/>
            <w:tcBorders>
              <w:left w:val="single" w:sz="8" w:color="3E3935"/>
              <w:right w:val="single" w:sz="8" w:color="3E3935"/>
            </w:tcBorders>
            <w:vMerge w:val="restart"/>
          </w:tcPr>
          <w:p>
            <w:pPr>
              <w:ind w:left="160"/>
              <w:spacing w:after="0"/>
              <w:rPr>
                <w:sz w:val="20"/>
                <w:szCs w:val="20"/>
                <w:color w:val="auto"/>
              </w:rPr>
            </w:pPr>
            <w:r>
              <w:rPr>
                <w:rFonts w:ascii="Arial" w:cs="Arial" w:eastAsia="Arial" w:hAnsi="Arial"/>
                <w:sz w:val="20"/>
                <w:szCs w:val="20"/>
                <w:b w:val="1"/>
                <w:bCs w:val="1"/>
                <w:color w:val="00C1DE"/>
              </w:rPr>
              <w:t>During the Meeting</w:t>
            </w:r>
          </w:p>
        </w:tc>
        <w:tc>
          <w:tcPr>
            <w:tcW w:w="480" w:type="dxa"/>
            <w:vAlign w:val="bottom"/>
          </w:tcPr>
          <w:p>
            <w:pPr>
              <w:spacing w:after="0"/>
              <w:rPr>
                <w:sz w:val="11"/>
                <w:szCs w:val="11"/>
                <w:color w:val="auto"/>
              </w:rPr>
            </w:pPr>
          </w:p>
        </w:tc>
        <w:tc>
          <w:tcPr>
            <w:tcW w:w="8080" w:type="dxa"/>
            <w:vAlign w:val="bottom"/>
            <w:tcBorders>
              <w:right w:val="single" w:sz="8" w:color="3E3935"/>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tcBorders>
              <w:left w:val="single" w:sz="8" w:color="3E3935"/>
              <w:right w:val="single" w:sz="8" w:color="3E3935"/>
            </w:tcBorders>
            <w:vMerge w:val="continue"/>
          </w:tcPr>
          <w:p>
            <w:pPr>
              <w:spacing w:after="0"/>
              <w:rPr>
                <w:sz w:val="11"/>
                <w:szCs w:val="11"/>
                <w:color w:val="auto"/>
              </w:rPr>
            </w:pPr>
          </w:p>
        </w:tc>
        <w:tc>
          <w:tcPr>
            <w:tcW w:w="480" w:type="dxa"/>
            <w:vAlign w:val="bottom"/>
            <w:vMerge w:val="restart"/>
          </w:tcPr>
          <w:p>
            <w:pPr>
              <w:jc w:val="right"/>
              <w:spacing w:after="0" w:line="214" w:lineRule="exact"/>
              <w:rPr>
                <w:sz w:val="20"/>
                <w:szCs w:val="20"/>
                <w:color w:val="auto"/>
              </w:rPr>
            </w:pPr>
            <w:r>
              <w:rPr>
                <w:rFonts w:ascii="Arial" w:cs="Arial" w:eastAsia="Arial" w:hAnsi="Arial"/>
                <w:sz w:val="20"/>
                <w:szCs w:val="20"/>
                <w:color w:val="3E3935"/>
              </w:rPr>
              <w:t>2.</w:t>
            </w:r>
          </w:p>
        </w:tc>
        <w:tc>
          <w:tcPr>
            <w:tcW w:w="8080" w:type="dxa"/>
            <w:vAlign w:val="bottom"/>
            <w:tcBorders>
              <w:right w:val="single" w:sz="8" w:color="3E3935"/>
            </w:tcBorders>
            <w:vMerge w:val="restart"/>
          </w:tcPr>
          <w:p>
            <w:pPr>
              <w:ind w:left="40"/>
              <w:spacing w:after="0" w:line="214" w:lineRule="exact"/>
              <w:rPr>
                <w:sz w:val="20"/>
                <w:szCs w:val="20"/>
                <w:color w:val="auto"/>
              </w:rPr>
            </w:pPr>
            <w:r>
              <w:rPr>
                <w:rFonts w:ascii="Arial" w:cs="Arial" w:eastAsia="Arial" w:hAnsi="Arial"/>
                <w:sz w:val="20"/>
                <w:szCs w:val="20"/>
                <w:color w:val="3E3935"/>
              </w:rPr>
              <w:t>Call (877) 328-2502 (toll free) or (412) 317-5419 (international) and press *1 when we</w:t>
            </w:r>
          </w:p>
        </w:tc>
        <w:tc>
          <w:tcPr>
            <w:tcW w:w="0" w:type="dxa"/>
            <w:vAlign w:val="bottom"/>
          </w:tcPr>
          <w:p>
            <w:pPr>
              <w:spacing w:after="0"/>
              <w:rPr>
                <w:sz w:val="1"/>
                <w:szCs w:val="1"/>
                <w:color w:val="auto"/>
              </w:rPr>
            </w:pPr>
          </w:p>
        </w:tc>
      </w:tr>
      <w:tr>
        <w:trPr>
          <w:trHeight w:val="86"/>
        </w:trPr>
        <w:tc>
          <w:tcPr>
            <w:tcW w:w="2380" w:type="dxa"/>
            <w:vAlign w:val="bottom"/>
            <w:tcBorders>
              <w:left w:val="single" w:sz="8" w:color="3E3935"/>
              <w:right w:val="single" w:sz="8" w:color="3E3935"/>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8080" w:type="dxa"/>
            <w:vAlign w:val="bottom"/>
            <w:tcBorders>
              <w:right w:val="single" w:sz="8" w:color="3E393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380" w:type="dxa"/>
            <w:vAlign w:val="bottom"/>
            <w:tcBorders>
              <w:left w:val="single" w:sz="8" w:color="3E3935"/>
              <w:bottom w:val="single" w:sz="8" w:color="3E3935"/>
              <w:right w:val="single" w:sz="8" w:color="3E3935"/>
            </w:tcBorders>
          </w:tcPr>
          <w:p>
            <w:pPr>
              <w:spacing w:after="0"/>
              <w:rPr>
                <w:sz w:val="20"/>
                <w:szCs w:val="20"/>
                <w:color w:val="auto"/>
              </w:rPr>
            </w:pPr>
          </w:p>
        </w:tc>
        <w:tc>
          <w:tcPr>
            <w:tcW w:w="480" w:type="dxa"/>
            <w:vAlign w:val="bottom"/>
            <w:tcBorders>
              <w:bottom w:val="single" w:sz="8" w:color="3E3935"/>
            </w:tcBorders>
          </w:tcPr>
          <w:p>
            <w:pPr>
              <w:spacing w:after="0"/>
              <w:rPr>
                <w:sz w:val="20"/>
                <w:szCs w:val="20"/>
                <w:color w:val="auto"/>
              </w:rPr>
            </w:pPr>
          </w:p>
        </w:tc>
        <w:tc>
          <w:tcPr>
            <w:tcW w:w="8080" w:type="dxa"/>
            <w:vAlign w:val="bottom"/>
            <w:tcBorders>
              <w:bottom w:val="single" w:sz="8" w:color="3E3935"/>
              <w:right w:val="single" w:sz="8" w:color="3E3935"/>
            </w:tcBorders>
          </w:tcPr>
          <w:p>
            <w:pPr>
              <w:ind w:left="20"/>
              <w:spacing w:after="0"/>
              <w:rPr>
                <w:sz w:val="20"/>
                <w:szCs w:val="20"/>
                <w:color w:val="auto"/>
              </w:rPr>
            </w:pPr>
            <w:r>
              <w:rPr>
                <w:rFonts w:ascii="Arial" w:cs="Arial" w:eastAsia="Arial" w:hAnsi="Arial"/>
                <w:sz w:val="20"/>
                <w:szCs w:val="20"/>
                <w:color w:val="3E3935"/>
              </w:rPr>
              <w:t>announce the question and answer session has opened.</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Only shareholders with a valid control number will be allowed to ask questions.</w:t>
      </w:r>
    </w:p>
    <w:p>
      <w:pPr>
        <w:spacing w:after="0" w:line="118"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3E3935"/>
        </w:rPr>
        <w:t xml:space="preserve">Questions pertinent to meeting matters will be answered during the meeting, subject to time constraints. If there are questions pertinent to meeting matters that cannot be answered during the meeting due to time constraints, management will post answers to a representative set of such questions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The questions and answers will be available as soon as practicable after the meeting and will remain available until GM’s 2022 Proxy Statement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84455</wp:posOffset>
            </wp:positionV>
            <wp:extent cx="5927725" cy="1016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7"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93</w:t>
      </w:r>
    </w:p>
    <w:p>
      <w:pPr>
        <w:sectPr>
          <w:pgSz w:w="11900" w:h="16838" w:orient="portrait"/>
          <w:cols w:equalWidth="0" w:num="1">
            <w:col w:w="11100"/>
          </w:cols>
          <w:pgMar w:left="320" w:top="456"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55"/>
        </w:numPr>
        <w:rPr>
          <w:rFonts w:ascii="Arial" w:cs="Arial" w:eastAsia="Arial" w:hAnsi="Arial"/>
          <w:sz w:val="21"/>
          <w:szCs w:val="21"/>
          <w:color w:val="0071CE"/>
        </w:rPr>
      </w:pPr>
      <w:r>
        <w:rPr>
          <w:rFonts w:ascii="Arial" w:cs="Arial" w:eastAsia="Arial" w:hAnsi="Arial"/>
          <w:sz w:val="25"/>
          <w:szCs w:val="25"/>
          <w:color w:val="3E3935"/>
        </w:rPr>
        <w:t>Voting at the Annual Meeting</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Shareholders of record and beneficial owners will be able to vote their shares electronically during the Annual Meeting. However, even if you plan to participate in the Annual Meeting online, we recommend that you also vote by proxy so that your votes will be counted if you later decide not to participate in the Annual Meeting.</w:t>
      </w:r>
    </w:p>
    <w:p>
      <w:pPr>
        <w:spacing w:after="0" w:line="320" w:lineRule="exact"/>
        <w:rPr>
          <w:sz w:val="20"/>
          <w:szCs w:val="20"/>
          <w:color w:val="auto"/>
        </w:rPr>
      </w:pPr>
    </w:p>
    <w:p>
      <w:pPr>
        <w:ind w:left="700" w:hanging="533"/>
        <w:spacing w:after="0"/>
        <w:tabs>
          <w:tab w:leader="none" w:pos="700" w:val="left"/>
        </w:tabs>
        <w:numPr>
          <w:ilvl w:val="0"/>
          <w:numId w:val="156"/>
        </w:numPr>
        <w:rPr>
          <w:rFonts w:ascii="Arial" w:cs="Arial" w:eastAsia="Arial" w:hAnsi="Arial"/>
          <w:sz w:val="21"/>
          <w:szCs w:val="21"/>
          <w:color w:val="0071CE"/>
        </w:rPr>
      </w:pPr>
      <w:r>
        <w:rPr>
          <w:rFonts w:ascii="Arial" w:cs="Arial" w:eastAsia="Arial" w:hAnsi="Arial"/>
          <w:sz w:val="25"/>
          <w:szCs w:val="25"/>
          <w:color w:val="3E3935"/>
        </w:rPr>
        <w:t>Quorum</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320" w:lineRule="exact"/>
        <w:rPr>
          <w:sz w:val="20"/>
          <w:szCs w:val="20"/>
          <w:color w:val="auto"/>
        </w:rPr>
      </w:pPr>
    </w:p>
    <w:p>
      <w:pPr>
        <w:ind w:left="700" w:hanging="533"/>
        <w:spacing w:after="0"/>
        <w:tabs>
          <w:tab w:leader="none" w:pos="700" w:val="left"/>
        </w:tabs>
        <w:numPr>
          <w:ilvl w:val="0"/>
          <w:numId w:val="157"/>
        </w:numPr>
        <w:rPr>
          <w:rFonts w:ascii="Arial" w:cs="Arial" w:eastAsia="Arial" w:hAnsi="Arial"/>
          <w:sz w:val="21"/>
          <w:szCs w:val="21"/>
          <w:color w:val="0071CE"/>
        </w:rPr>
      </w:pPr>
      <w:r>
        <w:rPr>
          <w:rFonts w:ascii="Arial" w:cs="Arial" w:eastAsia="Arial" w:hAnsi="Arial"/>
          <w:sz w:val="25"/>
          <w:szCs w:val="25"/>
          <w:color w:val="3E3935"/>
        </w:rPr>
        <w:t>Proxies</w:t>
      </w:r>
    </w:p>
    <w:p>
      <w:pPr>
        <w:spacing w:after="0" w:line="13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The Board appointed the following officers to act as proxies: Mary T. Barra, Craig B. Glidden, and Ann Cathcart Chaplin (collectively, the “Proxies”).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322" w:lineRule="exact"/>
        <w:rPr>
          <w:sz w:val="20"/>
          <w:szCs w:val="20"/>
          <w:color w:val="auto"/>
        </w:rPr>
      </w:pPr>
    </w:p>
    <w:p>
      <w:pPr>
        <w:ind w:left="700" w:hanging="533"/>
        <w:spacing w:after="0"/>
        <w:tabs>
          <w:tab w:leader="none" w:pos="700" w:val="left"/>
        </w:tabs>
        <w:numPr>
          <w:ilvl w:val="0"/>
          <w:numId w:val="158"/>
        </w:numPr>
        <w:rPr>
          <w:rFonts w:ascii="Arial" w:cs="Arial" w:eastAsia="Arial" w:hAnsi="Arial"/>
          <w:sz w:val="21"/>
          <w:szCs w:val="21"/>
          <w:color w:val="0071CE"/>
        </w:rPr>
      </w:pPr>
      <w:r>
        <w:rPr>
          <w:rFonts w:ascii="Arial" w:cs="Arial" w:eastAsia="Arial" w:hAnsi="Arial"/>
          <w:sz w:val="25"/>
          <w:szCs w:val="25"/>
          <w:color w:val="3E3935"/>
        </w:rPr>
        <w:t>Who Can Vote</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If you are a holder of the Company’s common stock as of the close of business on April 15, 2021, or you hold a valid proxy, you are entitled to vote at the Annual Meeting. On that date, the Company had 1,451,247,770 shares of common stock outstanding and entitled to vote. Each share of our common stock entitles the holder to one vote.</w:t>
      </w:r>
    </w:p>
    <w:p>
      <w:pPr>
        <w:spacing w:after="0" w:line="320" w:lineRule="exact"/>
        <w:rPr>
          <w:sz w:val="20"/>
          <w:szCs w:val="20"/>
          <w:color w:val="auto"/>
        </w:rPr>
      </w:pPr>
    </w:p>
    <w:p>
      <w:pPr>
        <w:ind w:left="700" w:hanging="533"/>
        <w:spacing w:after="0"/>
        <w:tabs>
          <w:tab w:leader="none" w:pos="700" w:val="left"/>
        </w:tabs>
        <w:numPr>
          <w:ilvl w:val="0"/>
          <w:numId w:val="159"/>
        </w:numPr>
        <w:rPr>
          <w:rFonts w:ascii="Arial" w:cs="Arial" w:eastAsia="Arial" w:hAnsi="Arial"/>
          <w:sz w:val="21"/>
          <w:szCs w:val="21"/>
          <w:color w:val="0071CE"/>
        </w:rPr>
      </w:pPr>
      <w:r>
        <w:rPr>
          <w:rFonts w:ascii="Arial" w:cs="Arial" w:eastAsia="Arial" w:hAnsi="Arial"/>
          <w:sz w:val="25"/>
          <w:szCs w:val="25"/>
          <w:color w:val="3E3935"/>
        </w:rPr>
        <w:t>Voting Without Attending the Annual Meeting</w:t>
      </w:r>
    </w:p>
    <w:p>
      <w:pPr>
        <w:spacing w:after="0" w:line="14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To vote your shares without attending the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of Directors, as indicated above. Internet and telephone voting are available 24 hours a day, through 11:59 p.m. Eastern Time on Sunday, June 13, 2021.</w:t>
      </w:r>
    </w:p>
    <w:p>
      <w:pPr>
        <w:spacing w:after="0" w:line="318" w:lineRule="exact"/>
        <w:rPr>
          <w:sz w:val="20"/>
          <w:szCs w:val="20"/>
          <w:color w:val="auto"/>
        </w:rPr>
      </w:pPr>
    </w:p>
    <w:p>
      <w:pPr>
        <w:ind w:left="700" w:hanging="533"/>
        <w:spacing w:after="0"/>
        <w:tabs>
          <w:tab w:leader="none" w:pos="700" w:val="left"/>
        </w:tabs>
        <w:numPr>
          <w:ilvl w:val="0"/>
          <w:numId w:val="160"/>
        </w:numPr>
        <w:rPr>
          <w:rFonts w:ascii="Arial" w:cs="Arial" w:eastAsia="Arial" w:hAnsi="Arial"/>
          <w:sz w:val="21"/>
          <w:szCs w:val="21"/>
          <w:color w:val="0071CE"/>
        </w:rPr>
      </w:pPr>
      <w:r>
        <w:rPr>
          <w:rFonts w:ascii="Arial" w:cs="Arial" w:eastAsia="Arial" w:hAnsi="Arial"/>
          <w:sz w:val="25"/>
          <w:szCs w:val="25"/>
          <w:color w:val="3E3935"/>
        </w:rPr>
        <w:t>Revoking Your Proxy</w:t>
      </w:r>
    </w:p>
    <w:p>
      <w:pPr>
        <w:spacing w:after="0" w:line="135"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3E3935"/>
        </w:rPr>
        <w:t>After you have submitted your proxy or voting instructions by Internet, telephone, or mail, you may revoke it at any time until it is voted at the Annual Meeting. Participation in the Annual Meeting will not cause your previously granted proxy to be revoked unless you specifically make that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83185</wp:posOffset>
            </wp:positionV>
            <wp:extent cx="5927725" cy="1016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6" w:lineRule="exact"/>
        <w:rPr>
          <w:sz w:val="20"/>
          <w:szCs w:val="20"/>
          <w:color w:val="auto"/>
        </w:rPr>
      </w:pPr>
    </w:p>
    <w:p>
      <w:pPr>
        <w:jc w:val="center"/>
        <w:ind w:right="10600"/>
        <w:spacing w:after="0"/>
        <w:rPr>
          <w:sz w:val="20"/>
          <w:szCs w:val="20"/>
          <w:color w:val="auto"/>
        </w:rPr>
      </w:pPr>
      <w:r>
        <w:rPr>
          <w:rFonts w:ascii="Arial" w:cs="Arial" w:eastAsia="Arial" w:hAnsi="Arial"/>
          <w:sz w:val="14"/>
          <w:szCs w:val="14"/>
          <w:color w:val="0071CE"/>
        </w:rPr>
        <w:t>94</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color w:val="3E3935"/>
        </w:rPr>
        <w:t>To revoke your proxy, follow the instructions below.</w:t>
      </w:r>
    </w:p>
    <w:p>
      <w:pPr>
        <w:spacing w:after="0" w:line="208" w:lineRule="exact"/>
        <w:rPr>
          <w:sz w:val="20"/>
          <w:szCs w:val="20"/>
          <w:color w:val="auto"/>
        </w:rPr>
      </w:pPr>
    </w:p>
    <w:tbl>
      <w:tblPr>
        <w:tblLayout w:type="fixed"/>
        <w:tblInd w:w="170" w:type="dxa"/>
        <w:tblCellMar>
          <w:top w:w="0" w:type="dxa"/>
          <w:left w:w="0" w:type="dxa"/>
          <w:bottom w:w="0" w:type="dxa"/>
          <w:right w:w="0" w:type="dxa"/>
        </w:tblCellMar>
      </w:tblPr>
      <w:tr>
        <w:trPr>
          <w:trHeight w:val="308"/>
        </w:trPr>
        <w:tc>
          <w:tcPr>
            <w:tcW w:w="5340" w:type="dxa"/>
            <w:vAlign w:val="bottom"/>
            <w:tcBorders>
              <w:top w:val="single" w:sz="8" w:color="3E3935"/>
              <w:left w:val="single" w:sz="8" w:color="3E3935"/>
            </w:tcBorders>
            <w:shd w:val="clear" w:color="auto" w:fill="0071CE"/>
          </w:tcPr>
          <w:p>
            <w:pPr>
              <w:jc w:val="right"/>
              <w:ind w:right="1369"/>
              <w:spacing w:after="0"/>
              <w:rPr>
                <w:sz w:val="20"/>
                <w:szCs w:val="20"/>
                <w:color w:val="auto"/>
              </w:rPr>
            </w:pPr>
            <w:r>
              <w:rPr>
                <w:rFonts w:ascii="Arial" w:cs="Arial" w:eastAsia="Arial" w:hAnsi="Arial"/>
                <w:sz w:val="20"/>
                <w:szCs w:val="20"/>
                <w:b w:val="1"/>
                <w:bCs w:val="1"/>
                <w:color w:val="FFFFFF"/>
              </w:rPr>
              <w:t>Shareholders of Record</w:t>
            </w:r>
          </w:p>
        </w:tc>
        <w:tc>
          <w:tcPr>
            <w:tcW w:w="180" w:type="dxa"/>
            <w:vAlign w:val="bottom"/>
            <w:tcBorders>
              <w:top w:val="single" w:sz="8" w:color="3E3935"/>
              <w:right w:val="single" w:sz="8" w:color="3E3935"/>
            </w:tcBorders>
            <w:shd w:val="clear" w:color="auto" w:fill="0071CE"/>
          </w:tcPr>
          <w:p>
            <w:pPr>
              <w:spacing w:after="0"/>
              <w:rPr>
                <w:sz w:val="24"/>
                <w:szCs w:val="24"/>
                <w:color w:val="auto"/>
              </w:rPr>
            </w:pPr>
          </w:p>
        </w:tc>
        <w:tc>
          <w:tcPr>
            <w:tcW w:w="5420" w:type="dxa"/>
            <w:vAlign w:val="bottom"/>
            <w:tcBorders>
              <w:top w:val="single" w:sz="8" w:color="3E3935"/>
              <w:right w:val="single" w:sz="8" w:color="3E3935"/>
            </w:tcBorders>
            <w:shd w:val="clear" w:color="auto" w:fill="0071CE"/>
          </w:tcPr>
          <w:p>
            <w:pPr>
              <w:ind w:left="1480"/>
              <w:spacing w:after="0"/>
              <w:rPr>
                <w:sz w:val="20"/>
                <w:szCs w:val="20"/>
                <w:color w:val="auto"/>
              </w:rPr>
            </w:pPr>
            <w:r>
              <w:rPr>
                <w:rFonts w:ascii="Arial" w:cs="Arial" w:eastAsia="Arial" w:hAnsi="Arial"/>
                <w:sz w:val="20"/>
                <w:szCs w:val="20"/>
                <w:b w:val="1"/>
                <w:bCs w:val="1"/>
                <w:color w:val="FFFFFF"/>
              </w:rPr>
              <w:t>Street Name Shareholders</w:t>
            </w:r>
          </w:p>
        </w:tc>
        <w:tc>
          <w:tcPr>
            <w:tcW w:w="0" w:type="dxa"/>
            <w:vAlign w:val="bottom"/>
          </w:tcPr>
          <w:p>
            <w:pPr>
              <w:spacing w:after="0"/>
              <w:rPr>
                <w:sz w:val="1"/>
                <w:szCs w:val="1"/>
                <w:color w:val="auto"/>
              </w:rPr>
            </w:pPr>
          </w:p>
        </w:tc>
      </w:tr>
      <w:tr>
        <w:trPr>
          <w:trHeight w:val="371"/>
        </w:trPr>
        <w:tc>
          <w:tcPr>
            <w:tcW w:w="5340" w:type="dxa"/>
            <w:vAlign w:val="bottom"/>
            <w:tcBorders>
              <w:left w:val="single" w:sz="8" w:color="3E3935"/>
            </w:tcBorders>
          </w:tcPr>
          <w:p>
            <w:pPr>
              <w:jc w:val="right"/>
              <w:spacing w:after="0"/>
              <w:rPr>
                <w:sz w:val="20"/>
                <w:szCs w:val="20"/>
                <w:color w:val="auto"/>
              </w:rPr>
            </w:pPr>
            <w:r>
              <w:rPr>
                <w:rFonts w:ascii="Arial" w:cs="Arial" w:eastAsia="Arial" w:hAnsi="Arial"/>
                <w:sz w:val="27"/>
                <w:szCs w:val="27"/>
                <w:color w:val="00C1DE"/>
              </w:rPr>
              <w:t xml:space="preserve">• </w:t>
            </w:r>
            <w:r>
              <w:rPr>
                <w:rFonts w:ascii="Arial" w:cs="Arial" w:eastAsia="Arial" w:hAnsi="Arial"/>
                <w:sz w:val="19"/>
                <w:szCs w:val="19"/>
                <w:color w:val="3E3935"/>
              </w:rPr>
              <w:t>Grant  a  new  proxy  bearing  a  later  date  (which</w:t>
            </w:r>
          </w:p>
        </w:tc>
        <w:tc>
          <w:tcPr>
            <w:tcW w:w="180" w:type="dxa"/>
            <w:vAlign w:val="bottom"/>
            <w:tcBorders>
              <w:right w:val="single" w:sz="8" w:color="3E3935"/>
            </w:tcBorders>
          </w:tcPr>
          <w:p>
            <w:pPr>
              <w:spacing w:after="0"/>
              <w:rPr>
                <w:sz w:val="24"/>
                <w:szCs w:val="24"/>
                <w:color w:val="auto"/>
              </w:rPr>
            </w:pPr>
          </w:p>
        </w:tc>
        <w:tc>
          <w:tcPr>
            <w:tcW w:w="5420" w:type="dxa"/>
            <w:vAlign w:val="bottom"/>
            <w:tcBorders>
              <w:right w:val="single" w:sz="8" w:color="3E3935"/>
            </w:tcBorders>
          </w:tcPr>
          <w:p>
            <w:pPr>
              <w:ind w:left="160"/>
              <w:spacing w:after="0"/>
              <w:rPr>
                <w:sz w:val="20"/>
                <w:szCs w:val="20"/>
                <w:color w:val="auto"/>
              </w:rPr>
            </w:pPr>
            <w:r>
              <w:rPr>
                <w:rFonts w:ascii="Arial" w:cs="Arial" w:eastAsia="Arial" w:hAnsi="Arial"/>
                <w:sz w:val="27"/>
                <w:szCs w:val="27"/>
                <w:color w:val="00C1DE"/>
              </w:rPr>
              <w:t xml:space="preserve">• </w:t>
            </w:r>
            <w:r>
              <w:rPr>
                <w:rFonts w:ascii="Arial" w:cs="Arial" w:eastAsia="Arial" w:hAnsi="Arial"/>
                <w:sz w:val="19"/>
                <w:szCs w:val="19"/>
                <w:color w:val="3E3935"/>
              </w:rPr>
              <w:t>Notify your broker, bank, or nominee in accordance with</w:t>
            </w:r>
          </w:p>
        </w:tc>
        <w:tc>
          <w:tcPr>
            <w:tcW w:w="0" w:type="dxa"/>
            <w:vAlign w:val="bottom"/>
          </w:tcPr>
          <w:p>
            <w:pPr>
              <w:spacing w:after="0"/>
              <w:rPr>
                <w:sz w:val="1"/>
                <w:szCs w:val="1"/>
                <w:color w:val="auto"/>
              </w:rPr>
            </w:pPr>
          </w:p>
        </w:tc>
      </w:tr>
      <w:tr>
        <w:trPr>
          <w:trHeight w:val="214"/>
        </w:trPr>
        <w:tc>
          <w:tcPr>
            <w:tcW w:w="5340" w:type="dxa"/>
            <w:vAlign w:val="bottom"/>
            <w:tcBorders>
              <w:left w:val="single" w:sz="8" w:color="3E3935"/>
            </w:tcBorders>
          </w:tcPr>
          <w:p>
            <w:pPr>
              <w:ind w:left="560"/>
              <w:spacing w:after="0" w:line="214" w:lineRule="exact"/>
              <w:rPr>
                <w:sz w:val="20"/>
                <w:szCs w:val="20"/>
                <w:color w:val="auto"/>
              </w:rPr>
            </w:pPr>
            <w:r>
              <w:rPr>
                <w:rFonts w:ascii="Arial" w:cs="Arial" w:eastAsia="Arial" w:hAnsi="Arial"/>
                <w:sz w:val="20"/>
                <w:szCs w:val="20"/>
                <w:color w:val="3E3935"/>
              </w:rPr>
              <w:t>automatically revokes the earlier proxy);</w:t>
            </w:r>
          </w:p>
        </w:tc>
        <w:tc>
          <w:tcPr>
            <w:tcW w:w="180" w:type="dxa"/>
            <w:vAlign w:val="bottom"/>
            <w:tcBorders>
              <w:right w:val="single" w:sz="8" w:color="3E3935"/>
            </w:tcBorders>
          </w:tcPr>
          <w:p>
            <w:pPr>
              <w:spacing w:after="0"/>
              <w:rPr>
                <w:sz w:val="18"/>
                <w:szCs w:val="18"/>
                <w:color w:val="auto"/>
              </w:rPr>
            </w:pPr>
          </w:p>
        </w:tc>
        <w:tc>
          <w:tcPr>
            <w:tcW w:w="5420" w:type="dxa"/>
            <w:vAlign w:val="bottom"/>
            <w:tcBorders>
              <w:right w:val="single" w:sz="8" w:color="3E3935"/>
            </w:tcBorders>
          </w:tcPr>
          <w:p>
            <w:pPr>
              <w:ind w:left="460"/>
              <w:spacing w:after="0" w:line="214" w:lineRule="exact"/>
              <w:rPr>
                <w:sz w:val="20"/>
                <w:szCs w:val="20"/>
                <w:color w:val="auto"/>
              </w:rPr>
            </w:pPr>
            <w:r>
              <w:rPr>
                <w:rFonts w:ascii="Arial" w:cs="Arial" w:eastAsia="Arial" w:hAnsi="Arial"/>
                <w:sz w:val="20"/>
                <w:szCs w:val="20"/>
                <w:color w:val="3E3935"/>
              </w:rPr>
              <w:t>that  entity’s  procedures  for  revoking  your  voting</w:t>
            </w:r>
          </w:p>
        </w:tc>
        <w:tc>
          <w:tcPr>
            <w:tcW w:w="0" w:type="dxa"/>
            <w:vAlign w:val="bottom"/>
          </w:tcPr>
          <w:p>
            <w:pPr>
              <w:spacing w:after="0"/>
              <w:rPr>
                <w:sz w:val="1"/>
                <w:szCs w:val="1"/>
                <w:color w:val="auto"/>
              </w:rPr>
            </w:pPr>
          </w:p>
        </w:tc>
      </w:tr>
      <w:tr>
        <w:trPr>
          <w:trHeight w:val="235"/>
        </w:trPr>
        <w:tc>
          <w:tcPr>
            <w:tcW w:w="5340" w:type="dxa"/>
            <w:vAlign w:val="bottom"/>
            <w:tcBorders>
              <w:left w:val="single" w:sz="8" w:color="3E3935"/>
            </w:tcBorders>
            <w:vMerge w:val="restart"/>
          </w:tcPr>
          <w:p>
            <w:pPr>
              <w:jc w:val="right"/>
              <w:spacing w:after="0"/>
              <w:rPr>
                <w:sz w:val="20"/>
                <w:szCs w:val="20"/>
                <w:color w:val="auto"/>
              </w:rPr>
            </w:pPr>
            <w:r>
              <w:rPr>
                <w:rFonts w:ascii="Arial" w:cs="Arial" w:eastAsia="Arial" w:hAnsi="Arial"/>
                <w:sz w:val="27"/>
                <w:szCs w:val="27"/>
                <w:color w:val="00C1DE"/>
              </w:rPr>
              <w:t xml:space="preserve">• </w:t>
            </w:r>
            <w:r>
              <w:rPr>
                <w:rFonts w:ascii="Arial" w:cs="Arial" w:eastAsia="Arial" w:hAnsi="Arial"/>
                <w:sz w:val="19"/>
                <w:szCs w:val="19"/>
                <w:color w:val="3E3935"/>
              </w:rPr>
              <w:t>Send a written notice of revocation to the General</w:t>
            </w:r>
          </w:p>
        </w:tc>
        <w:tc>
          <w:tcPr>
            <w:tcW w:w="180" w:type="dxa"/>
            <w:vAlign w:val="bottom"/>
            <w:tcBorders>
              <w:right w:val="single" w:sz="8" w:color="3E3935"/>
            </w:tcBorders>
          </w:tcPr>
          <w:p>
            <w:pPr>
              <w:spacing w:after="0"/>
              <w:rPr>
                <w:sz w:val="20"/>
                <w:szCs w:val="20"/>
                <w:color w:val="auto"/>
              </w:rPr>
            </w:pPr>
          </w:p>
        </w:tc>
        <w:tc>
          <w:tcPr>
            <w:tcW w:w="5420" w:type="dxa"/>
            <w:vAlign w:val="bottom"/>
            <w:tcBorders>
              <w:right w:val="single" w:sz="8" w:color="3E3935"/>
            </w:tcBorders>
          </w:tcPr>
          <w:p>
            <w:pPr>
              <w:ind w:left="460"/>
              <w:spacing w:after="0"/>
              <w:rPr>
                <w:sz w:val="20"/>
                <w:szCs w:val="20"/>
                <w:color w:val="auto"/>
              </w:rPr>
            </w:pPr>
            <w:r>
              <w:rPr>
                <w:rFonts w:ascii="Arial" w:cs="Arial" w:eastAsia="Arial" w:hAnsi="Arial"/>
                <w:sz w:val="20"/>
                <w:szCs w:val="20"/>
                <w:color w:val="3E3935"/>
              </w:rPr>
              <w:t>instructions; or</w:t>
            </w:r>
          </w:p>
        </w:tc>
        <w:tc>
          <w:tcPr>
            <w:tcW w:w="0" w:type="dxa"/>
            <w:vAlign w:val="bottom"/>
          </w:tcPr>
          <w:p>
            <w:pPr>
              <w:spacing w:after="0"/>
              <w:rPr>
                <w:sz w:val="1"/>
                <w:szCs w:val="1"/>
                <w:color w:val="auto"/>
              </w:rPr>
            </w:pPr>
          </w:p>
        </w:tc>
      </w:tr>
      <w:tr>
        <w:trPr>
          <w:trHeight w:val="152"/>
        </w:trPr>
        <w:tc>
          <w:tcPr>
            <w:tcW w:w="5340" w:type="dxa"/>
            <w:vAlign w:val="bottom"/>
            <w:tcBorders>
              <w:left w:val="single" w:sz="8" w:color="3E3935"/>
            </w:tcBorders>
            <w:vMerge w:val="continue"/>
          </w:tcPr>
          <w:p>
            <w:pPr>
              <w:spacing w:after="0"/>
              <w:rPr>
                <w:sz w:val="13"/>
                <w:szCs w:val="13"/>
                <w:color w:val="auto"/>
              </w:rPr>
            </w:pPr>
          </w:p>
        </w:tc>
        <w:tc>
          <w:tcPr>
            <w:tcW w:w="180" w:type="dxa"/>
            <w:vAlign w:val="bottom"/>
            <w:tcBorders>
              <w:right w:val="single" w:sz="8" w:color="3E3935"/>
            </w:tcBorders>
          </w:tcPr>
          <w:p>
            <w:pPr>
              <w:spacing w:after="0"/>
              <w:rPr>
                <w:sz w:val="13"/>
                <w:szCs w:val="13"/>
                <w:color w:val="auto"/>
              </w:rPr>
            </w:pPr>
          </w:p>
        </w:tc>
        <w:tc>
          <w:tcPr>
            <w:tcW w:w="5420" w:type="dxa"/>
            <w:vAlign w:val="bottom"/>
            <w:tcBorders>
              <w:right w:val="single" w:sz="8" w:color="3E3935"/>
            </w:tcBorders>
            <w:vMerge w:val="restart"/>
          </w:tcPr>
          <w:p>
            <w:pPr>
              <w:ind w:left="160"/>
              <w:spacing w:after="0"/>
              <w:rPr>
                <w:sz w:val="20"/>
                <w:szCs w:val="20"/>
                <w:color w:val="auto"/>
              </w:rPr>
            </w:pPr>
            <w:r>
              <w:rPr>
                <w:rFonts w:ascii="Arial" w:cs="Arial" w:eastAsia="Arial" w:hAnsi="Arial"/>
                <w:sz w:val="27"/>
                <w:szCs w:val="27"/>
                <w:color w:val="00C1DE"/>
              </w:rPr>
              <w:t xml:space="preserve">• </w:t>
            </w:r>
            <w:r>
              <w:rPr>
                <w:rFonts w:ascii="Arial" w:cs="Arial" w:eastAsia="Arial" w:hAnsi="Arial"/>
                <w:sz w:val="19"/>
                <w:szCs w:val="19"/>
                <w:color w:val="3E3935"/>
              </w:rPr>
              <w:t>Participate in the Annual Meeting and vote your shares</w:t>
            </w:r>
          </w:p>
        </w:tc>
        <w:tc>
          <w:tcPr>
            <w:tcW w:w="0" w:type="dxa"/>
            <w:vAlign w:val="bottom"/>
          </w:tcPr>
          <w:p>
            <w:pPr>
              <w:spacing w:after="0"/>
              <w:rPr>
                <w:sz w:val="1"/>
                <w:szCs w:val="1"/>
                <w:color w:val="auto"/>
              </w:rPr>
            </w:pPr>
          </w:p>
        </w:tc>
      </w:tr>
      <w:tr>
        <w:trPr>
          <w:trHeight w:val="214"/>
        </w:trPr>
        <w:tc>
          <w:tcPr>
            <w:tcW w:w="5340" w:type="dxa"/>
            <w:vAlign w:val="bottom"/>
            <w:tcBorders>
              <w:left w:val="single" w:sz="8" w:color="3E3935"/>
            </w:tcBorders>
          </w:tcPr>
          <w:p>
            <w:pPr>
              <w:jc w:val="right"/>
              <w:spacing w:after="0" w:line="214" w:lineRule="exact"/>
              <w:rPr>
                <w:sz w:val="20"/>
                <w:szCs w:val="20"/>
                <w:color w:val="auto"/>
              </w:rPr>
            </w:pPr>
            <w:r>
              <w:rPr>
                <w:rFonts w:ascii="Arial" w:cs="Arial" w:eastAsia="Arial" w:hAnsi="Arial"/>
                <w:sz w:val="20"/>
                <w:szCs w:val="20"/>
                <w:color w:val="3E3935"/>
              </w:rPr>
              <w:t>Motors Company Corporate Secretary at Mail Code</w:t>
            </w:r>
          </w:p>
        </w:tc>
        <w:tc>
          <w:tcPr>
            <w:tcW w:w="180" w:type="dxa"/>
            <w:vAlign w:val="bottom"/>
            <w:tcBorders>
              <w:right w:val="single" w:sz="8" w:color="3E3935"/>
            </w:tcBorders>
          </w:tcPr>
          <w:p>
            <w:pPr>
              <w:spacing w:after="0"/>
              <w:rPr>
                <w:sz w:val="18"/>
                <w:szCs w:val="18"/>
                <w:color w:val="auto"/>
              </w:rPr>
            </w:pPr>
          </w:p>
        </w:tc>
        <w:tc>
          <w:tcPr>
            <w:tcW w:w="5420" w:type="dxa"/>
            <w:vAlign w:val="bottom"/>
            <w:tcBorders>
              <w:right w:val="single" w:sz="8" w:color="3E393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40" w:type="dxa"/>
            <w:vAlign w:val="bottom"/>
            <w:tcBorders>
              <w:left w:val="single" w:sz="8" w:color="3E3935"/>
            </w:tcBorders>
          </w:tcPr>
          <w:p>
            <w:pPr>
              <w:jc w:val="right"/>
              <w:spacing w:after="0" w:line="214" w:lineRule="exact"/>
              <w:rPr>
                <w:sz w:val="20"/>
                <w:szCs w:val="20"/>
                <w:color w:val="auto"/>
              </w:rPr>
            </w:pPr>
            <w:r>
              <w:rPr>
                <w:rFonts w:ascii="Arial" w:cs="Arial" w:eastAsia="Arial" w:hAnsi="Arial"/>
                <w:sz w:val="20"/>
                <w:szCs w:val="20"/>
                <w:color w:val="3E3935"/>
              </w:rPr>
              <w:t>482-C25-A36,  300  Renaissance  Center,  Detroit,</w:t>
            </w:r>
          </w:p>
        </w:tc>
        <w:tc>
          <w:tcPr>
            <w:tcW w:w="180" w:type="dxa"/>
            <w:vAlign w:val="bottom"/>
            <w:tcBorders>
              <w:right w:val="single" w:sz="8" w:color="3E3935"/>
            </w:tcBorders>
          </w:tcPr>
          <w:p>
            <w:pPr>
              <w:spacing w:after="0"/>
              <w:rPr>
                <w:sz w:val="18"/>
                <w:szCs w:val="18"/>
                <w:color w:val="auto"/>
              </w:rPr>
            </w:pPr>
          </w:p>
        </w:tc>
        <w:tc>
          <w:tcPr>
            <w:tcW w:w="5420" w:type="dxa"/>
            <w:vAlign w:val="bottom"/>
            <w:tcBorders>
              <w:right w:val="single" w:sz="8" w:color="3E3935"/>
            </w:tcBorders>
          </w:tcPr>
          <w:p>
            <w:pPr>
              <w:ind w:left="460"/>
              <w:spacing w:after="0" w:line="214" w:lineRule="exact"/>
              <w:rPr>
                <w:sz w:val="20"/>
                <w:szCs w:val="20"/>
                <w:color w:val="auto"/>
              </w:rPr>
            </w:pPr>
            <w:r>
              <w:rPr>
                <w:rFonts w:ascii="Arial" w:cs="Arial" w:eastAsia="Arial" w:hAnsi="Arial"/>
                <w:sz w:val="20"/>
                <w:szCs w:val="20"/>
                <w:color w:val="3E3935"/>
              </w:rPr>
              <w:t>electronically during the meeting.</w:t>
            </w:r>
          </w:p>
        </w:tc>
        <w:tc>
          <w:tcPr>
            <w:tcW w:w="0" w:type="dxa"/>
            <w:vAlign w:val="bottom"/>
          </w:tcPr>
          <w:p>
            <w:pPr>
              <w:spacing w:after="0"/>
              <w:rPr>
                <w:sz w:val="1"/>
                <w:szCs w:val="1"/>
                <w:color w:val="auto"/>
              </w:rPr>
            </w:pPr>
          </w:p>
        </w:tc>
      </w:tr>
      <w:tr>
        <w:trPr>
          <w:trHeight w:val="235"/>
        </w:trPr>
        <w:tc>
          <w:tcPr>
            <w:tcW w:w="5340" w:type="dxa"/>
            <w:vAlign w:val="bottom"/>
            <w:tcBorders>
              <w:left w:val="single" w:sz="8" w:color="3E3935"/>
            </w:tcBorders>
          </w:tcPr>
          <w:p>
            <w:pPr>
              <w:ind w:left="560"/>
              <w:spacing w:after="0"/>
              <w:rPr>
                <w:sz w:val="20"/>
                <w:szCs w:val="20"/>
                <w:color w:val="auto"/>
              </w:rPr>
            </w:pPr>
            <w:r>
              <w:rPr>
                <w:rFonts w:ascii="Arial" w:cs="Arial" w:eastAsia="Arial" w:hAnsi="Arial"/>
                <w:sz w:val="20"/>
                <w:szCs w:val="20"/>
                <w:color w:val="3E3935"/>
              </w:rPr>
              <w:t>Michigan 48265;</w:t>
            </w:r>
          </w:p>
        </w:tc>
        <w:tc>
          <w:tcPr>
            <w:tcW w:w="180" w:type="dxa"/>
            <w:vAlign w:val="bottom"/>
            <w:tcBorders>
              <w:right w:val="single" w:sz="8" w:color="3E3935"/>
            </w:tcBorders>
          </w:tcPr>
          <w:p>
            <w:pPr>
              <w:spacing w:after="0"/>
              <w:rPr>
                <w:sz w:val="20"/>
                <w:szCs w:val="20"/>
                <w:color w:val="auto"/>
              </w:rPr>
            </w:pPr>
          </w:p>
        </w:tc>
        <w:tc>
          <w:tcPr>
            <w:tcW w:w="5420" w:type="dxa"/>
            <w:vAlign w:val="bottom"/>
            <w:tcBorders>
              <w:right w:val="single" w:sz="8" w:color="3E3935"/>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340" w:type="dxa"/>
            <w:vAlign w:val="bottom"/>
            <w:tcBorders>
              <w:left w:val="single" w:sz="8" w:color="3E3935"/>
            </w:tcBorders>
          </w:tcPr>
          <w:p>
            <w:pPr>
              <w:jc w:val="right"/>
              <w:spacing w:after="0"/>
              <w:rPr>
                <w:sz w:val="20"/>
                <w:szCs w:val="20"/>
                <w:color w:val="auto"/>
              </w:rPr>
            </w:pPr>
            <w:r>
              <w:rPr>
                <w:rFonts w:ascii="Arial" w:cs="Arial" w:eastAsia="Arial" w:hAnsi="Arial"/>
                <w:sz w:val="27"/>
                <w:szCs w:val="27"/>
                <w:color w:val="00C1DE"/>
              </w:rPr>
              <w:t xml:space="preserve">• </w:t>
            </w:r>
            <w:r>
              <w:rPr>
                <w:rFonts w:ascii="Arial" w:cs="Arial" w:eastAsia="Arial" w:hAnsi="Arial"/>
                <w:sz w:val="19"/>
                <w:szCs w:val="19"/>
                <w:color w:val="3E3935"/>
              </w:rPr>
              <w:t>E-mail  the  General  Motors  Company  Corporate</w:t>
            </w:r>
          </w:p>
        </w:tc>
        <w:tc>
          <w:tcPr>
            <w:tcW w:w="180" w:type="dxa"/>
            <w:vAlign w:val="bottom"/>
            <w:tcBorders>
              <w:right w:val="single" w:sz="8" w:color="3E3935"/>
            </w:tcBorders>
          </w:tcPr>
          <w:p>
            <w:pPr>
              <w:spacing w:after="0"/>
              <w:rPr>
                <w:sz w:val="24"/>
                <w:szCs w:val="24"/>
                <w:color w:val="auto"/>
              </w:rPr>
            </w:pPr>
          </w:p>
        </w:tc>
        <w:tc>
          <w:tcPr>
            <w:tcW w:w="5420" w:type="dxa"/>
            <w:vAlign w:val="bottom"/>
            <w:tcBorders>
              <w:right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340" w:type="dxa"/>
            <w:vAlign w:val="bottom"/>
            <w:tcBorders>
              <w:left w:val="single" w:sz="8" w:color="3E3935"/>
            </w:tcBorders>
          </w:tcPr>
          <w:p>
            <w:pPr>
              <w:ind w:left="560"/>
              <w:spacing w:after="0"/>
              <w:rPr>
                <w:sz w:val="20"/>
                <w:szCs w:val="20"/>
                <w:color w:val="auto"/>
              </w:rPr>
            </w:pPr>
            <w:r>
              <w:rPr>
                <w:rFonts w:ascii="Arial" w:cs="Arial" w:eastAsia="Arial" w:hAnsi="Arial"/>
                <w:sz w:val="20"/>
                <w:szCs w:val="20"/>
                <w:color w:val="3E3935"/>
              </w:rPr>
              <w:t xml:space="preserve">Secretary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or</w:t>
            </w:r>
          </w:p>
        </w:tc>
        <w:tc>
          <w:tcPr>
            <w:tcW w:w="180" w:type="dxa"/>
            <w:vAlign w:val="bottom"/>
            <w:tcBorders>
              <w:right w:val="single" w:sz="8" w:color="3E3935"/>
            </w:tcBorders>
          </w:tcPr>
          <w:p>
            <w:pPr>
              <w:spacing w:after="0"/>
              <w:rPr>
                <w:sz w:val="22"/>
                <w:szCs w:val="22"/>
                <w:color w:val="auto"/>
              </w:rPr>
            </w:pPr>
          </w:p>
        </w:tc>
        <w:tc>
          <w:tcPr>
            <w:tcW w:w="5420" w:type="dxa"/>
            <w:vAlign w:val="bottom"/>
            <w:tcBorders>
              <w:right w:val="single" w:sz="8" w:color="3E3935"/>
            </w:tcBorders>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5340" w:type="dxa"/>
            <w:vAlign w:val="bottom"/>
            <w:tcBorders>
              <w:left w:val="single" w:sz="8" w:color="3E3935"/>
            </w:tcBorders>
          </w:tcPr>
          <w:p>
            <w:pPr>
              <w:jc w:val="right"/>
              <w:spacing w:after="0"/>
              <w:rPr>
                <w:sz w:val="20"/>
                <w:szCs w:val="20"/>
                <w:color w:val="auto"/>
              </w:rPr>
            </w:pPr>
            <w:r>
              <w:rPr>
                <w:rFonts w:ascii="Arial" w:cs="Arial" w:eastAsia="Arial" w:hAnsi="Arial"/>
                <w:sz w:val="27"/>
                <w:szCs w:val="27"/>
                <w:color w:val="00C1DE"/>
              </w:rPr>
              <w:t xml:space="preserve">• </w:t>
            </w:r>
            <w:r>
              <w:rPr>
                <w:rFonts w:ascii="Arial" w:cs="Arial" w:eastAsia="Arial" w:hAnsi="Arial"/>
                <w:sz w:val="19"/>
                <w:szCs w:val="19"/>
                <w:color w:val="3E3935"/>
              </w:rPr>
              <w:t>Participate in the Annual Meeting and vote your shares</w:t>
            </w:r>
          </w:p>
        </w:tc>
        <w:tc>
          <w:tcPr>
            <w:tcW w:w="180" w:type="dxa"/>
            <w:vAlign w:val="bottom"/>
            <w:tcBorders>
              <w:right w:val="single" w:sz="8" w:color="3E3935"/>
            </w:tcBorders>
          </w:tcPr>
          <w:p>
            <w:pPr>
              <w:spacing w:after="0"/>
              <w:rPr>
                <w:sz w:val="24"/>
                <w:szCs w:val="24"/>
                <w:color w:val="auto"/>
              </w:rPr>
            </w:pPr>
          </w:p>
        </w:tc>
        <w:tc>
          <w:tcPr>
            <w:tcW w:w="5420" w:type="dxa"/>
            <w:vAlign w:val="bottom"/>
            <w:tcBorders>
              <w:right w:val="single" w:sz="8" w:color="3E3935"/>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340" w:type="dxa"/>
            <w:vAlign w:val="bottom"/>
            <w:tcBorders>
              <w:left w:val="single" w:sz="8" w:color="3E3935"/>
            </w:tcBorders>
          </w:tcPr>
          <w:p>
            <w:pPr>
              <w:ind w:left="560"/>
              <w:spacing w:after="0"/>
              <w:rPr>
                <w:sz w:val="20"/>
                <w:szCs w:val="20"/>
                <w:color w:val="auto"/>
              </w:rPr>
            </w:pPr>
            <w:r>
              <w:rPr>
                <w:rFonts w:ascii="Arial" w:cs="Arial" w:eastAsia="Arial" w:hAnsi="Arial"/>
                <w:sz w:val="20"/>
                <w:szCs w:val="20"/>
                <w:color w:val="3E3935"/>
              </w:rPr>
              <w:t>electronically during the meeting.</w:t>
            </w:r>
          </w:p>
        </w:tc>
        <w:tc>
          <w:tcPr>
            <w:tcW w:w="180" w:type="dxa"/>
            <w:vAlign w:val="bottom"/>
            <w:tcBorders>
              <w:right w:val="single" w:sz="8" w:color="3E3935"/>
            </w:tcBorders>
          </w:tcPr>
          <w:p>
            <w:pPr>
              <w:spacing w:after="0"/>
              <w:rPr>
                <w:sz w:val="20"/>
                <w:szCs w:val="20"/>
                <w:color w:val="auto"/>
              </w:rPr>
            </w:pPr>
          </w:p>
        </w:tc>
        <w:tc>
          <w:tcPr>
            <w:tcW w:w="5420" w:type="dxa"/>
            <w:vAlign w:val="bottom"/>
            <w:tcBorders>
              <w:right w:val="single" w:sz="8" w:color="3E3935"/>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340" w:type="dxa"/>
            <w:vAlign w:val="bottom"/>
            <w:tcBorders>
              <w:left w:val="single" w:sz="8" w:color="3E3935"/>
              <w:bottom w:val="single" w:sz="8" w:color="3E3935"/>
            </w:tcBorders>
          </w:tcPr>
          <w:p>
            <w:pPr>
              <w:spacing w:after="0" w:line="20" w:lineRule="exact"/>
              <w:rPr>
                <w:sz w:val="1"/>
                <w:szCs w:val="1"/>
                <w:color w:val="auto"/>
              </w:rPr>
            </w:pPr>
          </w:p>
        </w:tc>
        <w:tc>
          <w:tcPr>
            <w:tcW w:w="180" w:type="dxa"/>
            <w:vAlign w:val="bottom"/>
            <w:tcBorders>
              <w:bottom w:val="single" w:sz="8" w:color="3E3935"/>
              <w:right w:val="single" w:sz="8" w:color="3E3935"/>
            </w:tcBorders>
          </w:tcPr>
          <w:p>
            <w:pPr>
              <w:spacing w:after="0" w:line="20" w:lineRule="exact"/>
              <w:rPr>
                <w:sz w:val="1"/>
                <w:szCs w:val="1"/>
                <w:color w:val="auto"/>
              </w:rPr>
            </w:pPr>
          </w:p>
        </w:tc>
        <w:tc>
          <w:tcPr>
            <w:tcW w:w="5420" w:type="dxa"/>
            <w:vAlign w:val="bottom"/>
            <w:tcBorders>
              <w:bottom w:val="single" w:sz="8" w:color="3E3935"/>
              <w:right w:val="single" w:sz="8" w:color="3E3935"/>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700" w:hanging="533"/>
        <w:spacing w:after="0"/>
        <w:tabs>
          <w:tab w:leader="none" w:pos="700" w:val="left"/>
        </w:tabs>
        <w:numPr>
          <w:ilvl w:val="0"/>
          <w:numId w:val="161"/>
        </w:numPr>
        <w:rPr>
          <w:rFonts w:ascii="Arial" w:cs="Arial" w:eastAsia="Arial" w:hAnsi="Arial"/>
          <w:sz w:val="21"/>
          <w:szCs w:val="21"/>
          <w:color w:val="0071CE"/>
        </w:rPr>
      </w:pPr>
      <w:r>
        <w:rPr>
          <w:rFonts w:ascii="Arial" w:cs="Arial" w:eastAsia="Arial" w:hAnsi="Arial"/>
          <w:sz w:val="25"/>
          <w:szCs w:val="25"/>
          <w:color w:val="3E3935"/>
        </w:rPr>
        <w:t>Annual Meeting Voting Results</w:t>
      </w:r>
    </w:p>
    <w:p>
      <w:pPr>
        <w:spacing w:after="0" w:line="149" w:lineRule="exact"/>
        <w:rPr>
          <w:sz w:val="20"/>
          <w:szCs w:val="20"/>
          <w:color w:val="auto"/>
        </w:rPr>
      </w:pPr>
    </w:p>
    <w:p>
      <w:pPr>
        <w:ind w:left="160" w:right="40"/>
        <w:spacing w:after="0" w:line="234" w:lineRule="auto"/>
        <w:rPr>
          <w:sz w:val="20"/>
          <w:szCs w:val="20"/>
          <w:color w:val="auto"/>
        </w:rPr>
      </w:pPr>
      <w:r>
        <w:rPr>
          <w:rFonts w:ascii="Arial" w:cs="Arial" w:eastAsia="Arial" w:hAnsi="Arial"/>
          <w:sz w:val="20"/>
          <w:szCs w:val="20"/>
          <w:color w:val="3E3935"/>
        </w:rPr>
        <w:t>Our independent inspector of elections, Broadridge Financial Services, Inc., will tabulate the vote at the Annual Meeting. We will provide voting results on our website and in a Current Report on Form 8-K filed with the SEC.</w:t>
      </w:r>
    </w:p>
    <w:p>
      <w:pPr>
        <w:spacing w:after="0" w:line="319" w:lineRule="exact"/>
        <w:rPr>
          <w:sz w:val="20"/>
          <w:szCs w:val="20"/>
          <w:color w:val="auto"/>
        </w:rPr>
      </w:pPr>
    </w:p>
    <w:p>
      <w:pPr>
        <w:ind w:left="700" w:hanging="533"/>
        <w:spacing w:after="0"/>
        <w:tabs>
          <w:tab w:leader="none" w:pos="700" w:val="left"/>
        </w:tabs>
        <w:numPr>
          <w:ilvl w:val="0"/>
          <w:numId w:val="162"/>
        </w:numPr>
        <w:rPr>
          <w:rFonts w:ascii="Arial" w:cs="Arial" w:eastAsia="Arial" w:hAnsi="Arial"/>
          <w:sz w:val="21"/>
          <w:szCs w:val="21"/>
          <w:color w:val="0071CE"/>
        </w:rPr>
      </w:pPr>
      <w:r>
        <w:rPr>
          <w:rFonts w:ascii="Arial" w:cs="Arial" w:eastAsia="Arial" w:hAnsi="Arial"/>
          <w:sz w:val="25"/>
          <w:szCs w:val="25"/>
          <w:color w:val="3E3935"/>
        </w:rPr>
        <w:t>“Shareholder of Record” and “Beneficial Shareholder”</w:t>
      </w:r>
    </w:p>
    <w:p>
      <w:pPr>
        <w:spacing w:after="0" w:line="149" w:lineRule="exact"/>
        <w:rPr>
          <w:sz w:val="20"/>
          <w:szCs w:val="20"/>
          <w:color w:val="auto"/>
        </w:rPr>
      </w:pPr>
    </w:p>
    <w:p>
      <w:pPr>
        <w:jc w:val="both"/>
        <w:ind w:left="160" w:right="20"/>
        <w:spacing w:after="0" w:line="224" w:lineRule="auto"/>
        <w:rPr>
          <w:sz w:val="20"/>
          <w:szCs w:val="20"/>
          <w:color w:val="auto"/>
        </w:rPr>
      </w:pPr>
      <w:r>
        <w:rPr>
          <w:rFonts w:ascii="Arial" w:cs="Arial" w:eastAsia="Arial" w:hAnsi="Arial"/>
          <w:sz w:val="20"/>
          <w:szCs w:val="20"/>
          <w:color w:val="3E3935"/>
        </w:rPr>
        <w:t xml:space="preserve">If your shares are owned directly in your name in an account with GM’s stock transfer agent, Computershare Trust Company, N.A., you are considered the “shareholder of record” of those shares in your account. 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cs="Arial" w:eastAsia="Arial" w:hAnsi="Arial"/>
          <w:sz w:val="20"/>
          <w:szCs w:val="20"/>
          <w:b w:val="1"/>
          <w:bCs w:val="1"/>
          <w:u w:val="single" w:color="auto"/>
          <w:color w:val="3E3935"/>
        </w:rPr>
        <w:t>must</w:t>
      </w:r>
      <w:r>
        <w:rPr>
          <w:rFonts w:ascii="Arial" w:cs="Arial" w:eastAsia="Arial" w:hAnsi="Arial"/>
          <w:sz w:val="20"/>
          <w:szCs w:val="20"/>
          <w:color w:val="3E3935"/>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3 (“Board Proposal to Ratify the Selection of Ernst &amp; Young LLP as the Company’s Independent Registered Public Accounting Firm for 2021”) even if you do not provide voting instructions because it is considered a routine matter. </w:t>
      </w:r>
      <w:r>
        <w:rPr>
          <w:rFonts w:ascii="Arial" w:cs="Arial" w:eastAsia="Arial" w:hAnsi="Arial"/>
          <w:sz w:val="20"/>
          <w:szCs w:val="20"/>
          <w:b w:val="1"/>
          <w:bCs w:val="1"/>
          <w:color w:val="3E3935"/>
        </w:rPr>
        <w:t>Your broker is not permitted to vote on</w:t>
      </w:r>
      <w:r>
        <w:rPr>
          <w:rFonts w:ascii="Arial" w:cs="Arial" w:eastAsia="Arial" w:hAnsi="Arial"/>
          <w:sz w:val="20"/>
          <w:szCs w:val="20"/>
          <w:color w:val="3E3935"/>
        </w:rPr>
        <w:t xml:space="preserve"> </w:t>
      </w:r>
      <w:r>
        <w:rPr>
          <w:rFonts w:ascii="Arial" w:cs="Arial" w:eastAsia="Arial" w:hAnsi="Arial"/>
          <w:sz w:val="20"/>
          <w:szCs w:val="20"/>
          <w:b w:val="1"/>
          <w:bCs w:val="1"/>
          <w:color w:val="3E3935"/>
        </w:rPr>
        <w:t>the other agenda Items if you do not provide voting instructions because those items involve matters that are considered nonroutine.</w:t>
      </w:r>
    </w:p>
    <w:p>
      <w:pPr>
        <w:spacing w:after="0" w:line="330" w:lineRule="exact"/>
        <w:rPr>
          <w:sz w:val="20"/>
          <w:szCs w:val="20"/>
          <w:color w:val="auto"/>
        </w:rPr>
      </w:pPr>
    </w:p>
    <w:p>
      <w:pPr>
        <w:ind w:left="700" w:hanging="533"/>
        <w:spacing w:after="0"/>
        <w:tabs>
          <w:tab w:leader="none" w:pos="700" w:val="left"/>
        </w:tabs>
        <w:numPr>
          <w:ilvl w:val="0"/>
          <w:numId w:val="163"/>
        </w:numPr>
        <w:rPr>
          <w:rFonts w:ascii="Arial" w:cs="Arial" w:eastAsia="Arial" w:hAnsi="Arial"/>
          <w:sz w:val="21"/>
          <w:szCs w:val="21"/>
          <w:color w:val="0071CE"/>
        </w:rPr>
      </w:pPr>
      <w:r>
        <w:rPr>
          <w:rFonts w:ascii="Arial" w:cs="Arial" w:eastAsia="Arial" w:hAnsi="Arial"/>
          <w:sz w:val="25"/>
          <w:szCs w:val="25"/>
          <w:color w:val="3E3935"/>
        </w:rPr>
        <w:t>Householding</w:t>
      </w:r>
    </w:p>
    <w:p>
      <w:pPr>
        <w:spacing w:after="0" w:line="135"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3E3935"/>
        </w:rPr>
        <w:t>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129" w:lineRule="exact"/>
        <w:rPr>
          <w:sz w:val="20"/>
          <w:szCs w:val="20"/>
          <w:color w:val="auto"/>
        </w:rPr>
      </w:pPr>
    </w:p>
    <w:p>
      <w:pPr>
        <w:jc w:val="both"/>
        <w:ind w:left="160" w:right="20"/>
        <w:spacing w:after="0" w:line="241" w:lineRule="auto"/>
        <w:rPr>
          <w:sz w:val="20"/>
          <w:szCs w:val="20"/>
          <w:color w:val="auto"/>
        </w:rPr>
      </w:pPr>
      <w:r>
        <w:rPr>
          <w:rFonts w:ascii="Arial" w:cs="Arial" w:eastAsia="Arial" w:hAnsi="Arial"/>
          <w:sz w:val="19"/>
          <w:szCs w:val="19"/>
          <w:color w:val="3E3935"/>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 Financial Solutions, Inc., by calling toll-free at 866-540-7095 or by writing to Broadridge Financial Solutions, Inc., Householding Department, 51 Mercedes Way, Edgewood, New York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81915</wp:posOffset>
            </wp:positionV>
            <wp:extent cx="5927725" cy="1016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4"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95</w:t>
      </w:r>
    </w:p>
    <w:p>
      <w:pPr>
        <w:sectPr>
          <w:pgSz w:w="11900" w:h="16838" w:orient="portrait"/>
          <w:cols w:equalWidth="0" w:num="1">
            <w:col w:w="11100"/>
          </w:cols>
          <w:pgMar w:left="320" w:top="456"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60" w:right="40"/>
        <w:spacing w:after="0" w:line="230" w:lineRule="auto"/>
        <w:rPr>
          <w:sz w:val="20"/>
          <w:szCs w:val="20"/>
          <w:color w:val="auto"/>
        </w:rPr>
      </w:pPr>
      <w:r>
        <w:rPr>
          <w:rFonts w:ascii="Arial" w:cs="Arial" w:eastAsia="Arial" w:hAnsi="Arial"/>
          <w:sz w:val="20"/>
          <w:szCs w:val="20"/>
          <w:color w:val="3E3935"/>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320" w:lineRule="exact"/>
        <w:rPr>
          <w:sz w:val="20"/>
          <w:szCs w:val="20"/>
          <w:color w:val="auto"/>
        </w:rPr>
      </w:pPr>
    </w:p>
    <w:p>
      <w:pPr>
        <w:ind w:left="700" w:hanging="533"/>
        <w:spacing w:after="0"/>
        <w:tabs>
          <w:tab w:leader="none" w:pos="700" w:val="left"/>
        </w:tabs>
        <w:numPr>
          <w:ilvl w:val="0"/>
          <w:numId w:val="164"/>
        </w:numPr>
        <w:rPr>
          <w:rFonts w:ascii="Arial" w:cs="Arial" w:eastAsia="Arial" w:hAnsi="Arial"/>
          <w:sz w:val="21"/>
          <w:szCs w:val="21"/>
          <w:color w:val="0071CE"/>
        </w:rPr>
      </w:pPr>
      <w:r>
        <w:rPr>
          <w:rFonts w:ascii="Arial" w:cs="Arial" w:eastAsia="Arial" w:hAnsi="Arial"/>
          <w:sz w:val="25"/>
          <w:szCs w:val="25"/>
          <w:color w:val="3E3935"/>
        </w:rPr>
        <w:t>Shareholder Proposals and Director Nominations for the 2022 Annual Meeting</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277"/>
        </w:trPr>
        <w:tc>
          <w:tcPr>
            <w:tcW w:w="2400" w:type="dxa"/>
            <w:vAlign w:val="bottom"/>
            <w:tcBorders>
              <w:top w:val="single" w:sz="8" w:color="00C1DE"/>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Type of Proposal</w:t>
            </w:r>
          </w:p>
        </w:tc>
        <w:tc>
          <w:tcPr>
            <w:tcW w:w="3100" w:type="dxa"/>
            <w:vAlign w:val="bottom"/>
            <w:tcBorders>
              <w:top w:val="single" w:sz="8" w:color="00C1DE"/>
              <w:right w:val="single" w:sz="8" w:color="3E3935"/>
            </w:tcBorders>
          </w:tcPr>
          <w:p>
            <w:pPr>
              <w:ind w:left="60"/>
              <w:spacing w:after="0"/>
              <w:rPr>
                <w:sz w:val="20"/>
                <w:szCs w:val="20"/>
                <w:color w:val="auto"/>
              </w:rPr>
            </w:pPr>
            <w:r>
              <w:rPr>
                <w:rFonts w:ascii="Arial" w:cs="Arial" w:eastAsia="Arial" w:hAnsi="Arial"/>
                <w:sz w:val="20"/>
                <w:szCs w:val="20"/>
                <w:color w:val="3E3935"/>
              </w:rPr>
              <w:t>Rule 14a-8 Proposals by</w:t>
            </w:r>
          </w:p>
        </w:tc>
        <w:tc>
          <w:tcPr>
            <w:tcW w:w="2860" w:type="dxa"/>
            <w:vAlign w:val="bottom"/>
            <w:tcBorders>
              <w:top w:val="single" w:sz="8" w:color="00C1DE"/>
              <w:right w:val="single" w:sz="8" w:color="3E3935"/>
            </w:tcBorders>
          </w:tcPr>
          <w:p>
            <w:pPr>
              <w:ind w:left="60"/>
              <w:spacing w:after="0"/>
              <w:rPr>
                <w:sz w:val="20"/>
                <w:szCs w:val="20"/>
                <w:color w:val="auto"/>
              </w:rPr>
            </w:pPr>
            <w:r>
              <w:rPr>
                <w:rFonts w:ascii="Arial" w:cs="Arial" w:eastAsia="Arial" w:hAnsi="Arial"/>
                <w:sz w:val="20"/>
                <w:szCs w:val="20"/>
                <w:color w:val="3E3935"/>
              </w:rPr>
              <w:t>Director Nominees for</w:t>
            </w:r>
          </w:p>
        </w:tc>
        <w:tc>
          <w:tcPr>
            <w:tcW w:w="2580" w:type="dxa"/>
            <w:vAlign w:val="bottom"/>
            <w:tcBorders>
              <w:top w:val="single" w:sz="8" w:color="00C1DE"/>
              <w:right w:val="single" w:sz="8" w:color="00C1DE"/>
            </w:tcBorders>
          </w:tcPr>
          <w:p>
            <w:pPr>
              <w:ind w:left="60"/>
              <w:spacing w:after="0"/>
              <w:rPr>
                <w:sz w:val="20"/>
                <w:szCs w:val="20"/>
                <w:color w:val="auto"/>
              </w:rPr>
            </w:pPr>
            <w:r>
              <w:rPr>
                <w:rFonts w:ascii="Arial" w:cs="Arial" w:eastAsia="Arial" w:hAnsi="Arial"/>
                <w:sz w:val="20"/>
                <w:szCs w:val="20"/>
                <w:color w:val="3E3935"/>
              </w:rPr>
              <w:t>Other Proposals or</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Shareholders</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Inclusion in Next Year’s</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Nominees for</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for Inclusion in Next</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Proxy Statement</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Representation at Next</w:t>
            </w:r>
          </w:p>
        </w:tc>
      </w:tr>
      <w:tr>
        <w:trPr>
          <w:trHeight w:val="235"/>
        </w:trPr>
        <w:tc>
          <w:tcPr>
            <w:tcW w:w="2400" w:type="dxa"/>
            <w:vAlign w:val="bottom"/>
            <w:tcBorders>
              <w:left w:val="single" w:sz="8" w:color="00C1DE"/>
              <w:right w:val="single" w:sz="8" w:color="3E3935"/>
            </w:tcBorders>
          </w:tcPr>
          <w:p>
            <w:pPr>
              <w:spacing w:after="0"/>
              <w:rPr>
                <w:sz w:val="20"/>
                <w:szCs w:val="20"/>
                <w:color w:val="auto"/>
              </w:rPr>
            </w:pPr>
          </w:p>
        </w:tc>
        <w:tc>
          <w:tcPr>
            <w:tcW w:w="310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Year’s Proxy Statement</w:t>
            </w:r>
          </w:p>
        </w:tc>
        <w:tc>
          <w:tcPr>
            <w:tcW w:w="28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(Proxy Access)</w:t>
            </w:r>
          </w:p>
        </w:tc>
        <w:tc>
          <w:tcPr>
            <w:tcW w:w="2580" w:type="dxa"/>
            <w:vAlign w:val="bottom"/>
            <w:tcBorders>
              <w:right w:val="single" w:sz="8" w:color="00C1DE"/>
            </w:tcBorders>
          </w:tcPr>
          <w:p>
            <w:pPr>
              <w:ind w:left="60"/>
              <w:spacing w:after="0"/>
              <w:rPr>
                <w:sz w:val="20"/>
                <w:szCs w:val="20"/>
                <w:color w:val="auto"/>
              </w:rPr>
            </w:pPr>
            <w:r>
              <w:rPr>
                <w:rFonts w:ascii="Arial" w:cs="Arial" w:eastAsia="Arial" w:hAnsi="Arial"/>
                <w:sz w:val="20"/>
                <w:szCs w:val="20"/>
                <w:color w:val="3E3935"/>
              </w:rPr>
              <w:t>Year’s Annual Meeting</w:t>
            </w:r>
          </w:p>
        </w:tc>
      </w:tr>
      <w:tr>
        <w:trPr>
          <w:trHeight w:val="49"/>
        </w:trPr>
        <w:tc>
          <w:tcPr>
            <w:tcW w:w="2400" w:type="dxa"/>
            <w:vAlign w:val="bottom"/>
            <w:tcBorders>
              <w:left w:val="single" w:sz="8" w:color="00C1DE"/>
              <w:bottom w:val="single" w:sz="8" w:color="00C1DE"/>
              <w:right w:val="single" w:sz="8" w:color="3E3935"/>
            </w:tcBorders>
          </w:tcPr>
          <w:p>
            <w:pPr>
              <w:spacing w:after="0"/>
              <w:rPr>
                <w:sz w:val="4"/>
                <w:szCs w:val="4"/>
                <w:color w:val="auto"/>
              </w:rPr>
            </w:pPr>
          </w:p>
        </w:tc>
        <w:tc>
          <w:tcPr>
            <w:tcW w:w="3100" w:type="dxa"/>
            <w:vAlign w:val="bottom"/>
            <w:tcBorders>
              <w:bottom w:val="single" w:sz="8" w:color="00C1DE"/>
              <w:right w:val="single" w:sz="8" w:color="3E3935"/>
            </w:tcBorders>
          </w:tcPr>
          <w:p>
            <w:pPr>
              <w:spacing w:after="0"/>
              <w:rPr>
                <w:sz w:val="4"/>
                <w:szCs w:val="4"/>
                <w:color w:val="auto"/>
              </w:rPr>
            </w:pPr>
          </w:p>
        </w:tc>
        <w:tc>
          <w:tcPr>
            <w:tcW w:w="2860" w:type="dxa"/>
            <w:vAlign w:val="bottom"/>
            <w:tcBorders>
              <w:bottom w:val="single" w:sz="8" w:color="00C1DE"/>
              <w:right w:val="single" w:sz="8" w:color="3E3935"/>
            </w:tcBorders>
          </w:tcPr>
          <w:p>
            <w:pPr>
              <w:spacing w:after="0"/>
              <w:rPr>
                <w:sz w:val="4"/>
                <w:szCs w:val="4"/>
                <w:color w:val="auto"/>
              </w:rPr>
            </w:pPr>
          </w:p>
        </w:tc>
        <w:tc>
          <w:tcPr>
            <w:tcW w:w="2580" w:type="dxa"/>
            <w:vAlign w:val="bottom"/>
            <w:tcBorders>
              <w:bottom w:val="single" w:sz="8" w:color="00C1DE"/>
              <w:right w:val="single" w:sz="8" w:color="00C1DE"/>
            </w:tcBorders>
          </w:tcPr>
          <w:p>
            <w:pPr>
              <w:spacing w:after="0"/>
              <w:rPr>
                <w:sz w:val="4"/>
                <w:szCs w:val="4"/>
                <w:color w:val="auto"/>
              </w:rPr>
            </w:pPr>
          </w:p>
        </w:tc>
      </w:tr>
      <w:tr>
        <w:trPr>
          <w:trHeight w:val="257"/>
        </w:trPr>
        <w:tc>
          <w:tcPr>
            <w:tcW w:w="240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Rules/Provisions</w:t>
            </w:r>
          </w:p>
        </w:tc>
        <w:tc>
          <w:tcPr>
            <w:tcW w:w="310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SEC rules and our Bylaws</w:t>
            </w:r>
          </w:p>
        </w:tc>
        <w:tc>
          <w:tcPr>
            <w:tcW w:w="286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Our Bylaws permit a</w:t>
            </w:r>
          </w:p>
        </w:tc>
        <w:tc>
          <w:tcPr>
            <w:tcW w:w="2580" w:type="dxa"/>
            <w:vAlign w:val="bottom"/>
            <w:tcBorders>
              <w:right w:val="single" w:sz="8" w:color="00C1DE"/>
            </w:tcBorders>
          </w:tcPr>
          <w:p>
            <w:pPr>
              <w:ind w:left="60"/>
              <w:spacing w:after="0"/>
              <w:rPr>
                <w:sz w:val="20"/>
                <w:szCs w:val="20"/>
                <w:color w:val="auto"/>
              </w:rPr>
            </w:pPr>
            <w:r>
              <w:rPr>
                <w:rFonts w:ascii="Arial" w:cs="Arial" w:eastAsia="Arial" w:hAnsi="Arial"/>
                <w:sz w:val="20"/>
                <w:szCs w:val="20"/>
                <w:color w:val="3E3935"/>
              </w:rPr>
              <w:t>Our Bylaws require that any</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permit shareholders to submit</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 or group of</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shareholder proposal,</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proposals for inclusion in our</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shareholders (up to 20) who</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including a director</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Proxy Statement if the</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have owned a significant</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nomination, that is not</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 and the proposal</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amount of common stock (at</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submitted for inclusion in</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meet the requirements specified</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least 3%) for a significant</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w w:val="99"/>
              </w:rPr>
              <w:t>next year’s Proxy Statement</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in SEC Rule 14a-8.</w:t>
            </w: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amount of time (at least three</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(either under SEC Rule</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years) to submit director</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14a-8 or our proxy access</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nominees (up to 20% of the</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bylaw), but is instead</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Board or two directors,</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sought to be presented</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whichever is greater) for</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directly at next year’s</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inclusion in our Proxy</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annual meeting must be</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Statement if the</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received at our principal</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shareholder(s) and the</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executive offices no earlier</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nominee(s) satisfy the</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than 180 days and no later</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requirements specified in our</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than 120 days before the</w:t>
            </w:r>
          </w:p>
        </w:tc>
      </w:tr>
      <w:tr>
        <w:trPr>
          <w:trHeight w:val="214"/>
        </w:trPr>
        <w:tc>
          <w:tcPr>
            <w:tcW w:w="2400" w:type="dxa"/>
            <w:vAlign w:val="bottom"/>
            <w:tcBorders>
              <w:left w:val="single" w:sz="8" w:color="00C1DE"/>
              <w:right w:val="single" w:sz="8" w:color="3E3935"/>
            </w:tcBorders>
          </w:tcPr>
          <w:p>
            <w:pPr>
              <w:spacing w:after="0"/>
              <w:rPr>
                <w:sz w:val="18"/>
                <w:szCs w:val="18"/>
                <w:color w:val="auto"/>
              </w:rPr>
            </w:pPr>
          </w:p>
        </w:tc>
        <w:tc>
          <w:tcPr>
            <w:tcW w:w="3100" w:type="dxa"/>
            <w:vAlign w:val="bottom"/>
            <w:tcBorders>
              <w:right w:val="single" w:sz="8" w:color="3E3935"/>
            </w:tcBorders>
          </w:tcPr>
          <w:p>
            <w:pPr>
              <w:spacing w:after="0"/>
              <w:rPr>
                <w:sz w:val="18"/>
                <w:szCs w:val="18"/>
                <w:color w:val="auto"/>
              </w:rPr>
            </w:pPr>
          </w:p>
        </w:tc>
        <w:tc>
          <w:tcPr>
            <w:tcW w:w="286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Bylaws.</w:t>
            </w:r>
          </w:p>
        </w:tc>
        <w:tc>
          <w:tcPr>
            <w:tcW w:w="2580" w:type="dxa"/>
            <w:vAlign w:val="bottom"/>
            <w:tcBorders>
              <w:right w:val="single" w:sz="8" w:color="00C1DE"/>
            </w:tcBorders>
          </w:tcPr>
          <w:p>
            <w:pPr>
              <w:ind w:left="60"/>
              <w:spacing w:after="0" w:line="214" w:lineRule="exact"/>
              <w:rPr>
                <w:sz w:val="20"/>
                <w:szCs w:val="20"/>
                <w:color w:val="auto"/>
              </w:rPr>
            </w:pPr>
            <w:r>
              <w:rPr>
                <w:rFonts w:ascii="Arial" w:cs="Arial" w:eastAsia="Arial" w:hAnsi="Arial"/>
                <w:sz w:val="20"/>
                <w:szCs w:val="20"/>
                <w:color w:val="3E3935"/>
              </w:rPr>
              <w:t>first anniversary of this</w:t>
            </w:r>
          </w:p>
        </w:tc>
      </w:tr>
      <w:tr>
        <w:trPr>
          <w:trHeight w:val="235"/>
        </w:trPr>
        <w:tc>
          <w:tcPr>
            <w:tcW w:w="2400" w:type="dxa"/>
            <w:vAlign w:val="bottom"/>
            <w:tcBorders>
              <w:left w:val="single" w:sz="8" w:color="00C1DE"/>
              <w:right w:val="single" w:sz="8" w:color="3E3935"/>
            </w:tcBorders>
          </w:tcPr>
          <w:p>
            <w:pPr>
              <w:spacing w:after="0"/>
              <w:rPr>
                <w:sz w:val="20"/>
                <w:szCs w:val="20"/>
                <w:color w:val="auto"/>
              </w:rPr>
            </w:pPr>
          </w:p>
        </w:tc>
        <w:tc>
          <w:tcPr>
            <w:tcW w:w="3100" w:type="dxa"/>
            <w:vAlign w:val="bottom"/>
            <w:tcBorders>
              <w:right w:val="single" w:sz="8" w:color="3E3935"/>
            </w:tcBorders>
          </w:tcPr>
          <w:p>
            <w:pPr>
              <w:spacing w:after="0"/>
              <w:rPr>
                <w:sz w:val="20"/>
                <w:szCs w:val="20"/>
                <w:color w:val="auto"/>
              </w:rPr>
            </w:pPr>
          </w:p>
        </w:tc>
        <w:tc>
          <w:tcPr>
            <w:tcW w:w="2860" w:type="dxa"/>
            <w:vAlign w:val="bottom"/>
            <w:tcBorders>
              <w:right w:val="single" w:sz="8" w:color="3E3935"/>
            </w:tcBorders>
          </w:tcPr>
          <w:p>
            <w:pPr>
              <w:spacing w:after="0"/>
              <w:rPr>
                <w:sz w:val="20"/>
                <w:szCs w:val="20"/>
                <w:color w:val="auto"/>
              </w:rPr>
            </w:pPr>
          </w:p>
        </w:tc>
        <w:tc>
          <w:tcPr>
            <w:tcW w:w="2580" w:type="dxa"/>
            <w:vAlign w:val="bottom"/>
            <w:tcBorders>
              <w:right w:val="single" w:sz="8" w:color="00C1DE"/>
            </w:tcBorders>
          </w:tcPr>
          <w:p>
            <w:pPr>
              <w:ind w:left="60"/>
              <w:spacing w:after="0"/>
              <w:rPr>
                <w:sz w:val="20"/>
                <w:szCs w:val="20"/>
                <w:color w:val="auto"/>
              </w:rPr>
            </w:pPr>
            <w:r>
              <w:rPr>
                <w:rFonts w:ascii="Arial" w:cs="Arial" w:eastAsia="Arial" w:hAnsi="Arial"/>
                <w:sz w:val="20"/>
                <w:szCs w:val="20"/>
                <w:color w:val="3E3935"/>
              </w:rPr>
              <w:t>year’s Annual Meeting.</w:t>
            </w:r>
          </w:p>
        </w:tc>
      </w:tr>
      <w:tr>
        <w:trPr>
          <w:trHeight w:val="36"/>
        </w:trPr>
        <w:tc>
          <w:tcPr>
            <w:tcW w:w="2400" w:type="dxa"/>
            <w:vAlign w:val="bottom"/>
            <w:tcBorders>
              <w:left w:val="single" w:sz="8" w:color="00C1DE"/>
              <w:bottom w:val="single" w:sz="8" w:color="3E3935"/>
              <w:right w:val="single" w:sz="8" w:color="3E3935"/>
            </w:tcBorders>
          </w:tcPr>
          <w:p>
            <w:pPr>
              <w:spacing w:after="0"/>
              <w:rPr>
                <w:sz w:val="3"/>
                <w:szCs w:val="3"/>
                <w:color w:val="auto"/>
              </w:rPr>
            </w:pPr>
          </w:p>
        </w:tc>
        <w:tc>
          <w:tcPr>
            <w:tcW w:w="3100" w:type="dxa"/>
            <w:vAlign w:val="bottom"/>
            <w:tcBorders>
              <w:bottom w:val="single" w:sz="8" w:color="3E3935"/>
              <w:right w:val="single" w:sz="8" w:color="3E3935"/>
            </w:tcBorders>
          </w:tcPr>
          <w:p>
            <w:pPr>
              <w:spacing w:after="0"/>
              <w:rPr>
                <w:sz w:val="3"/>
                <w:szCs w:val="3"/>
                <w:color w:val="auto"/>
              </w:rPr>
            </w:pPr>
          </w:p>
        </w:tc>
        <w:tc>
          <w:tcPr>
            <w:tcW w:w="2860" w:type="dxa"/>
            <w:vAlign w:val="bottom"/>
            <w:tcBorders>
              <w:bottom w:val="single" w:sz="8" w:color="3E3935"/>
              <w:right w:val="single" w:sz="8" w:color="3E3935"/>
            </w:tcBorders>
          </w:tcPr>
          <w:p>
            <w:pPr>
              <w:spacing w:after="0"/>
              <w:rPr>
                <w:sz w:val="3"/>
                <w:szCs w:val="3"/>
                <w:color w:val="auto"/>
              </w:rPr>
            </w:pPr>
          </w:p>
        </w:tc>
        <w:tc>
          <w:tcPr>
            <w:tcW w:w="2580" w:type="dxa"/>
            <w:vAlign w:val="bottom"/>
            <w:tcBorders>
              <w:bottom w:val="single" w:sz="8" w:color="3E3935"/>
              <w:right w:val="single" w:sz="8" w:color="00C1DE"/>
            </w:tcBorders>
          </w:tcPr>
          <w:p>
            <w:pPr>
              <w:spacing w:after="0"/>
              <w:rPr>
                <w:sz w:val="3"/>
                <w:szCs w:val="3"/>
                <w:color w:val="auto"/>
              </w:rPr>
            </w:pPr>
          </w:p>
        </w:tc>
      </w:tr>
      <w:tr>
        <w:trPr>
          <w:trHeight w:val="233"/>
        </w:trPr>
        <w:tc>
          <w:tcPr>
            <w:tcW w:w="240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Deadline for</w:t>
            </w:r>
          </w:p>
        </w:tc>
        <w:tc>
          <w:tcPr>
            <w:tcW w:w="310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Proposals must be received at</w:t>
            </w:r>
          </w:p>
        </w:tc>
        <w:tc>
          <w:tcPr>
            <w:tcW w:w="5440" w:type="dxa"/>
            <w:vAlign w:val="bottom"/>
            <w:tcBorders>
              <w:right w:val="single" w:sz="8" w:color="00C1DE"/>
            </w:tcBorders>
            <w:gridSpan w:val="2"/>
          </w:tcPr>
          <w:p>
            <w:pPr>
              <w:ind w:left="60"/>
              <w:spacing w:after="0"/>
              <w:rPr>
                <w:sz w:val="20"/>
                <w:szCs w:val="20"/>
                <w:color w:val="auto"/>
              </w:rPr>
            </w:pPr>
            <w:r>
              <w:rPr>
                <w:rFonts w:ascii="Arial" w:cs="Arial" w:eastAsia="Arial" w:hAnsi="Arial"/>
                <w:sz w:val="20"/>
                <w:szCs w:val="20"/>
                <w:color w:val="3E3935"/>
                <w:w w:val="99"/>
              </w:rPr>
              <w:t>Proposals must be received at our principal executive offices</w:t>
            </w:r>
          </w:p>
        </w:tc>
      </w:tr>
      <w:tr>
        <w:trPr>
          <w:trHeight w:val="214"/>
        </w:trPr>
        <w:tc>
          <w:tcPr>
            <w:tcW w:w="2400" w:type="dxa"/>
            <w:vAlign w:val="bottom"/>
            <w:tcBorders>
              <w:left w:val="single" w:sz="8" w:color="00C1DE"/>
              <w:right w:val="single" w:sz="8" w:color="3E3935"/>
            </w:tcBorders>
          </w:tcPr>
          <w:p>
            <w:pPr>
              <w:ind w:left="240"/>
              <w:spacing w:after="0" w:line="214" w:lineRule="exact"/>
              <w:rPr>
                <w:sz w:val="20"/>
                <w:szCs w:val="20"/>
                <w:color w:val="auto"/>
              </w:rPr>
            </w:pPr>
            <w:r>
              <w:rPr>
                <w:rFonts w:ascii="Arial" w:cs="Arial" w:eastAsia="Arial" w:hAnsi="Arial"/>
                <w:sz w:val="20"/>
                <w:szCs w:val="20"/>
                <w:b w:val="1"/>
                <w:bCs w:val="1"/>
                <w:color w:val="00C1DE"/>
              </w:rPr>
              <w:t>Submitting These</w:t>
            </w: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our principal executive offices</w:t>
            </w:r>
          </w:p>
        </w:tc>
        <w:tc>
          <w:tcPr>
            <w:tcW w:w="5440" w:type="dxa"/>
            <w:vAlign w:val="bottom"/>
            <w:tcBorders>
              <w:right w:val="single" w:sz="8" w:color="00C1DE"/>
            </w:tcBorders>
            <w:gridSpan w:val="2"/>
          </w:tcPr>
          <w:p>
            <w:pPr>
              <w:ind w:left="60"/>
              <w:spacing w:after="0" w:line="214" w:lineRule="exact"/>
              <w:rPr>
                <w:sz w:val="20"/>
                <w:szCs w:val="20"/>
                <w:color w:val="auto"/>
              </w:rPr>
            </w:pPr>
            <w:r>
              <w:rPr>
                <w:rFonts w:ascii="Arial" w:cs="Arial" w:eastAsia="Arial" w:hAnsi="Arial"/>
                <w:sz w:val="20"/>
                <w:szCs w:val="20"/>
                <w:color w:val="3E3935"/>
              </w:rPr>
              <w:t xml:space="preserve">no earlier than </w:t>
            </w:r>
            <w:r>
              <w:rPr>
                <w:rFonts w:ascii="Arial" w:cs="Arial" w:eastAsia="Arial" w:hAnsi="Arial"/>
                <w:sz w:val="20"/>
                <w:szCs w:val="20"/>
                <w:b w:val="1"/>
                <w:bCs w:val="1"/>
                <w:color w:val="3E3935"/>
              </w:rPr>
              <w:t>December 16, 2021</w:t>
            </w:r>
            <w:r>
              <w:rPr>
                <w:rFonts w:ascii="Arial" w:cs="Arial" w:eastAsia="Arial" w:hAnsi="Arial"/>
                <w:sz w:val="20"/>
                <w:szCs w:val="20"/>
                <w:color w:val="3E3935"/>
              </w:rPr>
              <w:t>, and no later than 11:59</w:t>
            </w:r>
          </w:p>
        </w:tc>
      </w:tr>
      <w:tr>
        <w:trPr>
          <w:trHeight w:val="214"/>
        </w:trPr>
        <w:tc>
          <w:tcPr>
            <w:tcW w:w="2400" w:type="dxa"/>
            <w:vAlign w:val="bottom"/>
            <w:tcBorders>
              <w:left w:val="single" w:sz="8" w:color="00C1DE"/>
              <w:right w:val="single" w:sz="8" w:color="3E3935"/>
            </w:tcBorders>
          </w:tcPr>
          <w:p>
            <w:pPr>
              <w:ind w:left="240"/>
              <w:spacing w:after="0" w:line="214" w:lineRule="exact"/>
              <w:rPr>
                <w:sz w:val="20"/>
                <w:szCs w:val="20"/>
                <w:color w:val="auto"/>
              </w:rPr>
            </w:pPr>
            <w:r>
              <w:rPr>
                <w:rFonts w:ascii="Arial" w:cs="Arial" w:eastAsia="Arial" w:hAnsi="Arial"/>
                <w:sz w:val="20"/>
                <w:szCs w:val="20"/>
                <w:b w:val="1"/>
                <w:bCs w:val="1"/>
                <w:color w:val="00C1DE"/>
              </w:rPr>
              <w:t>Proposals</w:t>
            </w:r>
          </w:p>
        </w:tc>
        <w:tc>
          <w:tcPr>
            <w:tcW w:w="310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no later than 11:59 p.m. Eastern</w:t>
            </w:r>
          </w:p>
        </w:tc>
        <w:tc>
          <w:tcPr>
            <w:tcW w:w="5440" w:type="dxa"/>
            <w:vAlign w:val="bottom"/>
            <w:tcBorders>
              <w:right w:val="single" w:sz="8" w:color="00C1DE"/>
            </w:tcBorders>
            <w:gridSpan w:val="2"/>
          </w:tcPr>
          <w:p>
            <w:pPr>
              <w:ind w:left="60"/>
              <w:spacing w:after="0" w:line="214" w:lineRule="exact"/>
              <w:rPr>
                <w:sz w:val="20"/>
                <w:szCs w:val="20"/>
                <w:color w:val="auto"/>
              </w:rPr>
            </w:pPr>
            <w:r>
              <w:rPr>
                <w:rFonts w:ascii="Arial" w:cs="Arial" w:eastAsia="Arial" w:hAnsi="Arial"/>
                <w:sz w:val="20"/>
                <w:szCs w:val="20"/>
                <w:color w:val="3E3935"/>
              </w:rPr>
              <w:t xml:space="preserve">p.m. Eastern Time on </w:t>
            </w:r>
            <w:r>
              <w:rPr>
                <w:rFonts w:ascii="Arial" w:cs="Arial" w:eastAsia="Arial" w:hAnsi="Arial"/>
                <w:sz w:val="20"/>
                <w:szCs w:val="20"/>
                <w:b w:val="1"/>
                <w:bCs w:val="1"/>
                <w:color w:val="3E3935"/>
              </w:rPr>
              <w:t>February 14, 2022.</w:t>
            </w:r>
          </w:p>
        </w:tc>
      </w:tr>
      <w:tr>
        <w:trPr>
          <w:trHeight w:val="259"/>
        </w:trPr>
        <w:tc>
          <w:tcPr>
            <w:tcW w:w="2400" w:type="dxa"/>
            <w:vAlign w:val="bottom"/>
            <w:tcBorders>
              <w:left w:val="single" w:sz="8" w:color="00C1DE"/>
              <w:right w:val="single" w:sz="8" w:color="3E3935"/>
            </w:tcBorders>
          </w:tcPr>
          <w:p>
            <w:pPr>
              <w:spacing w:after="0"/>
              <w:rPr>
                <w:sz w:val="22"/>
                <w:szCs w:val="22"/>
                <w:color w:val="auto"/>
              </w:rPr>
            </w:pPr>
          </w:p>
        </w:tc>
        <w:tc>
          <w:tcPr>
            <w:tcW w:w="310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 xml:space="preserve">Time on </w:t>
            </w:r>
            <w:r>
              <w:rPr>
                <w:rFonts w:ascii="Arial" w:cs="Arial" w:eastAsia="Arial" w:hAnsi="Arial"/>
                <w:sz w:val="20"/>
                <w:szCs w:val="20"/>
                <w:b w:val="1"/>
                <w:bCs w:val="1"/>
                <w:color w:val="3E3935"/>
              </w:rPr>
              <w:t>December 31, 2021</w:t>
            </w:r>
            <w:r>
              <w:rPr>
                <w:rFonts w:ascii="Arial" w:cs="Arial" w:eastAsia="Arial" w:hAnsi="Arial"/>
                <w:sz w:val="20"/>
                <w:szCs w:val="20"/>
                <w:color w:val="3E3935"/>
              </w:rPr>
              <w:t>.</w:t>
            </w:r>
          </w:p>
        </w:tc>
        <w:tc>
          <w:tcPr>
            <w:tcW w:w="2860" w:type="dxa"/>
            <w:vAlign w:val="bottom"/>
          </w:tcPr>
          <w:p>
            <w:pPr>
              <w:spacing w:after="0"/>
              <w:rPr>
                <w:sz w:val="22"/>
                <w:szCs w:val="22"/>
                <w:color w:val="auto"/>
              </w:rPr>
            </w:pPr>
          </w:p>
        </w:tc>
        <w:tc>
          <w:tcPr>
            <w:tcW w:w="2580" w:type="dxa"/>
            <w:vAlign w:val="bottom"/>
            <w:tcBorders>
              <w:right w:val="single" w:sz="8" w:color="00C1DE"/>
            </w:tcBorders>
          </w:tcPr>
          <w:p>
            <w:pPr>
              <w:spacing w:after="0"/>
              <w:rPr>
                <w:sz w:val="22"/>
                <w:szCs w:val="22"/>
                <w:color w:val="auto"/>
              </w:rPr>
            </w:pPr>
          </w:p>
        </w:tc>
      </w:tr>
      <w:tr>
        <w:trPr>
          <w:trHeight w:val="36"/>
        </w:trPr>
        <w:tc>
          <w:tcPr>
            <w:tcW w:w="2400" w:type="dxa"/>
            <w:vAlign w:val="bottom"/>
            <w:tcBorders>
              <w:left w:val="single" w:sz="8" w:color="00C1DE"/>
              <w:bottom w:val="single" w:sz="8" w:color="3E3935"/>
              <w:right w:val="single" w:sz="8" w:color="3E3935"/>
            </w:tcBorders>
          </w:tcPr>
          <w:p>
            <w:pPr>
              <w:spacing w:after="0"/>
              <w:rPr>
                <w:sz w:val="3"/>
                <w:szCs w:val="3"/>
                <w:color w:val="auto"/>
              </w:rPr>
            </w:pPr>
          </w:p>
        </w:tc>
        <w:tc>
          <w:tcPr>
            <w:tcW w:w="3100" w:type="dxa"/>
            <w:vAlign w:val="bottom"/>
            <w:tcBorders>
              <w:bottom w:val="single" w:sz="8" w:color="3E3935"/>
              <w:right w:val="single" w:sz="8" w:color="3E3935"/>
            </w:tcBorders>
          </w:tcPr>
          <w:p>
            <w:pPr>
              <w:spacing w:after="0"/>
              <w:rPr>
                <w:sz w:val="3"/>
                <w:szCs w:val="3"/>
                <w:color w:val="auto"/>
              </w:rPr>
            </w:pPr>
          </w:p>
        </w:tc>
        <w:tc>
          <w:tcPr>
            <w:tcW w:w="2860" w:type="dxa"/>
            <w:vAlign w:val="bottom"/>
            <w:tcBorders>
              <w:bottom w:val="single" w:sz="8" w:color="3E3935"/>
            </w:tcBorders>
          </w:tcPr>
          <w:p>
            <w:pPr>
              <w:spacing w:after="0"/>
              <w:rPr>
                <w:sz w:val="3"/>
                <w:szCs w:val="3"/>
                <w:color w:val="auto"/>
              </w:rPr>
            </w:pPr>
          </w:p>
        </w:tc>
        <w:tc>
          <w:tcPr>
            <w:tcW w:w="2580" w:type="dxa"/>
            <w:vAlign w:val="bottom"/>
            <w:tcBorders>
              <w:bottom w:val="single" w:sz="8" w:color="3E3935"/>
              <w:right w:val="single" w:sz="8" w:color="00C1DE"/>
            </w:tcBorders>
          </w:tcPr>
          <w:p>
            <w:pPr>
              <w:spacing w:after="0"/>
              <w:rPr>
                <w:sz w:val="3"/>
                <w:szCs w:val="3"/>
                <w:color w:val="auto"/>
              </w:rPr>
            </w:pPr>
          </w:p>
        </w:tc>
      </w:tr>
      <w:tr>
        <w:trPr>
          <w:trHeight w:val="233"/>
        </w:trPr>
        <w:tc>
          <w:tcPr>
            <w:tcW w:w="240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Where to Send These</w:t>
            </w:r>
          </w:p>
        </w:tc>
        <w:tc>
          <w:tcPr>
            <w:tcW w:w="8540" w:type="dxa"/>
            <w:vAlign w:val="bottom"/>
            <w:tcBorders>
              <w:right w:val="single" w:sz="8" w:color="00C1DE"/>
            </w:tcBorders>
            <w:gridSpan w:val="3"/>
          </w:tcPr>
          <w:p>
            <w:pPr>
              <w:ind w:left="60"/>
              <w:spacing w:after="0"/>
              <w:rPr>
                <w:sz w:val="20"/>
                <w:szCs w:val="20"/>
                <w:color w:val="auto"/>
              </w:rPr>
            </w:pPr>
            <w:r>
              <w:rPr>
                <w:rFonts w:ascii="Arial" w:cs="Arial" w:eastAsia="Arial" w:hAnsi="Arial"/>
                <w:sz w:val="20"/>
                <w:szCs w:val="20"/>
                <w:color w:val="3E3935"/>
                <w:w w:val="99"/>
              </w:rPr>
              <w:t>Mail proposals to our Corporate Secretary at Mail Code 482-C25-A36, 300 Renaissance Center,</w:t>
            </w:r>
          </w:p>
        </w:tc>
      </w:tr>
      <w:tr>
        <w:trPr>
          <w:trHeight w:val="259"/>
        </w:trPr>
        <w:tc>
          <w:tcPr>
            <w:tcW w:w="240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Proposals</w:t>
            </w:r>
          </w:p>
        </w:tc>
        <w:tc>
          <w:tcPr>
            <w:tcW w:w="8540" w:type="dxa"/>
            <w:vAlign w:val="bottom"/>
            <w:tcBorders>
              <w:right w:val="single" w:sz="8" w:color="00C1DE"/>
            </w:tcBorders>
            <w:gridSpan w:val="3"/>
          </w:tcPr>
          <w:p>
            <w:pPr>
              <w:ind w:left="60"/>
              <w:spacing w:after="0"/>
              <w:rPr>
                <w:sz w:val="20"/>
                <w:szCs w:val="20"/>
                <w:color w:val="auto"/>
              </w:rPr>
            </w:pPr>
            <w:r>
              <w:rPr>
                <w:rFonts w:ascii="Arial" w:cs="Arial" w:eastAsia="Arial" w:hAnsi="Arial"/>
                <w:sz w:val="20"/>
                <w:szCs w:val="20"/>
                <w:color w:val="3E3935"/>
              </w:rPr>
              <w:t xml:space="preserve">Detroit, Michigan 48265 or send proposals by e-mail to </w:t>
            </w:r>
            <w:r>
              <w:rPr>
                <w:rFonts w:ascii="Arial" w:cs="Arial" w:eastAsia="Arial" w:hAnsi="Arial"/>
                <w:sz w:val="15"/>
                <w:szCs w:val="15"/>
                <w:i w:val="1"/>
                <w:iCs w:val="1"/>
                <w:color w:val="00C1DE"/>
              </w:rPr>
              <w:t>shareholder.relations@gm.com</w:t>
            </w:r>
            <w:r>
              <w:rPr>
                <w:rFonts w:ascii="Arial" w:cs="Arial" w:eastAsia="Arial" w:hAnsi="Arial"/>
                <w:sz w:val="15"/>
                <w:szCs w:val="15"/>
                <w:i w:val="1"/>
                <w:iCs w:val="1"/>
                <w:color w:val="3E3935"/>
              </w:rPr>
              <w:t>.</w:t>
            </w:r>
          </w:p>
        </w:tc>
      </w:tr>
      <w:tr>
        <w:trPr>
          <w:trHeight w:val="36"/>
        </w:trPr>
        <w:tc>
          <w:tcPr>
            <w:tcW w:w="2400" w:type="dxa"/>
            <w:vAlign w:val="bottom"/>
            <w:tcBorders>
              <w:left w:val="single" w:sz="8" w:color="00C1DE"/>
              <w:bottom w:val="single" w:sz="8" w:color="3E3935"/>
              <w:right w:val="single" w:sz="8" w:color="3E3935"/>
            </w:tcBorders>
          </w:tcPr>
          <w:p>
            <w:pPr>
              <w:spacing w:after="0"/>
              <w:rPr>
                <w:sz w:val="3"/>
                <w:szCs w:val="3"/>
                <w:color w:val="auto"/>
              </w:rPr>
            </w:pPr>
          </w:p>
        </w:tc>
        <w:tc>
          <w:tcPr>
            <w:tcW w:w="3100" w:type="dxa"/>
            <w:vAlign w:val="bottom"/>
            <w:tcBorders>
              <w:bottom w:val="single" w:sz="8" w:color="3E3935"/>
            </w:tcBorders>
          </w:tcPr>
          <w:p>
            <w:pPr>
              <w:spacing w:after="0"/>
              <w:rPr>
                <w:sz w:val="3"/>
                <w:szCs w:val="3"/>
                <w:color w:val="auto"/>
              </w:rPr>
            </w:pPr>
          </w:p>
        </w:tc>
        <w:tc>
          <w:tcPr>
            <w:tcW w:w="2860" w:type="dxa"/>
            <w:vAlign w:val="bottom"/>
            <w:tcBorders>
              <w:bottom w:val="single" w:sz="8" w:color="3E3935"/>
            </w:tcBorders>
          </w:tcPr>
          <w:p>
            <w:pPr>
              <w:spacing w:after="0"/>
              <w:rPr>
                <w:sz w:val="3"/>
                <w:szCs w:val="3"/>
                <w:color w:val="auto"/>
              </w:rPr>
            </w:pPr>
          </w:p>
        </w:tc>
        <w:tc>
          <w:tcPr>
            <w:tcW w:w="2580" w:type="dxa"/>
            <w:vAlign w:val="bottom"/>
            <w:tcBorders>
              <w:bottom w:val="single" w:sz="8" w:color="3E3935"/>
              <w:right w:val="single" w:sz="8" w:color="00C1DE"/>
            </w:tcBorders>
          </w:tcPr>
          <w:p>
            <w:pPr>
              <w:spacing w:after="0"/>
              <w:rPr>
                <w:sz w:val="3"/>
                <w:szCs w:val="3"/>
                <w:color w:val="auto"/>
              </w:rPr>
            </w:pPr>
          </w:p>
        </w:tc>
      </w:tr>
      <w:tr>
        <w:trPr>
          <w:trHeight w:val="257"/>
        </w:trPr>
        <w:tc>
          <w:tcPr>
            <w:tcW w:w="2400" w:type="dxa"/>
            <w:vAlign w:val="bottom"/>
            <w:tcBorders>
              <w:left w:val="single" w:sz="8" w:color="00C1DE"/>
              <w:right w:val="single" w:sz="8" w:color="3E3935"/>
            </w:tcBorders>
          </w:tcPr>
          <w:p>
            <w:pPr>
              <w:ind w:left="240"/>
              <w:spacing w:after="0"/>
              <w:rPr>
                <w:sz w:val="20"/>
                <w:szCs w:val="20"/>
                <w:color w:val="auto"/>
              </w:rPr>
            </w:pPr>
            <w:r>
              <w:rPr>
                <w:rFonts w:ascii="Arial" w:cs="Arial" w:eastAsia="Arial" w:hAnsi="Arial"/>
                <w:sz w:val="20"/>
                <w:szCs w:val="20"/>
                <w:b w:val="1"/>
                <w:bCs w:val="1"/>
                <w:color w:val="00C1DE"/>
              </w:rPr>
              <w:t>What to Include</w:t>
            </w:r>
          </w:p>
        </w:tc>
        <w:tc>
          <w:tcPr>
            <w:tcW w:w="310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Proposals must conform to and</w:t>
            </w:r>
          </w:p>
        </w:tc>
        <w:tc>
          <w:tcPr>
            <w:tcW w:w="5440" w:type="dxa"/>
            <w:vAlign w:val="bottom"/>
            <w:tcBorders>
              <w:right w:val="single" w:sz="8" w:color="00C1DE"/>
            </w:tcBorders>
            <w:gridSpan w:val="2"/>
          </w:tcPr>
          <w:p>
            <w:pPr>
              <w:ind w:left="60"/>
              <w:spacing w:after="0"/>
              <w:rPr>
                <w:sz w:val="20"/>
                <w:szCs w:val="20"/>
                <w:color w:val="auto"/>
              </w:rPr>
            </w:pPr>
            <w:r>
              <w:rPr>
                <w:rFonts w:ascii="Arial" w:cs="Arial" w:eastAsia="Arial" w:hAnsi="Arial"/>
                <w:sz w:val="20"/>
                <w:szCs w:val="20"/>
                <w:color w:val="3E3935"/>
              </w:rPr>
              <w:t>Proposals must include information required by our Bylaws,</w:t>
            </w:r>
          </w:p>
        </w:tc>
      </w:tr>
      <w:tr>
        <w:trPr>
          <w:trHeight w:val="194"/>
        </w:trPr>
        <w:tc>
          <w:tcPr>
            <w:tcW w:w="2400" w:type="dxa"/>
            <w:vAlign w:val="bottom"/>
            <w:tcBorders>
              <w:left w:val="single" w:sz="8" w:color="00C1DE"/>
              <w:right w:val="single" w:sz="8" w:color="3E3935"/>
            </w:tcBorders>
          </w:tcPr>
          <w:p>
            <w:pPr>
              <w:spacing w:after="0"/>
              <w:rPr>
                <w:sz w:val="16"/>
                <w:szCs w:val="16"/>
                <w:color w:val="auto"/>
              </w:rPr>
            </w:pPr>
          </w:p>
        </w:tc>
        <w:tc>
          <w:tcPr>
            <w:tcW w:w="3100" w:type="dxa"/>
            <w:vAlign w:val="bottom"/>
            <w:tcBorders>
              <w:right w:val="single" w:sz="8" w:color="3E3935"/>
            </w:tcBorders>
          </w:tcPr>
          <w:p>
            <w:pPr>
              <w:ind w:left="60"/>
              <w:spacing w:after="0" w:line="194" w:lineRule="exact"/>
              <w:rPr>
                <w:sz w:val="20"/>
                <w:szCs w:val="20"/>
                <w:color w:val="auto"/>
              </w:rPr>
            </w:pPr>
            <w:r>
              <w:rPr>
                <w:rFonts w:ascii="Arial" w:cs="Arial" w:eastAsia="Arial" w:hAnsi="Arial"/>
                <w:sz w:val="20"/>
                <w:szCs w:val="20"/>
                <w:color w:val="3E3935"/>
              </w:rPr>
              <w:t>include the information required</w:t>
            </w:r>
          </w:p>
        </w:tc>
        <w:tc>
          <w:tcPr>
            <w:tcW w:w="5440" w:type="dxa"/>
            <w:vAlign w:val="bottom"/>
            <w:tcBorders>
              <w:right w:val="single" w:sz="8" w:color="00C1DE"/>
            </w:tcBorders>
            <w:gridSpan w:val="2"/>
          </w:tcPr>
          <w:p>
            <w:pPr>
              <w:ind w:left="60"/>
              <w:spacing w:after="0" w:line="194" w:lineRule="exact"/>
              <w:rPr>
                <w:sz w:val="20"/>
                <w:szCs w:val="20"/>
                <w:color w:val="auto"/>
              </w:rPr>
            </w:pPr>
            <w:r>
              <w:rPr>
                <w:rFonts w:ascii="Arial" w:cs="Arial" w:eastAsia="Arial" w:hAnsi="Arial"/>
                <w:sz w:val="20"/>
                <w:szCs w:val="20"/>
                <w:color w:val="3E3935"/>
              </w:rPr>
              <w:t>which are available on our website at</w:t>
            </w:r>
          </w:p>
        </w:tc>
      </w:tr>
      <w:tr>
        <w:trPr>
          <w:trHeight w:val="255"/>
        </w:trPr>
        <w:tc>
          <w:tcPr>
            <w:tcW w:w="2400" w:type="dxa"/>
            <w:vAlign w:val="bottom"/>
            <w:tcBorders>
              <w:left w:val="single" w:sz="8" w:color="00C1DE"/>
              <w:right w:val="single" w:sz="8" w:color="3E3935"/>
            </w:tcBorders>
          </w:tcPr>
          <w:p>
            <w:pPr>
              <w:spacing w:after="0"/>
              <w:rPr>
                <w:sz w:val="22"/>
                <w:szCs w:val="22"/>
                <w:color w:val="auto"/>
              </w:rPr>
            </w:pPr>
          </w:p>
        </w:tc>
        <w:tc>
          <w:tcPr>
            <w:tcW w:w="310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by SEC Rule 14a-8.</w:t>
            </w:r>
          </w:p>
        </w:tc>
        <w:tc>
          <w:tcPr>
            <w:tcW w:w="2860" w:type="dxa"/>
            <w:vAlign w:val="bottom"/>
          </w:tcPr>
          <w:p>
            <w:pPr>
              <w:ind w:left="60"/>
              <w:spacing w:after="0"/>
              <w:rPr>
                <w:sz w:val="20"/>
                <w:szCs w:val="20"/>
                <w:color w:val="auto"/>
              </w:rPr>
            </w:pPr>
            <w:r>
              <w:rPr>
                <w:rFonts w:ascii="Arial" w:cs="Arial" w:eastAsia="Arial" w:hAnsi="Arial"/>
                <w:sz w:val="20"/>
                <w:szCs w:val="20"/>
                <w:i w:val="1"/>
                <w:iCs w:val="1"/>
                <w:color w:val="00C1DE"/>
              </w:rPr>
              <w:t>investor.gm.com/resources</w:t>
            </w:r>
            <w:r>
              <w:rPr>
                <w:rFonts w:ascii="Arial" w:cs="Arial" w:eastAsia="Arial" w:hAnsi="Arial"/>
                <w:sz w:val="20"/>
                <w:szCs w:val="20"/>
                <w:color w:val="3E3935"/>
              </w:rPr>
              <w:t>.</w:t>
            </w:r>
          </w:p>
        </w:tc>
        <w:tc>
          <w:tcPr>
            <w:tcW w:w="2580" w:type="dxa"/>
            <w:vAlign w:val="bottom"/>
            <w:tcBorders>
              <w:right w:val="single" w:sz="8" w:color="00C1DE"/>
            </w:tcBorders>
          </w:tcPr>
          <w:p>
            <w:pPr>
              <w:spacing w:after="0"/>
              <w:rPr>
                <w:sz w:val="22"/>
                <w:szCs w:val="22"/>
                <w:color w:val="auto"/>
              </w:rPr>
            </w:pPr>
          </w:p>
        </w:tc>
      </w:tr>
      <w:tr>
        <w:trPr>
          <w:trHeight w:val="49"/>
        </w:trPr>
        <w:tc>
          <w:tcPr>
            <w:tcW w:w="2400" w:type="dxa"/>
            <w:vAlign w:val="bottom"/>
            <w:tcBorders>
              <w:left w:val="single" w:sz="8" w:color="00C1DE"/>
              <w:bottom w:val="single" w:sz="8" w:color="00C1DE"/>
              <w:right w:val="single" w:sz="8" w:color="3E3935"/>
            </w:tcBorders>
          </w:tcPr>
          <w:p>
            <w:pPr>
              <w:spacing w:after="0"/>
              <w:rPr>
                <w:sz w:val="4"/>
                <w:szCs w:val="4"/>
                <w:color w:val="auto"/>
              </w:rPr>
            </w:pPr>
          </w:p>
        </w:tc>
        <w:tc>
          <w:tcPr>
            <w:tcW w:w="3100" w:type="dxa"/>
            <w:vAlign w:val="bottom"/>
            <w:tcBorders>
              <w:bottom w:val="single" w:sz="8" w:color="00C1DE"/>
              <w:right w:val="single" w:sz="8" w:color="3E3935"/>
            </w:tcBorders>
          </w:tcPr>
          <w:p>
            <w:pPr>
              <w:spacing w:after="0"/>
              <w:rPr>
                <w:sz w:val="4"/>
                <w:szCs w:val="4"/>
                <w:color w:val="auto"/>
              </w:rPr>
            </w:pPr>
          </w:p>
        </w:tc>
        <w:tc>
          <w:tcPr>
            <w:tcW w:w="2860" w:type="dxa"/>
            <w:vAlign w:val="bottom"/>
            <w:tcBorders>
              <w:bottom w:val="single" w:sz="8" w:color="00C1DE"/>
            </w:tcBorders>
          </w:tcPr>
          <w:p>
            <w:pPr>
              <w:spacing w:after="0"/>
              <w:rPr>
                <w:sz w:val="4"/>
                <w:szCs w:val="4"/>
                <w:color w:val="auto"/>
              </w:rPr>
            </w:pPr>
          </w:p>
        </w:tc>
        <w:tc>
          <w:tcPr>
            <w:tcW w:w="2580" w:type="dxa"/>
            <w:vAlign w:val="bottom"/>
            <w:tcBorders>
              <w:bottom w:val="single" w:sz="8" w:color="00C1DE"/>
              <w:right w:val="single" w:sz="8" w:color="00C1DE"/>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93345</wp:posOffset>
            </wp:positionV>
            <wp:extent cx="5927725" cy="1016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32" w:lineRule="exact"/>
        <w:rPr>
          <w:sz w:val="20"/>
          <w:szCs w:val="20"/>
          <w:color w:val="auto"/>
        </w:rPr>
      </w:pPr>
    </w:p>
    <w:p>
      <w:pPr>
        <w:jc w:val="center"/>
        <w:ind w:right="10620"/>
        <w:spacing w:after="0"/>
        <w:rPr>
          <w:sz w:val="20"/>
          <w:szCs w:val="20"/>
          <w:color w:val="auto"/>
        </w:rPr>
      </w:pPr>
      <w:r>
        <w:rPr>
          <w:rFonts w:ascii="Arial" w:cs="Arial" w:eastAsia="Arial" w:hAnsi="Arial"/>
          <w:sz w:val="14"/>
          <w:szCs w:val="14"/>
          <w:color w:val="0071CE"/>
        </w:rPr>
        <w:t>96</w:t>
      </w:r>
    </w:p>
    <w:p>
      <w:pPr>
        <w:sectPr>
          <w:pgSz w:w="11900" w:h="16838" w:orient="portrait"/>
          <w:cols w:equalWidth="0" w:num="1">
            <w:col w:w="11100"/>
          </w:cols>
          <w:pgMar w:left="320" w:top="456"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700" w:hanging="533"/>
        <w:spacing w:after="0"/>
        <w:tabs>
          <w:tab w:leader="none" w:pos="700" w:val="left"/>
        </w:tabs>
        <w:numPr>
          <w:ilvl w:val="0"/>
          <w:numId w:val="165"/>
        </w:numPr>
        <w:rPr>
          <w:rFonts w:ascii="Arial" w:cs="Arial" w:eastAsia="Arial" w:hAnsi="Arial"/>
          <w:sz w:val="21"/>
          <w:szCs w:val="21"/>
          <w:color w:val="0071CE"/>
        </w:rPr>
      </w:pPr>
      <w:r>
        <w:rPr>
          <w:rFonts w:ascii="Arial" w:cs="Arial" w:eastAsia="Arial" w:hAnsi="Arial"/>
          <w:sz w:val="25"/>
          <w:szCs w:val="25"/>
          <w:color w:val="3E3935"/>
        </w:rPr>
        <w:t>Annual Report and Other Investor Materials</w:t>
      </w:r>
    </w:p>
    <w:p>
      <w:pPr>
        <w:spacing w:after="0" w:line="129"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3E3935"/>
        </w:rPr>
        <w:t xml:space="preserve">You may download a copy of our 2020 Annual Report and Proxy Statement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xml:space="preserve">. Our other SEC filings are available at </w:t>
      </w:r>
      <w:r>
        <w:rPr>
          <w:rFonts w:ascii="Arial" w:cs="Arial" w:eastAsia="Arial" w:hAnsi="Arial"/>
          <w:sz w:val="20"/>
          <w:szCs w:val="20"/>
          <w:i w:val="1"/>
          <w:iCs w:val="1"/>
          <w:color w:val="00C1DE"/>
        </w:rPr>
        <w:t>investor.gm.com/sec-filings</w:t>
      </w:r>
      <w:r>
        <w:rPr>
          <w:rFonts w:ascii="Arial" w:cs="Arial" w:eastAsia="Arial" w:hAnsi="Arial"/>
          <w:sz w:val="20"/>
          <w:szCs w:val="20"/>
          <w:color w:val="3E3935"/>
        </w:rPr>
        <w:t xml:space="preserve">. Alternatively, you may request a printed copy of these publications by writing to Shareholder Relations at General Motors Company, Mail Code 482-C25-A36, 300 Renaissance Center, Detroit, Michigan 48265 or by e-mail to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w:t>
      </w:r>
    </w:p>
    <w:p>
      <w:pPr>
        <w:spacing w:after="0" w:line="318" w:lineRule="exact"/>
        <w:rPr>
          <w:sz w:val="20"/>
          <w:szCs w:val="20"/>
          <w:color w:val="auto"/>
        </w:rPr>
      </w:pPr>
    </w:p>
    <w:p>
      <w:pPr>
        <w:ind w:left="700" w:hanging="533"/>
        <w:spacing w:after="0"/>
        <w:tabs>
          <w:tab w:leader="none" w:pos="700" w:val="left"/>
        </w:tabs>
        <w:numPr>
          <w:ilvl w:val="0"/>
          <w:numId w:val="166"/>
        </w:numPr>
        <w:rPr>
          <w:rFonts w:ascii="Arial" w:cs="Arial" w:eastAsia="Arial" w:hAnsi="Arial"/>
          <w:sz w:val="21"/>
          <w:szCs w:val="21"/>
          <w:color w:val="0071CE"/>
        </w:rPr>
      </w:pPr>
      <w:r>
        <w:rPr>
          <w:rFonts w:ascii="Arial" w:cs="Arial" w:eastAsia="Arial" w:hAnsi="Arial"/>
          <w:sz w:val="25"/>
          <w:szCs w:val="25"/>
          <w:color w:val="3E3935"/>
        </w:rPr>
        <w:t>Cost of Proxy Solicitation</w:t>
      </w:r>
    </w:p>
    <w:p>
      <w:pPr>
        <w:spacing w:after="0" w:line="149"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3E3935"/>
        </w:rPr>
        <w:t>We will pay our cost for soliciting proxies for the Annual Meeting. The Company will distribute proxy materials and follow-up reminders, if any, by mail and electronic means. We have engaged Alliance Advisors, LLC (“Alliance”), a professional proxy solicitation firm located at 200 Broadacres Drive, Bloomfield, New Jersey 07003, to assist with the solicitation of proxies and to provide related advice and informational support for a service fee, plus customary disbursements. We expect to pay Alliance an aggregate fee, including reasonable out-of-pocket expenses, of up to $20,000, depending on the level of services actually provided. GM directors, officers, and employees may also solicit proxies by mail, telephone, or personal visits. They will not receive any additional compensation for their services.</w:t>
      </w:r>
    </w:p>
    <w:p>
      <w:pPr>
        <w:spacing w:after="0" w:line="116"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3E3935"/>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84455</wp:posOffset>
            </wp:positionV>
            <wp:extent cx="5927725" cy="1016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7"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97</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7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00C1DE"/>
        </w:rPr>
        <w:t xml:space="preserve">APPENDIX A: </w:t>
      </w:r>
      <w:r>
        <w:rPr>
          <w:rFonts w:ascii="Arial" w:cs="Arial" w:eastAsia="Arial" w:hAnsi="Arial"/>
          <w:sz w:val="39"/>
          <w:szCs w:val="39"/>
          <w:b w:val="1"/>
          <w:bCs w:val="1"/>
          <w:color w:val="0071CE"/>
        </w:rPr>
        <w:t>NON-GAAP FINANCIAL MEASURES</w:t>
      </w:r>
    </w:p>
    <w:p>
      <w:pPr>
        <w:sectPr>
          <w:pgSz w:w="11900" w:h="16838" w:orient="portrait"/>
          <w:cols w:equalWidth="0" w:num="1">
            <w:col w:w="11080"/>
          </w:cols>
          <w:pgMar w:left="320" w:top="456" w:right="499" w:bottom="1440" w:gutter="0" w:footer="0" w:header="0"/>
        </w:sect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Return on Equity</w:t>
      </w:r>
    </w:p>
    <w:p>
      <w:pPr>
        <w:spacing w:after="0" w:line="200" w:lineRule="exact"/>
        <w:rPr>
          <w:sz w:val="20"/>
          <w:szCs w:val="20"/>
          <w:color w:val="auto"/>
        </w:rPr>
      </w:pPr>
    </w:p>
    <w:p>
      <w:pPr>
        <w:spacing w:after="0" w:line="225"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3E3935"/>
        </w:rPr>
        <w:t>We define Return on Equity (“ROE”) as Net income attributable to stockholders for the trailing four quarters divided by Average equity for the same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period. Management uses Average equity to provide comparable amounts in the calculation of ROE. The following table summarizes the calculation of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227965</wp:posOffset>
            </wp:positionV>
            <wp:extent cx="69297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696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3960" w:type="dxa"/>
            <w:vAlign w:val="bottom"/>
            <w:tcBorders>
              <w:bottom w:val="single" w:sz="8" w:color="00C1DE"/>
            </w:tcBorders>
            <w:gridSpan w:val="2"/>
          </w:tcPr>
          <w:p>
            <w:pPr>
              <w:jc w:val="right"/>
              <w:ind w:right="222"/>
              <w:spacing w:after="0"/>
              <w:rPr>
                <w:sz w:val="20"/>
                <w:szCs w:val="20"/>
                <w:color w:val="auto"/>
              </w:rPr>
            </w:pPr>
            <w:r>
              <w:rPr>
                <w:rFonts w:ascii="Arial" w:cs="Arial" w:eastAsia="Arial" w:hAnsi="Arial"/>
                <w:sz w:val="20"/>
                <w:szCs w:val="20"/>
                <w:b w:val="1"/>
                <w:bCs w:val="1"/>
                <w:color w:val="00C1DE"/>
              </w:rPr>
              <w:t>2020</w:t>
            </w:r>
          </w:p>
        </w:tc>
      </w:tr>
      <w:tr>
        <w:trPr>
          <w:trHeight w:val="234"/>
        </w:trPr>
        <w:tc>
          <w:tcPr>
            <w:tcW w:w="696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Net Income Attributable to Stockholders</w:t>
            </w:r>
          </w:p>
        </w:tc>
        <w:tc>
          <w:tcPr>
            <w:tcW w:w="3240" w:type="dxa"/>
            <w:vAlign w:val="bottom"/>
            <w:tcBorders>
              <w:bottom w:val="single" w:sz="8" w:color="3E3935"/>
            </w:tcBorders>
          </w:tcPr>
          <w:p>
            <w:pPr>
              <w:jc w:val="right"/>
              <w:spacing w:after="0"/>
              <w:rPr>
                <w:sz w:val="20"/>
                <w:szCs w:val="20"/>
                <w:color w:val="auto"/>
              </w:rPr>
            </w:pPr>
            <w:r>
              <w:rPr>
                <w:rFonts w:ascii="Arial" w:cs="Arial" w:eastAsia="Arial" w:hAnsi="Arial"/>
                <w:sz w:val="20"/>
                <w:szCs w:val="20"/>
                <w:b w:val="1"/>
                <w:bCs w:val="1"/>
                <w:color w:val="3E3935"/>
              </w:rPr>
              <w:t>$</w:t>
            </w:r>
          </w:p>
        </w:tc>
        <w:tc>
          <w:tcPr>
            <w:tcW w:w="72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b w:val="1"/>
                <w:bCs w:val="1"/>
                <w:color w:val="3E3935"/>
              </w:rPr>
              <w:t>6.4</w:t>
            </w:r>
          </w:p>
        </w:tc>
      </w:tr>
      <w:tr>
        <w:trPr>
          <w:trHeight w:val="234"/>
        </w:trPr>
        <w:tc>
          <w:tcPr>
            <w:tcW w:w="6960" w:type="dxa"/>
            <w:vAlign w:val="bottom"/>
            <w:tcBorders>
              <w:bottom w:val="single" w:sz="8" w:color="3E3935"/>
            </w:tcBorders>
          </w:tcPr>
          <w:p>
            <w:pPr>
              <w:ind w:left="80"/>
              <w:spacing w:after="0" w:line="233" w:lineRule="exact"/>
              <w:rPr>
                <w:sz w:val="20"/>
                <w:szCs w:val="20"/>
                <w:color w:val="auto"/>
              </w:rPr>
            </w:pPr>
            <w:r>
              <w:rPr>
                <w:rFonts w:ascii="Arial" w:cs="Arial" w:eastAsia="Arial" w:hAnsi="Arial"/>
                <w:sz w:val="17"/>
                <w:szCs w:val="17"/>
                <w:b w:val="1"/>
                <w:bCs w:val="1"/>
                <w:color w:val="3E3935"/>
              </w:rPr>
              <w:t>Average equity</w:t>
            </w:r>
            <w:r>
              <w:rPr>
                <w:rFonts w:ascii="Arial" w:cs="Arial" w:eastAsia="Arial" w:hAnsi="Arial"/>
                <w:sz w:val="27"/>
                <w:szCs w:val="27"/>
                <w:b w:val="1"/>
                <w:bCs w:val="1"/>
                <w:color w:val="3E3935"/>
                <w:vertAlign w:val="superscript"/>
              </w:rPr>
              <w:t>(1)</w:t>
            </w:r>
          </w:p>
        </w:tc>
        <w:tc>
          <w:tcPr>
            <w:tcW w:w="3240" w:type="dxa"/>
            <w:vAlign w:val="bottom"/>
            <w:tcBorders>
              <w:bottom w:val="single" w:sz="8" w:color="3E3935"/>
            </w:tcBorders>
          </w:tcPr>
          <w:p>
            <w:pPr>
              <w:jc w:val="right"/>
              <w:spacing w:after="0"/>
              <w:rPr>
                <w:sz w:val="20"/>
                <w:szCs w:val="20"/>
                <w:color w:val="auto"/>
              </w:rPr>
            </w:pPr>
            <w:r>
              <w:rPr>
                <w:rFonts w:ascii="Arial" w:cs="Arial" w:eastAsia="Arial" w:hAnsi="Arial"/>
                <w:sz w:val="20"/>
                <w:szCs w:val="20"/>
                <w:b w:val="1"/>
                <w:bCs w:val="1"/>
                <w:color w:val="3E3935"/>
              </w:rPr>
              <w:t>$</w:t>
            </w:r>
          </w:p>
        </w:tc>
        <w:tc>
          <w:tcPr>
            <w:tcW w:w="72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b w:val="1"/>
                <w:bCs w:val="1"/>
                <w:color w:val="3E3935"/>
                <w:w w:val="97"/>
              </w:rPr>
              <w:t>43.3</w:t>
            </w:r>
          </w:p>
        </w:tc>
      </w:tr>
      <w:tr>
        <w:trPr>
          <w:trHeight w:val="234"/>
        </w:trPr>
        <w:tc>
          <w:tcPr>
            <w:tcW w:w="696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ROE</w:t>
            </w:r>
          </w:p>
        </w:tc>
        <w:tc>
          <w:tcPr>
            <w:tcW w:w="3240" w:type="dxa"/>
            <w:vAlign w:val="bottom"/>
            <w:tcBorders>
              <w:bottom w:val="single" w:sz="8" w:color="3E3935"/>
            </w:tcBorders>
          </w:tcPr>
          <w:p>
            <w:pPr>
              <w:spacing w:after="0"/>
              <w:rPr>
                <w:sz w:val="20"/>
                <w:szCs w:val="20"/>
                <w:color w:val="auto"/>
              </w:rPr>
            </w:pPr>
          </w:p>
        </w:tc>
        <w:tc>
          <w:tcPr>
            <w:tcW w:w="720" w:type="dxa"/>
            <w:vAlign w:val="bottom"/>
            <w:tcBorders>
              <w:bottom w:val="single" w:sz="8" w:color="3E3935"/>
            </w:tcBorders>
          </w:tcPr>
          <w:p>
            <w:pPr>
              <w:jc w:val="right"/>
              <w:ind w:right="42"/>
              <w:spacing w:after="0"/>
              <w:rPr>
                <w:sz w:val="20"/>
                <w:szCs w:val="20"/>
                <w:color w:val="auto"/>
              </w:rPr>
            </w:pPr>
            <w:r>
              <w:rPr>
                <w:rFonts w:ascii="Arial" w:cs="Arial" w:eastAsia="Arial" w:hAnsi="Arial"/>
                <w:sz w:val="20"/>
                <w:szCs w:val="20"/>
                <w:b w:val="1"/>
                <w:bCs w:val="1"/>
                <w:color w:val="00C1DE"/>
                <w:w w:val="98"/>
              </w:rPr>
              <w:t>14.9%</w:t>
            </w:r>
          </w:p>
        </w:tc>
      </w:tr>
    </w:tbl>
    <w:p>
      <w:pPr>
        <w:spacing w:after="0" w:line="48" w:lineRule="exact"/>
        <w:rPr>
          <w:sz w:val="20"/>
          <w:szCs w:val="20"/>
          <w:color w:val="auto"/>
        </w:rPr>
      </w:pPr>
    </w:p>
    <w:p>
      <w:pPr>
        <w:ind w:left="600" w:hanging="433"/>
        <w:spacing w:after="0" w:line="260" w:lineRule="auto"/>
        <w:tabs>
          <w:tab w:leader="none" w:pos="600" w:val="left"/>
        </w:tabs>
        <w:numPr>
          <w:ilvl w:val="0"/>
          <w:numId w:val="167"/>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equity of noncontrolling interests where the corresponding earnings (loss) are included in Net income (loss) attributable to stockholders.</w:t>
      </w:r>
    </w:p>
    <w:p>
      <w:pPr>
        <w:sectPr>
          <w:pgSz w:w="11900" w:h="16838" w:orient="portrait"/>
          <w:cols w:equalWidth="0" w:num="1">
            <w:col w:w="11080"/>
          </w:cols>
          <w:pgMar w:left="320" w:top="456" w:right="499" w:bottom="1440" w:gutter="0" w:footer="0" w:header="0"/>
          <w:type w:val="continuous"/>
        </w:sect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Non-GAAP Reconciliations</w:t>
      </w:r>
    </w:p>
    <w:p>
      <w:pPr>
        <w:spacing w:after="0" w:line="200" w:lineRule="exact"/>
        <w:rPr>
          <w:sz w:val="20"/>
          <w:szCs w:val="20"/>
          <w:color w:val="auto"/>
        </w:rPr>
      </w:pPr>
    </w:p>
    <w:p>
      <w:pPr>
        <w:spacing w:after="0" w:line="225"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Our Company reports its financial results in accordance with generally accepted accounting principles in the United States (“GAAP”). However, management believes that certain non-GAAP financial measures provide users with additional meaningful financial information.</w:t>
      </w:r>
    </w:p>
    <w:p>
      <w:pPr>
        <w:spacing w:after="0" w:line="116" w:lineRule="exact"/>
        <w:rPr>
          <w:sz w:val="20"/>
          <w:szCs w:val="20"/>
          <w:color w:val="auto"/>
        </w:rPr>
      </w:pPr>
    </w:p>
    <w:p>
      <w:pPr>
        <w:jc w:val="both"/>
        <w:ind w:left="160"/>
        <w:spacing w:after="0" w:line="235" w:lineRule="auto"/>
        <w:rPr>
          <w:sz w:val="20"/>
          <w:szCs w:val="20"/>
          <w:color w:val="auto"/>
        </w:rPr>
      </w:pPr>
      <w:r>
        <w:rPr>
          <w:rFonts w:ascii="Arial" w:cs="Arial" w:eastAsia="Arial" w:hAnsi="Arial"/>
          <w:sz w:val="19"/>
          <w:szCs w:val="19"/>
          <w:color w:val="3E3935"/>
        </w:rPr>
        <w:t>Our non-GAAP measures presented in this Proxy Statement include: (i) earnings before interest and taxes (“EBIT”)– adjusted, presented net of noncontrolling interests,</w:t>
      </w:r>
    </w:p>
    <w:p>
      <w:pPr>
        <w:ind w:left="560" w:hanging="393"/>
        <w:spacing w:after="0" w:line="223" w:lineRule="auto"/>
        <w:tabs>
          <w:tab w:leader="none" w:pos="560" w:val="left"/>
        </w:tabs>
        <w:numPr>
          <w:ilvl w:val="0"/>
          <w:numId w:val="168"/>
        </w:numPr>
        <w:rPr>
          <w:rFonts w:ascii="Arial" w:cs="Arial" w:eastAsia="Arial" w:hAnsi="Arial"/>
          <w:sz w:val="20"/>
          <w:szCs w:val="20"/>
          <w:color w:val="3E3935"/>
        </w:rPr>
      </w:pPr>
      <w:r>
        <w:rPr>
          <w:rFonts w:ascii="Arial" w:cs="Arial" w:eastAsia="Arial" w:hAnsi="Arial"/>
          <w:sz w:val="20"/>
          <w:szCs w:val="20"/>
          <w:color w:val="3E3935"/>
        </w:rPr>
        <w:t>earnings  per  share  (“EPS”)–diluted–adjusted,  and</w:t>
      </w:r>
    </w:p>
    <w:p>
      <w:pPr>
        <w:jc w:val="both"/>
        <w:ind w:left="160" w:firstLine="7"/>
        <w:spacing w:after="0" w:line="230" w:lineRule="auto"/>
        <w:tabs>
          <w:tab w:leader="none" w:pos="552" w:val="left"/>
        </w:tabs>
        <w:numPr>
          <w:ilvl w:val="0"/>
          <w:numId w:val="168"/>
        </w:numPr>
        <w:rPr>
          <w:rFonts w:ascii="Arial" w:cs="Arial" w:eastAsia="Arial" w:hAnsi="Arial"/>
          <w:sz w:val="20"/>
          <w:szCs w:val="20"/>
          <w:color w:val="3E3935"/>
        </w:rPr>
      </w:pPr>
      <w:r>
        <w:rPr>
          <w:rFonts w:ascii="Arial" w:cs="Arial" w:eastAsia="Arial" w:hAnsi="Arial"/>
          <w:sz w:val="20"/>
          <w:szCs w:val="20"/>
          <w:color w:val="3E3935"/>
        </w:rPr>
        <w:t>return on invested capital (“ROIC”)-adjusted. These measures relate to our continuing operations and not our discontinued operations. Our calculation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3E3935"/>
        </w:rPr>
        <w:t>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2020 Form 10-K and our subsequent filings with the SEC for additional information about the non-GAAP measures presented herein, including a description of the use of such measures. The numbers in the tables below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457835</wp:posOffset>
            </wp:positionV>
            <wp:extent cx="69297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7460" w:type="dxa"/>
            <w:vAlign w:val="bottom"/>
          </w:tcPr>
          <w:p>
            <w:pPr>
              <w:spacing w:after="0"/>
              <w:rPr>
                <w:sz w:val="20"/>
                <w:szCs w:val="20"/>
                <w:color w:val="auto"/>
              </w:rPr>
            </w:pPr>
            <w:r>
              <w:rPr>
                <w:rFonts w:ascii="Arial" w:cs="Arial" w:eastAsia="Arial" w:hAnsi="Arial"/>
                <w:sz w:val="20"/>
                <w:szCs w:val="20"/>
                <w:b w:val="1"/>
                <w:bCs w:val="1"/>
                <w:color w:val="00C1DE"/>
              </w:rPr>
              <w:t>($B)</w:t>
            </w:r>
          </w:p>
        </w:tc>
        <w:tc>
          <w:tcPr>
            <w:tcW w:w="3460" w:type="dxa"/>
            <w:vAlign w:val="bottom"/>
          </w:tcPr>
          <w:p>
            <w:pPr>
              <w:jc w:val="right"/>
              <w:ind w:right="22"/>
              <w:spacing w:after="0"/>
              <w:rPr>
                <w:sz w:val="20"/>
                <w:szCs w:val="20"/>
                <w:color w:val="auto"/>
              </w:rPr>
            </w:pPr>
            <w:r>
              <w:rPr>
                <w:rFonts w:ascii="Arial" w:cs="Arial" w:eastAsia="Arial" w:hAnsi="Arial"/>
                <w:sz w:val="20"/>
                <w:szCs w:val="20"/>
                <w:b w:val="1"/>
                <w:bCs w:val="1"/>
                <w:color w:val="00C1DE"/>
              </w:rPr>
              <w:t>2020</w:t>
            </w:r>
          </w:p>
        </w:tc>
      </w:tr>
      <w:tr>
        <w:trPr>
          <w:trHeight w:val="22"/>
        </w:trPr>
        <w:tc>
          <w:tcPr>
            <w:tcW w:w="7460" w:type="dxa"/>
            <w:vAlign w:val="bottom"/>
            <w:tcBorders>
              <w:bottom w:val="single" w:sz="8" w:color="00C1DE"/>
            </w:tcBorders>
          </w:tcPr>
          <w:p>
            <w:pPr>
              <w:spacing w:after="0" w:line="20" w:lineRule="exact"/>
              <w:rPr>
                <w:sz w:val="1"/>
                <w:szCs w:val="1"/>
                <w:color w:val="auto"/>
              </w:rPr>
            </w:pPr>
          </w:p>
        </w:tc>
        <w:tc>
          <w:tcPr>
            <w:tcW w:w="3460" w:type="dxa"/>
            <w:vAlign w:val="bottom"/>
            <w:tcBorders>
              <w:bottom w:val="single" w:sz="8" w:color="00C1DE"/>
            </w:tcBorders>
          </w:tcPr>
          <w:p>
            <w:pPr>
              <w:spacing w:after="0" w:line="20" w:lineRule="exact"/>
              <w:rPr>
                <w:sz w:val="1"/>
                <w:szCs w:val="1"/>
                <w:color w:val="auto"/>
              </w:rPr>
            </w:pP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b w:val="1"/>
                <w:bCs w:val="1"/>
                <w:color w:val="3E3935"/>
              </w:rPr>
              <w:t>Net Income Attributable to Stockholders</w:t>
            </w:r>
          </w:p>
        </w:tc>
        <w:tc>
          <w:tcPr>
            <w:tcW w:w="3460" w:type="dxa"/>
            <w:vAlign w:val="bottom"/>
          </w:tcPr>
          <w:p>
            <w:pPr>
              <w:jc w:val="right"/>
              <w:ind w:right="22"/>
              <w:spacing w:after="0"/>
              <w:rPr>
                <w:sz w:val="20"/>
                <w:szCs w:val="20"/>
                <w:color w:val="auto"/>
              </w:rPr>
            </w:pPr>
            <w:r>
              <w:rPr>
                <w:rFonts w:ascii="Arial" w:cs="Arial" w:eastAsia="Arial" w:hAnsi="Arial"/>
                <w:sz w:val="20"/>
                <w:szCs w:val="20"/>
                <w:b w:val="1"/>
                <w:bCs w:val="1"/>
                <w:color w:val="3E3935"/>
              </w:rPr>
              <w:t>$ 6.4</w:t>
            </w:r>
          </w:p>
        </w:tc>
      </w:tr>
      <w:tr>
        <w:trPr>
          <w:trHeight w:val="22"/>
        </w:trPr>
        <w:tc>
          <w:tcPr>
            <w:tcW w:w="7460" w:type="dxa"/>
            <w:vAlign w:val="bottom"/>
            <w:tcBorders>
              <w:bottom w:val="single" w:sz="8" w:color="3E3935"/>
            </w:tcBorders>
          </w:tcPr>
          <w:p>
            <w:pPr>
              <w:spacing w:after="0" w:line="20" w:lineRule="exact"/>
              <w:rPr>
                <w:sz w:val="1"/>
                <w:szCs w:val="1"/>
                <w:color w:val="auto"/>
              </w:rPr>
            </w:pPr>
          </w:p>
        </w:tc>
        <w:tc>
          <w:tcPr>
            <w:tcW w:w="3460" w:type="dxa"/>
            <w:vAlign w:val="bottom"/>
            <w:tcBorders>
              <w:bottom w:val="single" w:sz="8" w:color="3E3935"/>
            </w:tcBorders>
          </w:tcPr>
          <w:p>
            <w:pPr>
              <w:spacing w:after="0" w:line="20" w:lineRule="exact"/>
              <w:rPr>
                <w:sz w:val="1"/>
                <w:szCs w:val="1"/>
                <w:color w:val="auto"/>
              </w:rPr>
            </w:pP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color w:val="3E3935"/>
              </w:rPr>
              <w:t>Income Tax Expense</w:t>
            </w:r>
          </w:p>
        </w:tc>
        <w:tc>
          <w:tcPr>
            <w:tcW w:w="3460" w:type="dxa"/>
            <w:vAlign w:val="bottom"/>
          </w:tcPr>
          <w:p>
            <w:pPr>
              <w:jc w:val="right"/>
              <w:ind w:right="22"/>
              <w:spacing w:after="0"/>
              <w:rPr>
                <w:sz w:val="20"/>
                <w:szCs w:val="20"/>
                <w:color w:val="auto"/>
              </w:rPr>
            </w:pPr>
            <w:r>
              <w:rPr>
                <w:rFonts w:ascii="Arial" w:cs="Arial" w:eastAsia="Arial" w:hAnsi="Arial"/>
                <w:sz w:val="20"/>
                <w:szCs w:val="20"/>
                <w:color w:val="3E3935"/>
              </w:rPr>
              <w:t>1.8</w:t>
            </w:r>
          </w:p>
        </w:tc>
      </w:tr>
      <w:tr>
        <w:trPr>
          <w:trHeight w:val="22"/>
        </w:trPr>
        <w:tc>
          <w:tcPr>
            <w:tcW w:w="7460" w:type="dxa"/>
            <w:vAlign w:val="bottom"/>
            <w:tcBorders>
              <w:bottom w:val="single" w:sz="8" w:color="3E3935"/>
            </w:tcBorders>
          </w:tcPr>
          <w:p>
            <w:pPr>
              <w:spacing w:after="0" w:line="20" w:lineRule="exact"/>
              <w:rPr>
                <w:sz w:val="1"/>
                <w:szCs w:val="1"/>
                <w:color w:val="auto"/>
              </w:rPr>
            </w:pPr>
          </w:p>
        </w:tc>
        <w:tc>
          <w:tcPr>
            <w:tcW w:w="3460" w:type="dxa"/>
            <w:vAlign w:val="bottom"/>
            <w:tcBorders>
              <w:bottom w:val="single" w:sz="8" w:color="3E3935"/>
            </w:tcBorders>
          </w:tcPr>
          <w:p>
            <w:pPr>
              <w:spacing w:after="0" w:line="20" w:lineRule="exact"/>
              <w:rPr>
                <w:sz w:val="1"/>
                <w:szCs w:val="1"/>
                <w:color w:val="auto"/>
              </w:rPr>
            </w:pP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color w:val="3E3935"/>
              </w:rPr>
              <w:t>Automotive Interest Expense</w:t>
            </w:r>
          </w:p>
        </w:tc>
        <w:tc>
          <w:tcPr>
            <w:tcW w:w="3460" w:type="dxa"/>
            <w:vAlign w:val="bottom"/>
          </w:tcPr>
          <w:p>
            <w:pPr>
              <w:jc w:val="right"/>
              <w:ind w:right="22"/>
              <w:spacing w:after="0"/>
              <w:rPr>
                <w:sz w:val="20"/>
                <w:szCs w:val="20"/>
                <w:color w:val="auto"/>
              </w:rPr>
            </w:pPr>
            <w:r>
              <w:rPr>
                <w:rFonts w:ascii="Arial" w:cs="Arial" w:eastAsia="Arial" w:hAnsi="Arial"/>
                <w:sz w:val="20"/>
                <w:szCs w:val="20"/>
                <w:color w:val="3E3935"/>
              </w:rPr>
              <w:t>1.1</w:t>
            </w:r>
          </w:p>
        </w:tc>
      </w:tr>
      <w:tr>
        <w:trPr>
          <w:trHeight w:val="22"/>
        </w:trPr>
        <w:tc>
          <w:tcPr>
            <w:tcW w:w="7460" w:type="dxa"/>
            <w:vAlign w:val="bottom"/>
            <w:tcBorders>
              <w:bottom w:val="single" w:sz="8" w:color="3E3935"/>
            </w:tcBorders>
          </w:tcPr>
          <w:p>
            <w:pPr>
              <w:spacing w:after="0" w:line="20" w:lineRule="exact"/>
              <w:rPr>
                <w:sz w:val="1"/>
                <w:szCs w:val="1"/>
                <w:color w:val="auto"/>
              </w:rPr>
            </w:pPr>
          </w:p>
        </w:tc>
        <w:tc>
          <w:tcPr>
            <w:tcW w:w="3460" w:type="dxa"/>
            <w:vAlign w:val="bottom"/>
            <w:tcBorders>
              <w:bottom w:val="single" w:sz="8" w:color="3E3935"/>
            </w:tcBorders>
          </w:tcPr>
          <w:p>
            <w:pPr>
              <w:spacing w:after="0" w:line="20" w:lineRule="exact"/>
              <w:rPr>
                <w:sz w:val="1"/>
                <w:szCs w:val="1"/>
                <w:color w:val="auto"/>
              </w:rPr>
            </w:pP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color w:val="3E3935"/>
              </w:rPr>
              <w:t>Automotive Interest Income</w:t>
            </w:r>
          </w:p>
        </w:tc>
        <w:tc>
          <w:tcPr>
            <w:tcW w:w="3460" w:type="dxa"/>
            <w:vAlign w:val="bottom"/>
          </w:tcPr>
          <w:p>
            <w:pPr>
              <w:jc w:val="right"/>
              <w:spacing w:after="0"/>
              <w:rPr>
                <w:sz w:val="20"/>
                <w:szCs w:val="20"/>
                <w:color w:val="auto"/>
              </w:rPr>
            </w:pPr>
            <w:r>
              <w:rPr>
                <w:rFonts w:ascii="Arial" w:cs="Arial" w:eastAsia="Arial" w:hAnsi="Arial"/>
                <w:sz w:val="20"/>
                <w:szCs w:val="20"/>
                <w:color w:val="3E3935"/>
              </w:rPr>
              <w:t>(0.2)</w:t>
            </w:r>
          </w:p>
        </w:tc>
      </w:tr>
      <w:tr>
        <w:trPr>
          <w:trHeight w:val="22"/>
        </w:trPr>
        <w:tc>
          <w:tcPr>
            <w:tcW w:w="7460" w:type="dxa"/>
            <w:vAlign w:val="bottom"/>
            <w:tcBorders>
              <w:bottom w:val="single" w:sz="8" w:color="3E3935"/>
            </w:tcBorders>
          </w:tcPr>
          <w:p>
            <w:pPr>
              <w:spacing w:after="0" w:line="20" w:lineRule="exact"/>
              <w:rPr>
                <w:sz w:val="1"/>
                <w:szCs w:val="1"/>
                <w:color w:val="auto"/>
              </w:rPr>
            </w:pPr>
          </w:p>
        </w:tc>
        <w:tc>
          <w:tcPr>
            <w:tcW w:w="3460" w:type="dxa"/>
            <w:vAlign w:val="bottom"/>
            <w:tcBorders>
              <w:bottom w:val="single" w:sz="8" w:color="3E3935"/>
            </w:tcBorders>
          </w:tcPr>
          <w:p>
            <w:pPr>
              <w:spacing w:after="0" w:line="20" w:lineRule="exact"/>
              <w:rPr>
                <w:sz w:val="1"/>
                <w:szCs w:val="1"/>
                <w:color w:val="auto"/>
              </w:rPr>
            </w:pP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color w:val="3E3935"/>
              </w:rPr>
              <w:t>Adjustments:</w:t>
            </w:r>
          </w:p>
        </w:tc>
        <w:tc>
          <w:tcPr>
            <w:tcW w:w="3460" w:type="dxa"/>
            <w:vAlign w:val="bottom"/>
          </w:tcPr>
          <w:p>
            <w:pPr>
              <w:spacing w:after="0"/>
              <w:rPr>
                <w:sz w:val="24"/>
                <w:szCs w:val="24"/>
                <w:color w:val="auto"/>
              </w:rPr>
            </w:pPr>
          </w:p>
        </w:tc>
      </w:tr>
      <w:tr>
        <w:trPr>
          <w:trHeight w:val="22"/>
        </w:trPr>
        <w:tc>
          <w:tcPr>
            <w:tcW w:w="7460" w:type="dxa"/>
            <w:vAlign w:val="bottom"/>
            <w:tcBorders>
              <w:bottom w:val="single" w:sz="8" w:color="3E3935"/>
            </w:tcBorders>
          </w:tcPr>
          <w:p>
            <w:pPr>
              <w:spacing w:after="0" w:line="20" w:lineRule="exact"/>
              <w:rPr>
                <w:sz w:val="1"/>
                <w:szCs w:val="1"/>
                <w:color w:val="auto"/>
              </w:rPr>
            </w:pPr>
          </w:p>
        </w:tc>
        <w:tc>
          <w:tcPr>
            <w:tcW w:w="3460" w:type="dxa"/>
            <w:vAlign w:val="bottom"/>
            <w:tcBorders>
              <w:bottom w:val="single" w:sz="8" w:color="3E3935"/>
            </w:tcBorders>
          </w:tcPr>
          <w:p>
            <w:pPr>
              <w:spacing w:after="0" w:line="20" w:lineRule="exact"/>
              <w:rPr>
                <w:sz w:val="1"/>
                <w:szCs w:val="1"/>
                <w:color w:val="auto"/>
              </w:rPr>
            </w:pPr>
          </w:p>
        </w:tc>
      </w:tr>
      <w:tr>
        <w:trPr>
          <w:trHeight w:val="314"/>
        </w:trPr>
        <w:tc>
          <w:tcPr>
            <w:tcW w:w="7460" w:type="dxa"/>
            <w:vAlign w:val="bottom"/>
            <w:tcBorders>
              <w:bottom w:val="single" w:sz="8" w:color="3E3935"/>
            </w:tcBorders>
          </w:tcPr>
          <w:p>
            <w:pPr>
              <w:ind w:left="400"/>
              <w:spacing w:after="0" w:line="314" w:lineRule="exact"/>
              <w:rPr>
                <w:sz w:val="20"/>
                <w:szCs w:val="20"/>
                <w:color w:val="auto"/>
              </w:rPr>
            </w:pPr>
            <w:r>
              <w:rPr>
                <w:rFonts w:ascii="Arial" w:cs="Arial" w:eastAsia="Arial" w:hAnsi="Arial"/>
                <w:sz w:val="20"/>
                <w:szCs w:val="20"/>
                <w:color w:val="3E3935"/>
              </w:rPr>
              <w:t>GM International (“GMI”) restructuring</w:t>
            </w:r>
            <w:r>
              <w:rPr>
                <w:rFonts w:ascii="Arial" w:cs="Arial" w:eastAsia="Arial" w:hAnsi="Arial"/>
                <w:sz w:val="33"/>
                <w:szCs w:val="33"/>
                <w:color w:val="3E3935"/>
                <w:vertAlign w:val="superscript"/>
              </w:rPr>
              <w:t>(1)</w:t>
            </w:r>
          </w:p>
        </w:tc>
        <w:tc>
          <w:tcPr>
            <w:tcW w:w="34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0.7</w:t>
            </w:r>
          </w:p>
        </w:tc>
      </w:tr>
      <w:tr>
        <w:trPr>
          <w:trHeight w:val="314"/>
        </w:trPr>
        <w:tc>
          <w:tcPr>
            <w:tcW w:w="7460" w:type="dxa"/>
            <w:vAlign w:val="bottom"/>
            <w:tcBorders>
              <w:bottom w:val="single" w:sz="8" w:color="3E3935"/>
            </w:tcBorders>
          </w:tcPr>
          <w:p>
            <w:pPr>
              <w:ind w:left="400"/>
              <w:spacing w:after="0" w:line="314" w:lineRule="exact"/>
              <w:rPr>
                <w:sz w:val="20"/>
                <w:szCs w:val="20"/>
                <w:color w:val="auto"/>
              </w:rPr>
            </w:pPr>
            <w:r>
              <w:rPr>
                <w:rFonts w:ascii="Arial" w:cs="Arial" w:eastAsia="Arial" w:hAnsi="Arial"/>
                <w:sz w:val="20"/>
                <w:szCs w:val="20"/>
                <w:color w:val="3E3935"/>
              </w:rPr>
              <w:t>Ignition switch recall and related legal matters</w:t>
            </w:r>
            <w:r>
              <w:rPr>
                <w:rFonts w:ascii="Arial" w:cs="Arial" w:eastAsia="Arial" w:hAnsi="Arial"/>
                <w:sz w:val="33"/>
                <w:szCs w:val="33"/>
                <w:color w:val="3E3935"/>
                <w:vertAlign w:val="superscript"/>
              </w:rPr>
              <w:t>(2)</w:t>
            </w:r>
          </w:p>
        </w:tc>
        <w:tc>
          <w:tcPr>
            <w:tcW w:w="34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(0.1)</w:t>
            </w:r>
          </w:p>
        </w:tc>
      </w:tr>
      <w:tr>
        <w:trPr>
          <w:trHeight w:val="314"/>
        </w:trPr>
        <w:tc>
          <w:tcPr>
            <w:tcW w:w="7460" w:type="dxa"/>
            <w:vAlign w:val="bottom"/>
            <w:tcBorders>
              <w:bottom w:val="single" w:sz="8" w:color="3E3935"/>
            </w:tcBorders>
          </w:tcPr>
          <w:p>
            <w:pPr>
              <w:ind w:left="400"/>
              <w:spacing w:after="0" w:line="314" w:lineRule="exact"/>
              <w:rPr>
                <w:sz w:val="20"/>
                <w:szCs w:val="20"/>
                <w:color w:val="auto"/>
              </w:rPr>
            </w:pPr>
            <w:r>
              <w:rPr>
                <w:rFonts w:ascii="Arial" w:cs="Arial" w:eastAsia="Arial" w:hAnsi="Arial"/>
                <w:sz w:val="20"/>
                <w:szCs w:val="20"/>
                <w:color w:val="3E3935"/>
              </w:rPr>
              <w:t>Cadillac dealer strategy</w:t>
            </w:r>
            <w:r>
              <w:rPr>
                <w:rFonts w:ascii="Arial" w:cs="Arial" w:eastAsia="Arial" w:hAnsi="Arial"/>
                <w:sz w:val="33"/>
                <w:szCs w:val="33"/>
                <w:color w:val="3E3935"/>
                <w:vertAlign w:val="superscript"/>
              </w:rPr>
              <w:t>(3)</w:t>
            </w:r>
          </w:p>
        </w:tc>
        <w:tc>
          <w:tcPr>
            <w:tcW w:w="34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0.1</w:t>
            </w: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color w:val="3E3935"/>
              </w:rPr>
              <w:t>Total Special items</w:t>
            </w:r>
          </w:p>
        </w:tc>
        <w:tc>
          <w:tcPr>
            <w:tcW w:w="3460" w:type="dxa"/>
            <w:vAlign w:val="bottom"/>
          </w:tcPr>
          <w:p>
            <w:pPr>
              <w:jc w:val="right"/>
              <w:ind w:right="22"/>
              <w:spacing w:after="0"/>
              <w:rPr>
                <w:sz w:val="20"/>
                <w:szCs w:val="20"/>
                <w:color w:val="auto"/>
              </w:rPr>
            </w:pPr>
            <w:r>
              <w:rPr>
                <w:rFonts w:ascii="Arial" w:cs="Arial" w:eastAsia="Arial" w:hAnsi="Arial"/>
                <w:sz w:val="20"/>
                <w:szCs w:val="20"/>
                <w:color w:val="3E3935"/>
              </w:rPr>
              <w:t>0.7</w:t>
            </w:r>
          </w:p>
        </w:tc>
      </w:tr>
      <w:tr>
        <w:trPr>
          <w:trHeight w:val="22"/>
        </w:trPr>
        <w:tc>
          <w:tcPr>
            <w:tcW w:w="7460" w:type="dxa"/>
            <w:vAlign w:val="bottom"/>
            <w:tcBorders>
              <w:bottom w:val="single" w:sz="8" w:color="3E3935"/>
            </w:tcBorders>
          </w:tcPr>
          <w:p>
            <w:pPr>
              <w:spacing w:after="0" w:line="20" w:lineRule="exact"/>
              <w:rPr>
                <w:sz w:val="1"/>
                <w:szCs w:val="1"/>
                <w:color w:val="auto"/>
              </w:rPr>
            </w:pPr>
          </w:p>
        </w:tc>
        <w:tc>
          <w:tcPr>
            <w:tcW w:w="3460" w:type="dxa"/>
            <w:vAlign w:val="bottom"/>
            <w:tcBorders>
              <w:bottom w:val="single" w:sz="8" w:color="3E3935"/>
            </w:tcBorders>
          </w:tcPr>
          <w:p>
            <w:pPr>
              <w:spacing w:after="0" w:line="20" w:lineRule="exact"/>
              <w:rPr>
                <w:sz w:val="1"/>
                <w:szCs w:val="1"/>
                <w:color w:val="auto"/>
              </w:rPr>
            </w:pPr>
          </w:p>
        </w:tc>
      </w:tr>
      <w:tr>
        <w:trPr>
          <w:trHeight w:val="292"/>
        </w:trPr>
        <w:tc>
          <w:tcPr>
            <w:tcW w:w="7460" w:type="dxa"/>
            <w:vAlign w:val="bottom"/>
          </w:tcPr>
          <w:p>
            <w:pPr>
              <w:ind w:left="80"/>
              <w:spacing w:after="0"/>
              <w:rPr>
                <w:sz w:val="20"/>
                <w:szCs w:val="20"/>
                <w:color w:val="auto"/>
              </w:rPr>
            </w:pPr>
            <w:r>
              <w:rPr>
                <w:rFonts w:ascii="Arial" w:cs="Arial" w:eastAsia="Arial" w:hAnsi="Arial"/>
                <w:sz w:val="20"/>
                <w:szCs w:val="20"/>
                <w:b w:val="1"/>
                <w:bCs w:val="1"/>
                <w:color w:val="00C1DE"/>
              </w:rPr>
              <w:t>EBIT-adjusted</w:t>
            </w:r>
          </w:p>
        </w:tc>
        <w:tc>
          <w:tcPr>
            <w:tcW w:w="3460" w:type="dxa"/>
            <w:vAlign w:val="bottom"/>
          </w:tcPr>
          <w:p>
            <w:pPr>
              <w:jc w:val="right"/>
              <w:ind w:right="22"/>
              <w:spacing w:after="0"/>
              <w:rPr>
                <w:sz w:val="20"/>
                <w:szCs w:val="20"/>
                <w:color w:val="auto"/>
              </w:rPr>
            </w:pPr>
            <w:r>
              <w:rPr>
                <w:rFonts w:ascii="Arial" w:cs="Arial" w:eastAsia="Arial" w:hAnsi="Arial"/>
                <w:sz w:val="20"/>
                <w:szCs w:val="20"/>
                <w:b w:val="1"/>
                <w:bCs w:val="1"/>
                <w:color w:val="00C1DE"/>
              </w:rPr>
              <w:t>$ 9.7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13970</wp:posOffset>
            </wp:positionV>
            <wp:extent cx="69297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4" w:lineRule="exact"/>
        <w:rPr>
          <w:sz w:val="20"/>
          <w:szCs w:val="20"/>
          <w:color w:val="auto"/>
        </w:rPr>
      </w:pPr>
    </w:p>
    <w:p>
      <w:pPr>
        <w:jc w:val="both"/>
        <w:ind w:left="600" w:hanging="433"/>
        <w:spacing w:after="0" w:line="242" w:lineRule="auto"/>
        <w:tabs>
          <w:tab w:leader="none" w:pos="600" w:val="left"/>
        </w:tabs>
        <w:numPr>
          <w:ilvl w:val="0"/>
          <w:numId w:val="169"/>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dealer restructurings, asset impairments, inventory provisions, and employee separation charges in Australia, New Zealand, Thailand, and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85090</wp:posOffset>
            </wp:positionV>
            <wp:extent cx="5927725" cy="1016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18" w:lineRule="exact"/>
        <w:rPr>
          <w:sz w:val="20"/>
          <w:szCs w:val="20"/>
          <w:color w:val="auto"/>
        </w:rPr>
      </w:pPr>
    </w:p>
    <w:p>
      <w:pPr>
        <w:ind w:left="10540"/>
        <w:spacing w:after="0"/>
        <w:rPr>
          <w:sz w:val="20"/>
          <w:szCs w:val="20"/>
          <w:color w:val="auto"/>
        </w:rPr>
      </w:pPr>
      <w:r>
        <w:rPr>
          <w:rFonts w:ascii="Arial" w:cs="Arial" w:eastAsia="Arial" w:hAnsi="Arial"/>
          <w:sz w:val="14"/>
          <w:szCs w:val="14"/>
          <w:color w:val="0071CE"/>
        </w:rPr>
        <w:t>A-1</w:t>
      </w:r>
    </w:p>
    <w:p>
      <w:pPr>
        <w:sectPr>
          <w:pgSz w:w="11900" w:h="16838" w:orient="portrait"/>
          <w:cols w:equalWidth="0" w:num="1">
            <w:col w:w="11080"/>
          </w:cols>
          <w:pgMar w:left="320" w:top="456" w:right="49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600" w:right="20" w:hanging="433"/>
        <w:spacing w:after="0" w:line="260" w:lineRule="auto"/>
        <w:tabs>
          <w:tab w:leader="none" w:pos="600" w:val="left"/>
        </w:tabs>
        <w:numPr>
          <w:ilvl w:val="0"/>
          <w:numId w:val="170"/>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of the unique events associated with the ignition switch recall, which included various investigations, inquiries, and complaints from constituents.</w:t>
      </w:r>
    </w:p>
    <w:p>
      <w:pPr>
        <w:spacing w:after="0" w:line="19" w:lineRule="exact"/>
        <w:rPr>
          <w:rFonts w:ascii="Arial" w:cs="Arial" w:eastAsia="Arial" w:hAnsi="Arial"/>
          <w:sz w:val="18"/>
          <w:szCs w:val="18"/>
          <w:i w:val="1"/>
          <w:iCs w:val="1"/>
          <w:color w:val="3E3935"/>
        </w:rPr>
      </w:pPr>
    </w:p>
    <w:p>
      <w:pPr>
        <w:ind w:left="600" w:hanging="433"/>
        <w:spacing w:after="0" w:line="260" w:lineRule="auto"/>
        <w:tabs>
          <w:tab w:leader="none" w:pos="600" w:val="left"/>
        </w:tabs>
        <w:numPr>
          <w:ilvl w:val="0"/>
          <w:numId w:val="170"/>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strategic activities to transition certain Cadillac dealers from the network as part of Cadillac’s electric vehicle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686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 per Share</w:t>
            </w:r>
          </w:p>
        </w:tc>
        <w:tc>
          <w:tcPr>
            <w:tcW w:w="4060" w:type="dxa"/>
            <w:vAlign w:val="bottom"/>
            <w:tcBorders>
              <w:bottom w:val="single" w:sz="8" w:color="00C1DE"/>
            </w:tcBorders>
          </w:tcPr>
          <w:p>
            <w:pPr>
              <w:jc w:val="right"/>
              <w:ind w:right="22"/>
              <w:spacing w:after="0"/>
              <w:rPr>
                <w:sz w:val="20"/>
                <w:szCs w:val="20"/>
                <w:color w:val="auto"/>
              </w:rPr>
            </w:pPr>
            <w:r>
              <w:rPr>
                <w:rFonts w:ascii="Arial" w:cs="Arial" w:eastAsia="Arial" w:hAnsi="Arial"/>
                <w:sz w:val="20"/>
                <w:szCs w:val="20"/>
                <w:b w:val="1"/>
                <w:bCs w:val="1"/>
                <w:color w:val="00C1DE"/>
              </w:rPr>
              <w:t>2020</w:t>
            </w:r>
          </w:p>
        </w:tc>
      </w:tr>
      <w:tr>
        <w:trPr>
          <w:trHeight w:val="234"/>
        </w:trPr>
        <w:tc>
          <w:tcPr>
            <w:tcW w:w="686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Diluted Earnings per Common Share</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b w:val="1"/>
                <w:bCs w:val="1"/>
                <w:color w:val="3E3935"/>
              </w:rPr>
              <w:t>$ 4.33</w:t>
            </w:r>
          </w:p>
        </w:tc>
      </w:tr>
      <w:tr>
        <w:trPr>
          <w:trHeight w:val="234"/>
        </w:trPr>
        <w:tc>
          <w:tcPr>
            <w:tcW w:w="6860" w:type="dxa"/>
            <w:vAlign w:val="bottom"/>
            <w:tcBorders>
              <w:bottom w:val="single" w:sz="8" w:color="3E3935"/>
            </w:tcBorders>
          </w:tcPr>
          <w:p>
            <w:pPr>
              <w:ind w:left="80"/>
              <w:spacing w:after="0" w:line="233" w:lineRule="exact"/>
              <w:rPr>
                <w:sz w:val="20"/>
                <w:szCs w:val="20"/>
                <w:color w:val="auto"/>
              </w:rPr>
            </w:pPr>
            <w:r>
              <w:rPr>
                <w:rFonts w:ascii="Arial" w:cs="Arial" w:eastAsia="Arial" w:hAnsi="Arial"/>
                <w:sz w:val="17"/>
                <w:szCs w:val="17"/>
                <w:color w:val="3E3935"/>
              </w:rPr>
              <w:t>Adjustments</w:t>
            </w:r>
            <w:r>
              <w:rPr>
                <w:rFonts w:ascii="Arial" w:cs="Arial" w:eastAsia="Arial" w:hAnsi="Arial"/>
                <w:sz w:val="27"/>
                <w:szCs w:val="27"/>
                <w:color w:val="3E3935"/>
                <w:vertAlign w:val="superscript"/>
              </w:rPr>
              <w:t>(1)</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0.46</w:t>
            </w:r>
          </w:p>
        </w:tc>
      </w:tr>
      <w:tr>
        <w:trPr>
          <w:trHeight w:val="234"/>
        </w:trPr>
        <w:tc>
          <w:tcPr>
            <w:tcW w:w="6860" w:type="dxa"/>
            <w:vAlign w:val="bottom"/>
            <w:tcBorders>
              <w:bottom w:val="single" w:sz="8" w:color="3E3935"/>
            </w:tcBorders>
          </w:tcPr>
          <w:p>
            <w:pPr>
              <w:ind w:left="80"/>
              <w:spacing w:after="0" w:line="233" w:lineRule="exact"/>
              <w:rPr>
                <w:sz w:val="20"/>
                <w:szCs w:val="20"/>
                <w:color w:val="auto"/>
              </w:rPr>
            </w:pPr>
            <w:r>
              <w:rPr>
                <w:rFonts w:ascii="Arial" w:cs="Arial" w:eastAsia="Arial" w:hAnsi="Arial"/>
                <w:sz w:val="17"/>
                <w:szCs w:val="17"/>
                <w:color w:val="3E3935"/>
              </w:rPr>
              <w:t>Tax effect of adjustments</w:t>
            </w:r>
            <w:r>
              <w:rPr>
                <w:rFonts w:ascii="Arial" w:cs="Arial" w:eastAsia="Arial" w:hAnsi="Arial"/>
                <w:sz w:val="27"/>
                <w:szCs w:val="27"/>
                <w:color w:val="3E3935"/>
                <w:vertAlign w:val="superscript"/>
              </w:rPr>
              <w:t>(2)</w:t>
            </w:r>
          </w:p>
        </w:tc>
        <w:tc>
          <w:tcPr>
            <w:tcW w:w="40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(0.05)</w:t>
            </w:r>
          </w:p>
        </w:tc>
      </w:tr>
      <w:tr>
        <w:trPr>
          <w:trHeight w:val="234"/>
        </w:trPr>
        <w:tc>
          <w:tcPr>
            <w:tcW w:w="6860" w:type="dxa"/>
            <w:vAlign w:val="bottom"/>
            <w:tcBorders>
              <w:bottom w:val="single" w:sz="8" w:color="3E3935"/>
            </w:tcBorders>
          </w:tcPr>
          <w:p>
            <w:pPr>
              <w:ind w:left="80"/>
              <w:spacing w:after="0" w:line="233" w:lineRule="exact"/>
              <w:rPr>
                <w:sz w:val="20"/>
                <w:szCs w:val="20"/>
                <w:color w:val="auto"/>
              </w:rPr>
            </w:pPr>
            <w:r>
              <w:rPr>
                <w:rFonts w:ascii="Arial" w:cs="Arial" w:eastAsia="Arial" w:hAnsi="Arial"/>
                <w:sz w:val="17"/>
                <w:szCs w:val="17"/>
                <w:color w:val="3E3935"/>
              </w:rPr>
              <w:t>Tax adjustments</w:t>
            </w:r>
            <w:r>
              <w:rPr>
                <w:rFonts w:ascii="Arial" w:cs="Arial" w:eastAsia="Arial" w:hAnsi="Arial"/>
                <w:sz w:val="27"/>
                <w:szCs w:val="27"/>
                <w:color w:val="3E3935"/>
                <w:vertAlign w:val="superscript"/>
              </w:rPr>
              <w:t>(3)</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3E3935"/>
              </w:rPr>
              <w:t>0.16</w:t>
            </w:r>
          </w:p>
        </w:tc>
      </w:tr>
      <w:tr>
        <w:trPr>
          <w:trHeight w:val="234"/>
        </w:trPr>
        <w:tc>
          <w:tcPr>
            <w:tcW w:w="686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EPS-diluted-adjusted</w:t>
            </w:r>
          </w:p>
        </w:tc>
        <w:tc>
          <w:tcPr>
            <w:tcW w:w="4060" w:type="dxa"/>
            <w:vAlign w:val="bottom"/>
            <w:tcBorders>
              <w:bottom w:val="single" w:sz="8" w:color="3E3935"/>
            </w:tcBorders>
          </w:tcPr>
          <w:p>
            <w:pPr>
              <w:jc w:val="right"/>
              <w:ind w:right="22"/>
              <w:spacing w:after="0"/>
              <w:rPr>
                <w:sz w:val="20"/>
                <w:szCs w:val="20"/>
                <w:color w:val="auto"/>
              </w:rPr>
            </w:pPr>
            <w:r>
              <w:rPr>
                <w:rFonts w:ascii="Arial" w:cs="Arial" w:eastAsia="Arial" w:hAnsi="Arial"/>
                <w:sz w:val="20"/>
                <w:szCs w:val="20"/>
                <w:color w:val="00C1DE"/>
              </w:rPr>
              <w:t>$ 4.90</w:t>
            </w:r>
          </w:p>
        </w:tc>
      </w:tr>
    </w:tbl>
    <w:p>
      <w:pPr>
        <w:spacing w:after="0" w:line="48" w:lineRule="exact"/>
        <w:rPr>
          <w:sz w:val="20"/>
          <w:szCs w:val="20"/>
          <w:color w:val="auto"/>
        </w:rPr>
      </w:pPr>
    </w:p>
    <w:p>
      <w:pPr>
        <w:ind w:left="600" w:hanging="433"/>
        <w:spacing w:after="0" w:line="260" w:lineRule="auto"/>
        <w:tabs>
          <w:tab w:leader="none" w:pos="60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Refer to the reconciliation of Net income attributable to stockholders under U.S. GAAP to EBIT-adjusted on page A-1 of this Proxy Statement for adjustment details.</w:t>
      </w:r>
    </w:p>
    <w:p>
      <w:pPr>
        <w:spacing w:after="0" w:line="19" w:lineRule="exact"/>
        <w:rPr>
          <w:rFonts w:ascii="Arial" w:cs="Arial" w:eastAsia="Arial" w:hAnsi="Arial"/>
          <w:sz w:val="18"/>
          <w:szCs w:val="18"/>
          <w:i w:val="1"/>
          <w:iCs w:val="1"/>
          <w:color w:val="3E3935"/>
        </w:rPr>
      </w:pPr>
    </w:p>
    <w:p>
      <w:pPr>
        <w:ind w:left="600" w:right="20" w:hanging="433"/>
        <w:spacing w:after="0" w:line="260" w:lineRule="auto"/>
        <w:tabs>
          <w:tab w:leader="none" w:pos="60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The tax effect of each adjustment is determined based on the tax laws and valuation allowance status of the jurisdiction to which the adjustment relates.</w:t>
      </w:r>
    </w:p>
    <w:p>
      <w:pPr>
        <w:spacing w:after="0" w:line="19" w:lineRule="exact"/>
        <w:rPr>
          <w:rFonts w:ascii="Arial" w:cs="Arial" w:eastAsia="Arial" w:hAnsi="Arial"/>
          <w:sz w:val="18"/>
          <w:szCs w:val="18"/>
          <w:i w:val="1"/>
          <w:iCs w:val="1"/>
          <w:color w:val="3E3935"/>
        </w:rPr>
      </w:pPr>
    </w:p>
    <w:p>
      <w:pPr>
        <w:jc w:val="both"/>
        <w:ind w:left="600" w:right="20" w:hanging="433"/>
        <w:spacing w:after="0" w:line="246" w:lineRule="auto"/>
        <w:tabs>
          <w:tab w:leader="none" w:pos="60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9297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874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2180" w:type="dxa"/>
            <w:vAlign w:val="bottom"/>
            <w:tcBorders>
              <w:bottom w:val="single" w:sz="8" w:color="00C1DE"/>
            </w:tcBorders>
          </w:tcPr>
          <w:p>
            <w:pPr>
              <w:jc w:val="right"/>
              <w:ind w:right="222"/>
              <w:spacing w:after="0"/>
              <w:rPr>
                <w:sz w:val="20"/>
                <w:szCs w:val="20"/>
                <w:color w:val="auto"/>
              </w:rPr>
            </w:pPr>
            <w:r>
              <w:rPr>
                <w:rFonts w:ascii="Arial" w:cs="Arial" w:eastAsia="Arial" w:hAnsi="Arial"/>
                <w:sz w:val="20"/>
                <w:szCs w:val="20"/>
                <w:b w:val="1"/>
                <w:bCs w:val="1"/>
                <w:color w:val="00C1DE"/>
              </w:rPr>
              <w:t>2020</w:t>
            </w:r>
          </w:p>
        </w:tc>
      </w:tr>
      <w:tr>
        <w:trPr>
          <w:trHeight w:val="234"/>
        </w:trPr>
        <w:tc>
          <w:tcPr>
            <w:tcW w:w="8740" w:type="dxa"/>
            <w:vAlign w:val="bottom"/>
            <w:tcBorders>
              <w:bottom w:val="single" w:sz="8" w:color="3E3935"/>
            </w:tcBorders>
          </w:tcPr>
          <w:p>
            <w:pPr>
              <w:ind w:left="80"/>
              <w:spacing w:after="0" w:line="233" w:lineRule="exact"/>
              <w:rPr>
                <w:sz w:val="20"/>
                <w:szCs w:val="20"/>
                <w:color w:val="auto"/>
              </w:rPr>
            </w:pPr>
            <w:r>
              <w:rPr>
                <w:rFonts w:ascii="Arial" w:cs="Arial" w:eastAsia="Arial" w:hAnsi="Arial"/>
                <w:sz w:val="17"/>
                <w:szCs w:val="17"/>
                <w:b w:val="1"/>
                <w:bCs w:val="1"/>
                <w:color w:val="3E3935"/>
              </w:rPr>
              <w:t>EBIT-adjusted</w:t>
            </w:r>
            <w:r>
              <w:rPr>
                <w:rFonts w:ascii="Arial" w:cs="Arial" w:eastAsia="Arial" w:hAnsi="Arial"/>
                <w:sz w:val="27"/>
                <w:szCs w:val="27"/>
                <w:color w:val="3E3935"/>
                <w:vertAlign w:val="superscript"/>
              </w:rPr>
              <w:t>(1)</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b w:val="1"/>
                <w:bCs w:val="1"/>
                <w:color w:val="3E3935"/>
              </w:rPr>
              <w:t>$  9.7</w:t>
            </w:r>
          </w:p>
        </w:tc>
      </w:tr>
      <w:tr>
        <w:trPr>
          <w:trHeight w:val="234"/>
        </w:trPr>
        <w:tc>
          <w:tcPr>
            <w:tcW w:w="8740" w:type="dxa"/>
            <w:vAlign w:val="bottom"/>
            <w:tcBorders>
              <w:bottom w:val="single" w:sz="8" w:color="3E3935"/>
            </w:tcBorders>
          </w:tcPr>
          <w:p>
            <w:pPr>
              <w:ind w:left="400"/>
              <w:spacing w:after="0" w:line="233" w:lineRule="exact"/>
              <w:rPr>
                <w:sz w:val="20"/>
                <w:szCs w:val="20"/>
                <w:color w:val="auto"/>
              </w:rPr>
            </w:pPr>
            <w:r>
              <w:rPr>
                <w:rFonts w:ascii="Arial" w:cs="Arial" w:eastAsia="Arial" w:hAnsi="Arial"/>
                <w:sz w:val="17"/>
                <w:szCs w:val="17"/>
                <w:color w:val="3E3935"/>
              </w:rPr>
              <w:t>Average equity</w:t>
            </w:r>
            <w:r>
              <w:rPr>
                <w:rFonts w:ascii="Arial" w:cs="Arial" w:eastAsia="Arial" w:hAnsi="Arial"/>
                <w:sz w:val="27"/>
                <w:szCs w:val="27"/>
                <w:color w:val="3E3935"/>
                <w:vertAlign w:val="superscript"/>
              </w:rPr>
              <w:t>(2)</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color w:val="3E3935"/>
              </w:rPr>
              <w:t>43.3</w:t>
            </w:r>
          </w:p>
        </w:tc>
      </w:tr>
      <w:tr>
        <w:trPr>
          <w:trHeight w:val="234"/>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Average automotive debt and interest liabilities (excluding capital leases)</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color w:val="3E3935"/>
              </w:rPr>
              <w:t>27.8</w:t>
            </w:r>
          </w:p>
        </w:tc>
      </w:tr>
      <w:tr>
        <w:trPr>
          <w:trHeight w:val="234"/>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Average automotive net pension and other post-retirement benefits liabilities</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color w:val="3E3935"/>
              </w:rPr>
              <w:t>17.6</w:t>
            </w:r>
          </w:p>
        </w:tc>
      </w:tr>
      <w:tr>
        <w:trPr>
          <w:trHeight w:val="234"/>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Less: Average automotive net income tax asset</w:t>
            </w:r>
          </w:p>
        </w:tc>
        <w:tc>
          <w:tcPr>
            <w:tcW w:w="2180" w:type="dxa"/>
            <w:vAlign w:val="bottom"/>
            <w:tcBorders>
              <w:bottom w:val="single" w:sz="8" w:color="3E3935"/>
            </w:tcBorders>
          </w:tcPr>
          <w:p>
            <w:pPr>
              <w:jc w:val="right"/>
              <w:ind w:right="162"/>
              <w:spacing w:after="0"/>
              <w:rPr>
                <w:sz w:val="20"/>
                <w:szCs w:val="20"/>
                <w:color w:val="auto"/>
              </w:rPr>
            </w:pPr>
            <w:r>
              <w:rPr>
                <w:rFonts w:ascii="Arial" w:cs="Arial" w:eastAsia="Arial" w:hAnsi="Arial"/>
                <w:sz w:val="20"/>
                <w:szCs w:val="20"/>
                <w:color w:val="3E3935"/>
              </w:rPr>
              <w:t>(24.0)</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ROIC-adjusted average net assets</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b w:val="1"/>
                <w:bCs w:val="1"/>
                <w:color w:val="3E3935"/>
              </w:rPr>
              <w:t>64.7</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ROIC-adjusted</w:t>
            </w:r>
          </w:p>
        </w:tc>
        <w:tc>
          <w:tcPr>
            <w:tcW w:w="2180" w:type="dxa"/>
            <w:vAlign w:val="bottom"/>
            <w:tcBorders>
              <w:bottom w:val="single" w:sz="8" w:color="3E3935"/>
            </w:tcBorders>
          </w:tcPr>
          <w:p>
            <w:pPr>
              <w:jc w:val="right"/>
              <w:ind w:right="42"/>
              <w:spacing w:after="0"/>
              <w:rPr>
                <w:sz w:val="20"/>
                <w:szCs w:val="20"/>
                <w:color w:val="auto"/>
              </w:rPr>
            </w:pPr>
            <w:r>
              <w:rPr>
                <w:rFonts w:ascii="Arial" w:cs="Arial" w:eastAsia="Arial" w:hAnsi="Arial"/>
                <w:sz w:val="20"/>
                <w:szCs w:val="20"/>
                <w:b w:val="1"/>
                <w:bCs w:val="1"/>
                <w:color w:val="00C1DE"/>
              </w:rPr>
              <w:t>15.0%</w:t>
            </w:r>
          </w:p>
        </w:tc>
      </w:tr>
    </w:tbl>
    <w:p>
      <w:pPr>
        <w:spacing w:after="0" w:line="48" w:lineRule="exact"/>
        <w:rPr>
          <w:sz w:val="20"/>
          <w:szCs w:val="20"/>
          <w:color w:val="auto"/>
        </w:rPr>
      </w:pPr>
    </w:p>
    <w:p>
      <w:pPr>
        <w:ind w:left="600" w:hanging="433"/>
        <w:spacing w:after="0" w:line="260" w:lineRule="auto"/>
        <w:tabs>
          <w:tab w:leader="none" w:pos="600" w:val="left"/>
        </w:tabs>
        <w:numPr>
          <w:ilvl w:val="0"/>
          <w:numId w:val="172"/>
        </w:numPr>
        <w:rPr>
          <w:rFonts w:ascii="Arial" w:cs="Arial" w:eastAsia="Arial" w:hAnsi="Arial"/>
          <w:sz w:val="18"/>
          <w:szCs w:val="18"/>
          <w:i w:val="1"/>
          <w:iCs w:val="1"/>
          <w:color w:val="3E3935"/>
        </w:rPr>
      </w:pPr>
      <w:r>
        <w:rPr>
          <w:rFonts w:ascii="Arial" w:cs="Arial" w:eastAsia="Arial" w:hAnsi="Arial"/>
          <w:sz w:val="18"/>
          <w:szCs w:val="18"/>
          <w:i w:val="1"/>
          <w:iCs w:val="1"/>
          <w:color w:val="3E3935"/>
        </w:rPr>
        <w:t>Refer to the reconciliation of Net income attributable to stockholders under U.S. GAAP to EBIT-adjusted on page A-1 of this Proxy Statement.</w:t>
      </w:r>
    </w:p>
    <w:p>
      <w:pPr>
        <w:spacing w:after="0" w:line="19" w:lineRule="exact"/>
        <w:rPr>
          <w:rFonts w:ascii="Arial" w:cs="Arial" w:eastAsia="Arial" w:hAnsi="Arial"/>
          <w:sz w:val="18"/>
          <w:szCs w:val="18"/>
          <w:i w:val="1"/>
          <w:iCs w:val="1"/>
          <w:color w:val="3E3935"/>
        </w:rPr>
      </w:pPr>
    </w:p>
    <w:p>
      <w:pPr>
        <w:ind w:left="600" w:hanging="433"/>
        <w:spacing w:after="0"/>
        <w:tabs>
          <w:tab w:leader="none" w:pos="600" w:val="left"/>
        </w:tabs>
        <w:numPr>
          <w:ilvl w:val="0"/>
          <w:numId w:val="172"/>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equity of noncontrolling interests where the corresponding earnings are included in EBIT-adjusted.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101600</wp:posOffset>
            </wp:positionV>
            <wp:extent cx="5927725" cy="1016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color w:val="0071CE"/>
        </w:rPr>
        <w:t>A-2</w:t>
      </w:r>
    </w:p>
    <w:p>
      <w:pPr>
        <w:sectPr>
          <w:pgSz w:w="11900" w:h="16838" w:orient="portrait"/>
          <w:cols w:equalWidth="0" w:num="1">
            <w:col w:w="11080"/>
          </w:cols>
          <w:pgMar w:left="320" w:top="456"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3E3935"/>
        </w:rPr>
        <w:t>Adjusted Automotive Free Cash Flow</w:t>
      </w:r>
    </w:p>
    <w:p>
      <w:pPr>
        <w:spacing w:after="0" w:line="238"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3E3935"/>
        </w:rPr>
        <w:t>In the section titled “Executive Compensation,” we present one of our incentive compensation measures, adjusted automotive free cash flow, which is not prepared in accordance with GAAP. Below is a reconciliation of adjusted automotive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free cash flow (as calculated for incentive compensation purposes) to Net automotive cash provided by operating activities, its nearest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-1291590</wp:posOffset>
            </wp:positionV>
            <wp:extent cx="717613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508000</wp:posOffset>
            </wp:positionV>
            <wp:extent cx="69297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874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2180" w:type="dxa"/>
            <w:vAlign w:val="bottom"/>
            <w:tcBorders>
              <w:bottom w:val="single" w:sz="8" w:color="00C1DE"/>
            </w:tcBorders>
          </w:tcPr>
          <w:p>
            <w:pPr>
              <w:jc w:val="right"/>
              <w:ind w:right="122"/>
              <w:spacing w:after="0"/>
              <w:rPr>
                <w:sz w:val="20"/>
                <w:szCs w:val="20"/>
                <w:color w:val="auto"/>
              </w:rPr>
            </w:pPr>
            <w:r>
              <w:rPr>
                <w:rFonts w:ascii="Arial" w:cs="Arial" w:eastAsia="Arial" w:hAnsi="Arial"/>
                <w:sz w:val="20"/>
                <w:szCs w:val="20"/>
                <w:b w:val="1"/>
                <w:bCs w:val="1"/>
                <w:color w:val="00C1DE"/>
              </w:rPr>
              <w:t>2020</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3E3935"/>
              </w:rPr>
              <w:t>Net Automotive Cash Provided by Operating Activities</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b w:val="1"/>
                <w:bCs w:val="1"/>
                <w:color w:val="3E3935"/>
              </w:rPr>
              <w:t>$ 7.5</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Less: Capital expenditures</w:t>
            </w:r>
          </w:p>
        </w:tc>
        <w:tc>
          <w:tcPr>
            <w:tcW w:w="2180" w:type="dxa"/>
            <w:vAlign w:val="bottom"/>
            <w:tcBorders>
              <w:bottom w:val="single" w:sz="8" w:color="3E3935"/>
            </w:tcBorders>
          </w:tcPr>
          <w:p>
            <w:pPr>
              <w:jc w:val="right"/>
              <w:ind w:right="42"/>
              <w:spacing w:after="0"/>
              <w:rPr>
                <w:sz w:val="20"/>
                <w:szCs w:val="20"/>
                <w:color w:val="auto"/>
              </w:rPr>
            </w:pPr>
            <w:r>
              <w:rPr>
                <w:rFonts w:ascii="Arial" w:cs="Arial" w:eastAsia="Arial" w:hAnsi="Arial"/>
                <w:sz w:val="20"/>
                <w:szCs w:val="20"/>
                <w:color w:val="3E3935"/>
              </w:rPr>
              <w:t>(5.3)</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Adjustments:</w:t>
            </w:r>
          </w:p>
        </w:tc>
        <w:tc>
          <w:tcPr>
            <w:tcW w:w="2180" w:type="dxa"/>
            <w:vAlign w:val="bottom"/>
            <w:tcBorders>
              <w:bottom w:val="single" w:sz="8" w:color="3E3935"/>
            </w:tcBorders>
          </w:tcPr>
          <w:p>
            <w:pPr>
              <w:spacing w:after="0"/>
              <w:rPr>
                <w:sz w:val="20"/>
                <w:szCs w:val="20"/>
                <w:color w:val="auto"/>
              </w:rPr>
            </w:pPr>
          </w:p>
        </w:tc>
      </w:tr>
      <w:tr>
        <w:trPr>
          <w:trHeight w:val="234"/>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GMI restructuring</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0.4</w:t>
            </w:r>
          </w:p>
        </w:tc>
      </w:tr>
      <w:tr>
        <w:trPr>
          <w:trHeight w:val="234"/>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Cadillac dealer strategy</w:t>
            </w:r>
          </w:p>
        </w:tc>
        <w:tc>
          <w:tcPr>
            <w:tcW w:w="2180" w:type="dxa"/>
            <w:vAlign w:val="bottom"/>
            <w:tcBorders>
              <w:bottom w:val="single" w:sz="8" w:color="3E3935"/>
            </w:tcBorders>
          </w:tcPr>
          <w:p>
            <w:pPr>
              <w:jc w:val="right"/>
              <w:ind w:right="222"/>
              <w:spacing w:after="0"/>
              <w:rPr>
                <w:sz w:val="20"/>
                <w:szCs w:val="20"/>
                <w:color w:val="auto"/>
              </w:rPr>
            </w:pPr>
            <w:r>
              <w:rPr>
                <w:rFonts w:ascii="Arial" w:cs="Arial" w:eastAsia="Arial" w:hAnsi="Arial"/>
                <w:sz w:val="20"/>
                <w:szCs w:val="20"/>
                <w:color w:val="3E3935"/>
              </w:rPr>
              <w:t>—</w:t>
            </w:r>
          </w:p>
        </w:tc>
      </w:tr>
      <w:tr>
        <w:trPr>
          <w:trHeight w:val="234"/>
        </w:trPr>
        <w:tc>
          <w:tcPr>
            <w:tcW w:w="874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Less: GM Brazil indirect tax recoveries</w:t>
            </w:r>
          </w:p>
        </w:tc>
        <w:tc>
          <w:tcPr>
            <w:tcW w:w="2180" w:type="dxa"/>
            <w:vAlign w:val="bottom"/>
            <w:tcBorders>
              <w:bottom w:val="single" w:sz="8" w:color="3E3935"/>
            </w:tcBorders>
          </w:tcPr>
          <w:p>
            <w:pPr>
              <w:jc w:val="right"/>
              <w:ind w:right="42"/>
              <w:spacing w:after="0"/>
              <w:rPr>
                <w:sz w:val="20"/>
                <w:szCs w:val="20"/>
                <w:color w:val="auto"/>
              </w:rPr>
            </w:pPr>
            <w:r>
              <w:rPr>
                <w:rFonts w:ascii="Arial" w:cs="Arial" w:eastAsia="Arial" w:hAnsi="Arial"/>
                <w:sz w:val="20"/>
                <w:szCs w:val="20"/>
                <w:color w:val="3E3935"/>
              </w:rPr>
              <w:t>(0.1)</w:t>
            </w:r>
          </w:p>
        </w:tc>
      </w:tr>
      <w:tr>
        <w:trPr>
          <w:trHeight w:val="234"/>
        </w:trPr>
        <w:tc>
          <w:tcPr>
            <w:tcW w:w="8740" w:type="dxa"/>
            <w:vAlign w:val="bottom"/>
            <w:tcBorders>
              <w:bottom w:val="single" w:sz="8" w:color="3E3935"/>
            </w:tcBorders>
          </w:tcPr>
          <w:p>
            <w:pPr>
              <w:ind w:left="400"/>
              <w:spacing w:after="0" w:line="233" w:lineRule="exact"/>
              <w:rPr>
                <w:sz w:val="20"/>
                <w:szCs w:val="20"/>
                <w:color w:val="auto"/>
              </w:rPr>
            </w:pPr>
            <w:r>
              <w:rPr>
                <w:rFonts w:ascii="Arial" w:cs="Arial" w:eastAsia="Arial" w:hAnsi="Arial"/>
                <w:sz w:val="17"/>
                <w:szCs w:val="17"/>
                <w:color w:val="3E3935"/>
              </w:rPr>
              <w:t>Add: Incentive compensation adjustments</w:t>
            </w:r>
            <w:r>
              <w:rPr>
                <w:rFonts w:ascii="Arial" w:cs="Arial" w:eastAsia="Arial" w:hAnsi="Arial"/>
                <w:sz w:val="27"/>
                <w:szCs w:val="27"/>
                <w:color w:val="3E3935"/>
                <w:vertAlign w:val="superscript"/>
              </w:rPr>
              <w:t>(1)</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0.1</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Total adjustments</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color w:val="3E3935"/>
              </w:rPr>
              <w:t>0.4</w:t>
            </w:r>
          </w:p>
        </w:tc>
      </w:tr>
      <w:tr>
        <w:trPr>
          <w:trHeight w:val="234"/>
        </w:trPr>
        <w:tc>
          <w:tcPr>
            <w:tcW w:w="8740" w:type="dxa"/>
            <w:vAlign w:val="bottom"/>
            <w:tcBorders>
              <w:bottom w:val="single" w:sz="8" w:color="3E3935"/>
            </w:tcBorders>
          </w:tcPr>
          <w:p>
            <w:pPr>
              <w:ind w:left="80"/>
              <w:spacing w:after="0"/>
              <w:rPr>
                <w:sz w:val="20"/>
                <w:szCs w:val="20"/>
                <w:color w:val="auto"/>
              </w:rPr>
            </w:pPr>
            <w:r>
              <w:rPr>
                <w:rFonts w:ascii="Arial" w:cs="Arial" w:eastAsia="Arial" w:hAnsi="Arial"/>
                <w:sz w:val="20"/>
                <w:szCs w:val="20"/>
                <w:b w:val="1"/>
                <w:bCs w:val="1"/>
                <w:color w:val="00C1DE"/>
              </w:rPr>
              <w:t>Adjusted Automotive Free Cash Flow (for incentive compensation purposes)</w:t>
            </w:r>
          </w:p>
        </w:tc>
        <w:tc>
          <w:tcPr>
            <w:tcW w:w="2180" w:type="dxa"/>
            <w:vAlign w:val="bottom"/>
            <w:tcBorders>
              <w:bottom w:val="single" w:sz="8" w:color="3E3935"/>
            </w:tcBorders>
          </w:tcPr>
          <w:p>
            <w:pPr>
              <w:jc w:val="right"/>
              <w:ind w:right="122"/>
              <w:spacing w:after="0"/>
              <w:rPr>
                <w:sz w:val="20"/>
                <w:szCs w:val="20"/>
                <w:color w:val="auto"/>
              </w:rPr>
            </w:pPr>
            <w:r>
              <w:rPr>
                <w:rFonts w:ascii="Arial" w:cs="Arial" w:eastAsia="Arial" w:hAnsi="Arial"/>
                <w:sz w:val="20"/>
                <w:szCs w:val="20"/>
                <w:b w:val="1"/>
                <w:bCs w:val="1"/>
                <w:color w:val="00C1DE"/>
              </w:rPr>
              <w:t>$ 2.7</w:t>
            </w:r>
          </w:p>
        </w:tc>
      </w:tr>
    </w:tbl>
    <w:p>
      <w:pPr>
        <w:spacing w:after="0" w:line="48" w:lineRule="exact"/>
        <w:rPr>
          <w:sz w:val="20"/>
          <w:szCs w:val="20"/>
          <w:color w:val="auto"/>
        </w:rPr>
      </w:pPr>
    </w:p>
    <w:p>
      <w:pPr>
        <w:ind w:left="160" w:right="4200" w:firstLine="7"/>
        <w:spacing w:after="0" w:line="322" w:lineRule="auto"/>
        <w:tabs>
          <w:tab w:leader="none" w:pos="588" w:val="left"/>
        </w:tabs>
        <w:numPr>
          <w:ilvl w:val="0"/>
          <w:numId w:val="173"/>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certain recall-related expenses attributable to events occurring in 2014. Note: Amounts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41275</wp:posOffset>
            </wp:positionV>
            <wp:extent cx="5927725" cy="1016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27725" cy="101600"/>
                    </a:xfrm>
                    <a:prstGeom prst="rect">
                      <a:avLst/>
                    </a:prstGeom>
                    <a:noFill/>
                  </pic:spPr>
                </pic:pic>
              </a:graphicData>
            </a:graphic>
          </wp:anchor>
        </w:drawing>
      </w:r>
    </w:p>
    <w:p>
      <w:pPr>
        <w:spacing w:after="0" w:line="50" w:lineRule="exact"/>
        <w:rPr>
          <w:sz w:val="20"/>
          <w:szCs w:val="20"/>
          <w:color w:val="auto"/>
        </w:rPr>
      </w:pPr>
    </w:p>
    <w:p>
      <w:pPr>
        <w:ind w:left="10540"/>
        <w:spacing w:after="0"/>
        <w:rPr>
          <w:sz w:val="20"/>
          <w:szCs w:val="20"/>
          <w:color w:val="auto"/>
        </w:rPr>
      </w:pPr>
      <w:r>
        <w:rPr>
          <w:rFonts w:ascii="Arial" w:cs="Arial" w:eastAsia="Arial" w:hAnsi="Arial"/>
          <w:sz w:val="14"/>
          <w:szCs w:val="14"/>
          <w:color w:val="0071CE"/>
        </w:rPr>
        <w:t>A-3</w:t>
      </w:r>
    </w:p>
    <w:p>
      <w:pPr>
        <w:sectPr>
          <w:pgSz w:w="11900" w:h="16838" w:orient="portrait"/>
          <w:cols w:equalWidth="0" w:num="1">
            <w:col w:w="11080"/>
          </w:cols>
          <w:pgMar w:left="320" w:top="456" w:right="499" w:bottom="1440" w:gutter="0" w:footer="0" w:header="0"/>
          <w:type w:val="continuous"/>
        </w:sectPr>
      </w:pPr>
    </w:p>
    <w:bookmarkStart w:id="110" w:name="page111"/>
    <w:bookmarkEnd w:id="1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384810</wp:posOffset>
            </wp:positionV>
            <wp:extent cx="1435100" cy="2374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435100" cy="23749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307975</wp:posOffset>
            </wp:positionV>
            <wp:extent cx="1902460" cy="5010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902460" cy="50101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GENERAL MOTORS COMPANY</w:t>
      </w:r>
    </w:p>
    <w:p>
      <w:pPr>
        <w:spacing w:after="0" w:line="13" w:lineRule="exact"/>
        <w:rPr>
          <w:sz w:val="20"/>
          <w:szCs w:val="20"/>
          <w:color w:val="auto"/>
        </w:rPr>
      </w:pPr>
    </w:p>
    <w:p>
      <w:pPr>
        <w:ind w:left="460" w:right="1380"/>
        <w:spacing w:after="0" w:line="239" w:lineRule="auto"/>
        <w:rPr>
          <w:sz w:val="20"/>
          <w:szCs w:val="20"/>
          <w:color w:val="auto"/>
        </w:rPr>
      </w:pPr>
      <w:r>
        <w:rPr>
          <w:rFonts w:ascii="Arial" w:cs="Arial" w:eastAsia="Arial" w:hAnsi="Arial"/>
          <w:sz w:val="14"/>
          <w:szCs w:val="14"/>
          <w:i w:val="1"/>
          <w:iCs w:val="1"/>
          <w:color w:val="auto"/>
        </w:rPr>
        <w:t>GENERAL MOTORS GLOBAL HEADQUARTERS MAIL CODE 482-C25-A36 300 RENAISSANCE CENTER</w:t>
      </w:r>
    </w:p>
    <w:p>
      <w:pPr>
        <w:ind w:left="460"/>
        <w:spacing w:after="0"/>
        <w:rPr>
          <w:sz w:val="20"/>
          <w:szCs w:val="20"/>
          <w:color w:val="auto"/>
        </w:rPr>
      </w:pPr>
      <w:r>
        <w:rPr>
          <w:rFonts w:ascii="Arial" w:cs="Arial" w:eastAsia="Arial" w:hAnsi="Arial"/>
          <w:sz w:val="14"/>
          <w:szCs w:val="14"/>
          <w:i w:val="1"/>
          <w:iCs w:val="1"/>
          <w:color w:val="auto"/>
        </w:rPr>
        <w:t>DETROIT, MI 48265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17" w:lineRule="exact"/>
        <w:rPr>
          <w:sz w:val="20"/>
          <w:szCs w:val="20"/>
          <w:color w:val="auto"/>
        </w:rPr>
      </w:pPr>
    </w:p>
    <w:p>
      <w:pPr>
        <w:jc w:val="both"/>
        <w:spacing w:after="0" w:line="242" w:lineRule="auto"/>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or scan the QR Barcode above</w:t>
      </w:r>
      <w:r>
        <w:rPr>
          <w:rFonts w:ascii="Arial" w:cs="Arial" w:eastAsia="Arial" w:hAnsi="Arial"/>
          <w:sz w:val="14"/>
          <w:szCs w:val="14"/>
          <w:i w:val="1"/>
          <w:iCs w:val="1"/>
          <w:color w:val="auto"/>
        </w:rPr>
        <w:t xml:space="preserve"> </w:t>
      </w:r>
      <w:r>
        <w:rPr>
          <w:rFonts w:ascii="Arial" w:cs="Arial" w:eastAsia="Arial" w:hAnsi="Arial"/>
          <w:sz w:val="14"/>
          <w:szCs w:val="14"/>
          <w:color w:val="auto"/>
        </w:rPr>
        <w:t>Use the internet to transmit your voting instructions and for electronic delivery of information up until 11:59 p.m. Eastern Time on Sunday, June 13, 2021. Have your proxy card in hand when you access the website and follow the instructions to obtain your records and to create an electronic voting instruction form.</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www.virtualshareholdermeeting.com/GM2021</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TELEPHONE - 1-800-690-6903</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Use any touch-tone telephone to transmit your voting instructions up until 11:59 p.m. Eastern Time on Sunday, June 13, 2021. Have your proxy card in hand when you call and then follow the instructions.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internet or telephone, do not mail this proxy card.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Mark, sign, and date this proxy card and promptly return it in the enclosed postage-paid envelope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340"/>
          </w:cols>
          <w:pgMar w:left="320" w:top="456" w:right="499" w:bottom="1440" w:gutter="0" w:footer="0" w:header="0"/>
          <w:type w:val="continuous"/>
        </w:sect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VOTE, MARK BLOCKS BELOW IN BLUE OR BLACK INK AS FOLLOWS:</w:t>
      </w:r>
    </w:p>
    <w:p>
      <w:pPr>
        <w:ind w:left="6560"/>
        <w:spacing w:after="0" w:line="230" w:lineRule="auto"/>
        <w:tabs>
          <w:tab w:leader="none" w:pos="8080" w:val="left"/>
        </w:tabs>
        <w:rPr>
          <w:sz w:val="20"/>
          <w:szCs w:val="20"/>
          <w:color w:val="auto"/>
        </w:rPr>
      </w:pPr>
      <w:r>
        <w:rPr>
          <w:rFonts w:ascii="Arial" w:cs="Arial" w:eastAsia="Arial" w:hAnsi="Arial"/>
          <w:sz w:val="14"/>
          <w:szCs w:val="14"/>
          <w:color w:val="auto"/>
        </w:rPr>
        <w:t>D50099-P53774</w:t>
      </w:r>
      <w:r>
        <w:rPr>
          <w:sz w:val="20"/>
          <w:szCs w:val="20"/>
          <w:color w:val="auto"/>
        </w:rPr>
        <w:tab/>
      </w:r>
      <w:r>
        <w:rPr>
          <w:rFonts w:ascii="Arial" w:cs="Arial" w:eastAsia="Arial" w:hAnsi="Arial"/>
          <w:sz w:val="14"/>
          <w:szCs w:val="14"/>
          <w:color w:val="auto"/>
        </w:rPr>
        <w:t>KEEP THIS PORTION FOR YOUR RECORDS</w:t>
      </w:r>
    </w:p>
    <w:p>
      <w:pPr>
        <w:spacing w:after="0" w:line="1" w:lineRule="exact"/>
        <w:rPr>
          <w:sz w:val="20"/>
          <w:szCs w:val="20"/>
          <w:color w:val="auto"/>
        </w:rPr>
      </w:pPr>
    </w:p>
    <w:p>
      <w:pPr>
        <w:ind w:left="160" w:right="3160"/>
        <w:spacing w:after="0" w:line="235" w:lineRule="auto"/>
        <w:rPr>
          <w:sz w:val="20"/>
          <w:szCs w:val="20"/>
          <w:color w:val="auto"/>
        </w:rPr>
      </w:pPr>
      <w:r>
        <w:rPr>
          <w:rFonts w:ascii="Arial" w:cs="Arial" w:eastAsia="Arial" w:hAnsi="Arial"/>
          <w:sz w:val="18"/>
          <w:szCs w:val="18"/>
          <w:color w:val="auto"/>
        </w:rPr>
        <w:t>— — — — — —— — — — — — — — — — — — — — — — — — — — — — — — — — — — — — — — — — — —— — — — — — —</w:t>
      </w:r>
    </w:p>
    <w:p>
      <w:pPr>
        <w:ind w:left="8060"/>
        <w:spacing w:after="0" w:line="233" w:lineRule="auto"/>
        <w:rPr>
          <w:sz w:val="20"/>
          <w:szCs w:val="20"/>
          <w:color w:val="auto"/>
        </w:rPr>
      </w:pPr>
      <w:r>
        <w:rPr>
          <w:rFonts w:ascii="Arial" w:cs="Arial" w:eastAsia="Arial" w:hAnsi="Arial"/>
          <w:sz w:val="14"/>
          <w:szCs w:val="14"/>
          <w:color w:val="auto"/>
        </w:rPr>
        <w:t>DETACH AND RETURN THIS PORTION ONLY</w:t>
      </w:r>
    </w:p>
    <w:p>
      <w:pPr>
        <w:jc w:val="center"/>
        <w:ind w:right="-159"/>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47625</wp:posOffset>
            </wp:positionV>
            <wp:extent cx="6929755" cy="4704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29755" cy="4704715"/>
                    </a:xfrm>
                    <a:prstGeom prst="rect">
                      <a:avLst/>
                    </a:prstGeom>
                    <a:noFill/>
                  </pic:spPr>
                </pic:pic>
              </a:graphicData>
            </a:graphic>
          </wp:anchor>
        </w:drawing>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GENERAL MOTORS COMPANY</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If you wish to vote in accordance with the Board of Directors’ recommendations, you need only sign, date, and return this proxy card.</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 xml:space="preserve">The Board of Directors recommends you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Board</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nominee listed in Item 1.</w:t>
      </w:r>
    </w:p>
    <w:p>
      <w:pPr>
        <w:sectPr>
          <w:pgSz w:w="11900" w:h="16838" w:orient="portrait"/>
          <w:cols w:equalWidth="0" w:num="1">
            <w:col w:w="11080"/>
          </w:cols>
          <w:pgMar w:left="320" w:top="456" w:right="499" w:bottom="1440" w:gutter="0" w:footer="0" w:header="0"/>
          <w:type w:val="continuous"/>
        </w:sectPr>
      </w:pPr>
    </w:p>
    <w:p>
      <w:pPr>
        <w:spacing w:after="0" w:line="93" w:lineRule="exact"/>
        <w:rPr>
          <w:sz w:val="20"/>
          <w:szCs w:val="20"/>
          <w:color w:val="auto"/>
        </w:rPr>
      </w:pPr>
    </w:p>
    <w:p>
      <w:pPr>
        <w:ind w:left="800" w:hanging="267"/>
        <w:spacing w:after="0"/>
        <w:tabs>
          <w:tab w:leader="none" w:pos="80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Nominees: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1a.  Mary T. Barra</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1b.  Wesley G. Bush</w:t>
      </w:r>
    </w:p>
    <w:p>
      <w:pPr>
        <w:spacing w:after="0" w:line="187" w:lineRule="exact"/>
        <w:rPr>
          <w:sz w:val="20"/>
          <w:szCs w:val="20"/>
          <w:color w:val="auto"/>
        </w:rPr>
      </w:pPr>
    </w:p>
    <w:p>
      <w:pPr>
        <w:ind w:left="780"/>
        <w:spacing w:after="0"/>
        <w:tabs>
          <w:tab w:leader="none" w:pos="1060" w:val="left"/>
        </w:tabs>
        <w:rPr>
          <w:sz w:val="20"/>
          <w:szCs w:val="20"/>
          <w:color w:val="auto"/>
        </w:rPr>
      </w:pPr>
      <w:r>
        <w:rPr>
          <w:rFonts w:ascii="Arial" w:cs="Arial" w:eastAsia="Arial" w:hAnsi="Arial"/>
          <w:sz w:val="14"/>
          <w:szCs w:val="14"/>
          <w:color w:val="auto"/>
        </w:rPr>
        <w:t>1c.</w:t>
        <w:tab/>
        <w:t>Linda R. Gooden</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1d.  Joseph Jimenez</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1e.  Jane L. Mendillo</w:t>
      </w:r>
    </w:p>
    <w:p>
      <w:pPr>
        <w:spacing w:after="0" w:line="187" w:lineRule="exact"/>
        <w:rPr>
          <w:sz w:val="20"/>
          <w:szCs w:val="20"/>
          <w:color w:val="auto"/>
        </w:rPr>
      </w:pPr>
    </w:p>
    <w:p>
      <w:pPr>
        <w:ind w:left="780"/>
        <w:spacing w:after="0"/>
        <w:tabs>
          <w:tab w:leader="none" w:pos="1060" w:val="left"/>
        </w:tabs>
        <w:rPr>
          <w:sz w:val="20"/>
          <w:szCs w:val="20"/>
          <w:color w:val="auto"/>
        </w:rPr>
      </w:pPr>
      <w:r>
        <w:rPr>
          <w:rFonts w:ascii="Arial" w:cs="Arial" w:eastAsia="Arial" w:hAnsi="Arial"/>
          <w:sz w:val="14"/>
          <w:szCs w:val="14"/>
          <w:color w:val="auto"/>
        </w:rPr>
        <w:t>1f.</w:t>
        <w:tab/>
        <w:t>Judith A. Miscik</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1g.  Patricia F. Russo</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1h.  Thomas M. Schoewe</w:t>
      </w:r>
    </w:p>
    <w:p>
      <w:pPr>
        <w:spacing w:after="0" w:line="187" w:lineRule="exact"/>
        <w:rPr>
          <w:sz w:val="20"/>
          <w:szCs w:val="20"/>
          <w:color w:val="auto"/>
        </w:rPr>
      </w:pPr>
    </w:p>
    <w:p>
      <w:pPr>
        <w:ind w:left="780"/>
        <w:spacing w:after="0"/>
        <w:tabs>
          <w:tab w:leader="none" w:pos="1060" w:val="left"/>
        </w:tabs>
        <w:rPr>
          <w:sz w:val="20"/>
          <w:szCs w:val="20"/>
          <w:color w:val="auto"/>
        </w:rPr>
      </w:pPr>
      <w:r>
        <w:rPr>
          <w:rFonts w:ascii="Arial" w:cs="Arial" w:eastAsia="Arial" w:hAnsi="Arial"/>
          <w:sz w:val="14"/>
          <w:szCs w:val="14"/>
          <w:color w:val="auto"/>
        </w:rPr>
        <w:t>1i.</w:t>
        <w:tab/>
        <w:t>Carol M. Stephenson</w:t>
      </w:r>
    </w:p>
    <w:p>
      <w:pPr>
        <w:spacing w:after="0" w:line="187" w:lineRule="exact"/>
        <w:rPr>
          <w:sz w:val="20"/>
          <w:szCs w:val="20"/>
          <w:color w:val="auto"/>
        </w:rPr>
      </w:pPr>
    </w:p>
    <w:p>
      <w:pPr>
        <w:ind w:left="780"/>
        <w:spacing w:after="0"/>
        <w:tabs>
          <w:tab w:leader="none" w:pos="1060" w:val="left"/>
        </w:tabs>
        <w:rPr>
          <w:sz w:val="20"/>
          <w:szCs w:val="20"/>
          <w:color w:val="auto"/>
        </w:rPr>
      </w:pPr>
      <w:r>
        <w:rPr>
          <w:rFonts w:ascii="Arial" w:cs="Arial" w:eastAsia="Arial" w:hAnsi="Arial"/>
          <w:sz w:val="14"/>
          <w:szCs w:val="14"/>
          <w:color w:val="auto"/>
        </w:rPr>
        <w:t>1j.</w:t>
        <w:tab/>
        <w:t>Mark A. Tatum</w:t>
      </w:r>
    </w:p>
    <w:p>
      <w:pPr>
        <w:spacing w:after="0" w:line="187" w:lineRule="exact"/>
        <w:rPr>
          <w:sz w:val="20"/>
          <w:szCs w:val="20"/>
          <w:color w:val="auto"/>
        </w:rPr>
      </w:pPr>
    </w:p>
    <w:p>
      <w:pPr>
        <w:ind w:left="780"/>
        <w:spacing w:after="0"/>
        <w:tabs>
          <w:tab w:leader="none" w:pos="1060" w:val="left"/>
        </w:tabs>
        <w:rPr>
          <w:sz w:val="20"/>
          <w:szCs w:val="20"/>
          <w:color w:val="auto"/>
        </w:rPr>
      </w:pPr>
      <w:r>
        <w:rPr>
          <w:rFonts w:ascii="Arial" w:cs="Arial" w:eastAsia="Arial" w:hAnsi="Arial"/>
          <w:sz w:val="14"/>
          <w:szCs w:val="14"/>
          <w:color w:val="auto"/>
        </w:rPr>
        <w:t>1k.</w:t>
        <w:tab/>
        <w:t>Devin N. Wenig</w:t>
      </w:r>
    </w:p>
    <w:p>
      <w:pPr>
        <w:spacing w:after="0" w:line="187" w:lineRule="exact"/>
        <w:rPr>
          <w:sz w:val="20"/>
          <w:szCs w:val="20"/>
          <w:color w:val="auto"/>
        </w:rPr>
      </w:pPr>
    </w:p>
    <w:p>
      <w:pPr>
        <w:jc w:val="both"/>
        <w:ind w:left="780"/>
        <w:spacing w:after="0"/>
        <w:tabs>
          <w:tab w:leader="none" w:pos="1060" w:val="left"/>
        </w:tabs>
        <w:rPr>
          <w:sz w:val="20"/>
          <w:szCs w:val="20"/>
          <w:color w:val="auto"/>
        </w:rPr>
      </w:pPr>
      <w:r>
        <w:rPr>
          <w:rFonts w:ascii="Arial" w:cs="Arial" w:eastAsia="Arial" w:hAnsi="Arial"/>
          <w:sz w:val="14"/>
          <w:szCs w:val="14"/>
          <w:color w:val="auto"/>
        </w:rPr>
        <w:t>1l.</w:t>
        <w:tab/>
        <w:t>Margaret C. Whitman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79"/>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8"/>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you vote FOR 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169"/>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Board Items 2 and 3.</w:t>
            </w:r>
          </w:p>
        </w:tc>
        <w:tc>
          <w:tcPr>
            <w:tcW w:w="3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7"/>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3680" w:type="dxa"/>
            <w:vAlign w:val="bottom"/>
            <w:gridSpan w:val="4"/>
          </w:tcPr>
          <w:p>
            <w:pPr>
              <w:ind w:left="140"/>
              <w:spacing w:after="0" w:line="196" w:lineRule="exact"/>
              <w:rPr>
                <w:sz w:val="20"/>
                <w:szCs w:val="20"/>
                <w:color w:val="auto"/>
              </w:rPr>
            </w:pPr>
            <w:r>
              <w:rPr>
                <w:rFonts w:ascii="Arial" w:cs="Arial" w:eastAsia="Arial" w:hAnsi="Arial"/>
                <w:sz w:val="14"/>
                <w:szCs w:val="14"/>
                <w:color w:val="auto"/>
              </w:rPr>
              <w:t xml:space="preserve">Advisory Approval of Named Executive Officer  </w:t>
            </w:r>
            <w:r>
              <w:rPr>
                <w:rFonts w:ascii="MS PGothic" w:cs="MS PGothic" w:eastAsia="MS PGothic" w:hAnsi="MS PGothic"/>
                <w:sz w:val="17"/>
                <w:szCs w:val="17"/>
                <w:color w:val="auto"/>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1"/>
        </w:trPr>
        <w:tc>
          <w:tcPr>
            <w:tcW w:w="240" w:type="dxa"/>
            <w:vAlign w:val="bottom"/>
          </w:tcPr>
          <w:p>
            <w:pPr>
              <w:spacing w:after="0"/>
              <w:rPr>
                <w:sz w:val="14"/>
                <w:szCs w:val="14"/>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color w:val="auto"/>
              </w:rPr>
              <w:t>Compensation</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3680" w:type="dxa"/>
            <w:vAlign w:val="bottom"/>
            <w:gridSpan w:val="4"/>
          </w:tcPr>
          <w:p>
            <w:pPr>
              <w:ind w:left="140"/>
              <w:spacing w:after="0" w:line="196" w:lineRule="exact"/>
              <w:rPr>
                <w:sz w:val="20"/>
                <w:szCs w:val="20"/>
                <w:color w:val="auto"/>
              </w:rPr>
            </w:pPr>
            <w:r>
              <w:rPr>
                <w:rFonts w:ascii="Arial" w:cs="Arial" w:eastAsia="Arial" w:hAnsi="Arial"/>
                <w:sz w:val="14"/>
                <w:szCs w:val="14"/>
                <w:color w:val="auto"/>
              </w:rPr>
              <w:t xml:space="preserve">Ratification of the Selection of Ernst &amp; Young LLP  </w:t>
            </w:r>
            <w:r>
              <w:rPr>
                <w:rFonts w:ascii="MS PGothic" w:cs="MS PGothic" w:eastAsia="MS PGothic" w:hAnsi="MS PGothic"/>
                <w:sz w:val="17"/>
                <w:szCs w:val="17"/>
                <w:color w:val="auto"/>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60"/>
        </w:trPr>
        <w:tc>
          <w:tcPr>
            <w:tcW w:w="240" w:type="dxa"/>
            <w:vAlign w:val="bottom"/>
          </w:tcPr>
          <w:p>
            <w:pPr>
              <w:spacing w:after="0"/>
              <w:rPr>
                <w:sz w:val="13"/>
                <w:szCs w:val="13"/>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color w:val="auto"/>
              </w:rPr>
              <w:t>as the Company’s Independent Registered Public</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1"/>
        </w:trPr>
        <w:tc>
          <w:tcPr>
            <w:tcW w:w="240" w:type="dxa"/>
            <w:vAlign w:val="bottom"/>
          </w:tcPr>
          <w:p>
            <w:pPr>
              <w:spacing w:after="0"/>
              <w:rPr>
                <w:sz w:val="14"/>
                <w:szCs w:val="14"/>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color w:val="auto"/>
              </w:rPr>
              <w:t>Accounting Firm for 2021</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9"/>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160"/>
        </w:trPr>
        <w:tc>
          <w:tcPr>
            <w:tcW w:w="3920" w:type="dxa"/>
            <w:vAlign w:val="bottom"/>
            <w:gridSpan w:val="5"/>
          </w:tcPr>
          <w:p>
            <w:pPr>
              <w:spacing w:after="0"/>
              <w:rPr>
                <w:sz w:val="20"/>
                <w:szCs w:val="20"/>
                <w:color w:val="auto"/>
              </w:rPr>
            </w:pPr>
            <w:r>
              <w:rPr>
                <w:rFonts w:ascii="Arial" w:cs="Arial" w:eastAsia="Arial" w:hAnsi="Arial"/>
                <w:sz w:val="14"/>
                <w:szCs w:val="14"/>
                <w:b w:val="1"/>
                <w:bCs w:val="1"/>
                <w:color w:val="auto"/>
              </w:rPr>
              <w:t>AGAINST shareholder Items 4 and 5.</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6"/>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3680" w:type="dxa"/>
            <w:vAlign w:val="bottom"/>
            <w:gridSpan w:val="4"/>
          </w:tcPr>
          <w:p>
            <w:pPr>
              <w:ind w:left="140"/>
              <w:spacing w:after="0" w:line="196" w:lineRule="exact"/>
              <w:rPr>
                <w:sz w:val="20"/>
                <w:szCs w:val="20"/>
                <w:color w:val="auto"/>
              </w:rPr>
            </w:pPr>
            <w:r>
              <w:rPr>
                <w:rFonts w:ascii="Arial" w:cs="Arial" w:eastAsia="Arial" w:hAnsi="Arial"/>
                <w:sz w:val="14"/>
                <w:szCs w:val="14"/>
                <w:color w:val="auto"/>
              </w:rPr>
              <w:t xml:space="preserve">Shareholder  Proposal  Regarding  Shareholder  </w:t>
            </w:r>
            <w:r>
              <w:rPr>
                <w:rFonts w:ascii="MS PGothic" w:cs="MS PGothic" w:eastAsia="MS PGothic" w:hAnsi="MS PGothic"/>
                <w:sz w:val="17"/>
                <w:szCs w:val="17"/>
                <w:color w:val="auto"/>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1"/>
        </w:trPr>
        <w:tc>
          <w:tcPr>
            <w:tcW w:w="240" w:type="dxa"/>
            <w:vAlign w:val="bottom"/>
          </w:tcPr>
          <w:p>
            <w:pPr>
              <w:spacing w:after="0"/>
              <w:rPr>
                <w:sz w:val="14"/>
                <w:szCs w:val="14"/>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color w:val="auto"/>
              </w:rPr>
              <w:t>Written Consent</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4"/>
                <w:szCs w:val="14"/>
                <w:color w:val="auto"/>
              </w:rPr>
              <w:t>5.</w:t>
            </w:r>
          </w:p>
        </w:tc>
        <w:tc>
          <w:tcPr>
            <w:tcW w:w="3680" w:type="dxa"/>
            <w:vAlign w:val="bottom"/>
            <w:gridSpan w:val="4"/>
          </w:tcPr>
          <w:p>
            <w:pPr>
              <w:ind w:left="140"/>
              <w:spacing w:after="0" w:line="196" w:lineRule="exact"/>
              <w:rPr>
                <w:sz w:val="20"/>
                <w:szCs w:val="20"/>
                <w:color w:val="auto"/>
              </w:rPr>
            </w:pPr>
            <w:r>
              <w:rPr>
                <w:rFonts w:ascii="Arial" w:cs="Arial" w:eastAsia="Arial" w:hAnsi="Arial"/>
                <w:sz w:val="14"/>
                <w:szCs w:val="14"/>
                <w:color w:val="auto"/>
              </w:rPr>
              <w:t xml:space="preserve">Shareholder  Proposal  Regarding  a  Report  on  </w:t>
            </w:r>
            <w:r>
              <w:rPr>
                <w:rFonts w:ascii="MS PGothic" w:cs="MS PGothic" w:eastAsia="MS PGothic" w:hAnsi="MS PGothic"/>
                <w:sz w:val="17"/>
                <w:szCs w:val="17"/>
                <w:color w:val="auto"/>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60"/>
        </w:trPr>
        <w:tc>
          <w:tcPr>
            <w:tcW w:w="240" w:type="dxa"/>
            <w:vAlign w:val="bottom"/>
          </w:tcPr>
          <w:p>
            <w:pPr>
              <w:spacing w:after="0"/>
              <w:rPr>
                <w:sz w:val="13"/>
                <w:szCs w:val="13"/>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color w:val="auto"/>
              </w:rPr>
              <w:t>Greenhouse  Gas  Emissions  Targets  as  a</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r>
    </w:tbl>
    <w:p>
      <w:pPr>
        <w:ind w:left="380"/>
        <w:spacing w:after="0"/>
        <w:rPr>
          <w:sz w:val="20"/>
          <w:szCs w:val="20"/>
          <w:color w:val="auto"/>
        </w:rPr>
      </w:pPr>
      <w:r>
        <w:rPr>
          <w:rFonts w:ascii="Arial" w:cs="Arial" w:eastAsia="Arial" w:hAnsi="Arial"/>
          <w:sz w:val="14"/>
          <w:szCs w:val="14"/>
          <w:color w:val="auto"/>
        </w:rPr>
        <w:t>Performance Element of Executive Compensation</w:t>
      </w:r>
    </w:p>
    <w:p>
      <w:pPr>
        <w:spacing w:after="0" w:line="1604" w:lineRule="exact"/>
        <w:rPr>
          <w:sz w:val="20"/>
          <w:szCs w:val="20"/>
          <w:color w:val="auto"/>
        </w:rPr>
      </w:pPr>
    </w:p>
    <w:p>
      <w:pPr>
        <w:sectPr>
          <w:pgSz w:w="11900" w:h="16838" w:orient="portrait"/>
          <w:cols w:equalWidth="0" w:num="3">
            <w:col w:w="3200" w:space="720"/>
            <w:col w:w="1480" w:space="340"/>
            <w:col w:w="5340"/>
          </w:cols>
          <w:pgMar w:left="320" w:top="456" w:right="499" w:bottom="1440" w:gutter="0" w:footer="0" w:header="0"/>
          <w:type w:val="continuous"/>
        </w:sectPr>
      </w:pPr>
    </w:p>
    <w:p>
      <w:pPr>
        <w:spacing w:after="0" w:line="210" w:lineRule="exact"/>
        <w:rPr>
          <w:sz w:val="20"/>
          <w:szCs w:val="20"/>
          <w:color w:val="auto"/>
        </w:rPr>
      </w:pPr>
    </w:p>
    <w:p>
      <w:pPr>
        <w:jc w:val="both"/>
        <w:ind w:left="520" w:right="260"/>
        <w:spacing w:after="0" w:line="260"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name(s) appear(s) hereon. When shares are held jointly, each holder should sign. When signing as attorney, executor,</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administrator, guardian, trustee, custodian, or in any other representative capacity, give full title as such. Corporations should provide the full name of corporation and name and title of the authorized officer signing the proxy card.</w:t>
      </w:r>
    </w:p>
    <w:p>
      <w:pPr>
        <w:sectPr>
          <w:pgSz w:w="11900" w:h="16838" w:orient="portrait"/>
          <w:cols w:equalWidth="0" w:num="1">
            <w:col w:w="11080"/>
          </w:cols>
          <w:pgMar w:left="320" w:top="456" w:right="49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620"/>
        <w:spacing w:after="0"/>
        <w:tabs>
          <w:tab w:leader="none" w:pos="3340" w:val="left"/>
          <w:tab w:leader="none" w:pos="6040" w:val="left"/>
          <w:tab w:leader="none" w:pos="8600" w:val="left"/>
        </w:tabs>
        <w:rPr>
          <w:sz w:val="20"/>
          <w:szCs w:val="20"/>
          <w:color w:val="auto"/>
        </w:rPr>
      </w:pPr>
      <w:r>
        <w:rPr>
          <w:rFonts w:ascii="Arial" w:cs="Arial" w:eastAsia="Arial" w:hAnsi="Arial"/>
          <w:sz w:val="14"/>
          <w:szCs w:val="14"/>
          <w:color w:val="auto"/>
        </w:rPr>
        <w:t>Signature [PLEASE SIGN WITHIN BOX]</w:t>
        <w:tab/>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080"/>
          </w:cols>
          <w:pgMar w:left="320" w:top="456" w:right="49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940" w:right="880"/>
        <w:spacing w:after="0" w:line="239"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Annual Meeting: </w:t>
      </w:r>
      <w:r>
        <w:rPr>
          <w:rFonts w:ascii="Arial" w:cs="Arial" w:eastAsia="Arial" w:hAnsi="Arial"/>
          <w:sz w:val="20"/>
          <w:szCs w:val="20"/>
          <w:color w:val="auto"/>
        </w:rPr>
        <w:t xml:space="preserve">The Proxy Statement, Notice of 2021 Annual Meeting of Shareholders and 2020 Annual Report are available at </w:t>
      </w:r>
      <w:r>
        <w:rPr>
          <w:rFonts w:ascii="Arial" w:cs="Arial" w:eastAsia="Arial" w:hAnsi="Arial"/>
          <w:sz w:val="20"/>
          <w:szCs w:val="20"/>
          <w:i w:val="1"/>
          <w:iCs w:val="1"/>
          <w:color w:val="auto"/>
        </w:rPr>
        <w:t>www.proxyvote</w:t>
      </w:r>
      <w:r>
        <w:rPr>
          <w:rFonts w:ascii="Arial" w:cs="Arial" w:eastAsia="Arial" w:hAnsi="Arial"/>
          <w:sz w:val="20"/>
          <w:szCs w:val="20"/>
          <w:color w:val="auto"/>
        </w:rPr>
        <w:t>.</w:t>
      </w:r>
      <w:r>
        <w:rPr>
          <w:rFonts w:ascii="Arial" w:cs="Arial" w:eastAsia="Arial" w:hAnsi="Arial"/>
          <w:sz w:val="20"/>
          <w:szCs w:val="20"/>
          <w:i w:val="1"/>
          <w:iCs w:val="1"/>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201295</wp:posOffset>
            </wp:positionV>
            <wp:extent cx="3329305" cy="17411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29305" cy="1741170"/>
                    </a:xfrm>
                    <a:prstGeom prst="rect">
                      <a:avLst/>
                    </a:prstGeom>
                    <a:noFill/>
                  </pic:spPr>
                </pic:pic>
              </a:graphicData>
            </a:graphic>
          </wp:anchor>
        </w:drawing>
      </w:r>
    </w:p>
    <w:p>
      <w:pPr>
        <w:spacing w:after="0" w:line="349" w:lineRule="exact"/>
        <w:rPr>
          <w:sz w:val="20"/>
          <w:szCs w:val="20"/>
          <w:color w:val="auto"/>
        </w:rPr>
      </w:pPr>
    </w:p>
    <w:p>
      <w:pPr>
        <w:ind w:left="474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56" w:lineRule="exact"/>
        <w:rPr>
          <w:sz w:val="20"/>
          <w:szCs w:val="20"/>
          <w:color w:val="auto"/>
        </w:rPr>
      </w:pPr>
    </w:p>
    <w:p>
      <w:pPr>
        <w:ind w:left="3160"/>
        <w:spacing w:after="0"/>
        <w:tabs>
          <w:tab w:leader="none" w:pos="502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7"/>
          <w:szCs w:val="17"/>
          <w:color w:val="auto"/>
        </w:rPr>
        <w:t>Annual Meeting</w:t>
      </w:r>
    </w:p>
    <w:p>
      <w:pPr>
        <w:spacing w:after="0" w:line="9" w:lineRule="exact"/>
        <w:rPr>
          <w:sz w:val="20"/>
          <w:szCs w:val="20"/>
          <w:color w:val="auto"/>
        </w:rPr>
      </w:pPr>
    </w:p>
    <w:p>
      <w:pPr>
        <w:ind w:left="3160"/>
        <w:spacing w:after="0"/>
        <w:tabs>
          <w:tab w:leader="none" w:pos="508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7"/>
          <w:szCs w:val="17"/>
          <w:color w:val="auto"/>
        </w:rPr>
        <w:t>April 15, 2021</w:t>
      </w:r>
    </w:p>
    <w:p>
      <w:pPr>
        <w:ind w:left="3160"/>
        <w:spacing w:after="0"/>
        <w:tabs>
          <w:tab w:leader="none" w:pos="3780" w:val="left"/>
          <w:tab w:leader="none" w:pos="5320" w:val="left"/>
          <w:tab w:leader="none" w:pos="59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14, 2021</w:t>
      </w:r>
      <w:r>
        <w:rPr>
          <w:sz w:val="20"/>
          <w:szCs w:val="20"/>
          <w:color w:val="auto"/>
        </w:rPr>
        <w:tab/>
      </w:r>
      <w:r>
        <w:rPr>
          <w:rFonts w:ascii="Arial" w:cs="Arial" w:eastAsia="Arial" w:hAnsi="Arial"/>
          <w:sz w:val="18"/>
          <w:szCs w:val="18"/>
          <w:b w:val="1"/>
          <w:bCs w:val="1"/>
          <w:color w:val="auto"/>
        </w:rPr>
        <w:t>Time:</w:t>
      </w:r>
      <w:r>
        <w:rPr>
          <w:sz w:val="20"/>
          <w:szCs w:val="20"/>
          <w:color w:val="auto"/>
        </w:rPr>
        <w:tab/>
      </w:r>
      <w:r>
        <w:rPr>
          <w:rFonts w:ascii="Arial" w:cs="Arial" w:eastAsia="Arial" w:hAnsi="Arial"/>
          <w:sz w:val="17"/>
          <w:szCs w:val="17"/>
          <w:color w:val="auto"/>
        </w:rPr>
        <w:t>1:00 p.m. Eastern Time</w:t>
      </w:r>
    </w:p>
    <w:p>
      <w:pPr>
        <w:jc w:val="both"/>
        <w:ind w:left="3160"/>
        <w:spacing w:after="0" w:line="233" w:lineRule="auto"/>
        <w:tabs>
          <w:tab w:leader="none" w:pos="42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Meeting live via the internet only - please visit</w:t>
      </w:r>
    </w:p>
    <w:p>
      <w:pPr>
        <w:jc w:val="right"/>
        <w:ind w:right="2800"/>
        <w:spacing w:after="0"/>
        <w:rPr>
          <w:sz w:val="20"/>
          <w:szCs w:val="20"/>
          <w:color w:val="auto"/>
        </w:rPr>
      </w:pPr>
      <w:r>
        <w:rPr>
          <w:rFonts w:ascii="Arial" w:cs="Arial" w:eastAsia="Arial" w:hAnsi="Arial"/>
          <w:sz w:val="18"/>
          <w:szCs w:val="18"/>
          <w:color w:val="auto"/>
        </w:rPr>
        <w:t>www.virtualshareholdermeeting.com/GM2021.</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The company will be hosting the meeting live via the internet</w:t>
      </w:r>
    </w:p>
    <w:p>
      <w:pPr>
        <w:ind w:left="3160"/>
        <w:spacing w:after="0"/>
        <w:rPr>
          <w:sz w:val="20"/>
          <w:szCs w:val="20"/>
          <w:color w:val="auto"/>
        </w:rPr>
      </w:pPr>
      <w:r>
        <w:rPr>
          <w:rFonts w:ascii="Arial" w:cs="Arial" w:eastAsia="Arial" w:hAnsi="Arial"/>
          <w:sz w:val="17"/>
          <w:szCs w:val="17"/>
          <w:color w:val="auto"/>
        </w:rPr>
        <w:t>only this year. To attend the meeting via the internet please visit</w:t>
      </w:r>
    </w:p>
    <w:p>
      <w:pPr>
        <w:ind w:left="3160"/>
        <w:spacing w:after="0" w:line="238" w:lineRule="auto"/>
        <w:rPr>
          <w:sz w:val="20"/>
          <w:szCs w:val="20"/>
          <w:color w:val="auto"/>
        </w:rPr>
      </w:pPr>
      <w:r>
        <w:rPr>
          <w:rFonts w:ascii="Arial" w:cs="Arial" w:eastAsia="Arial" w:hAnsi="Arial"/>
          <w:sz w:val="18"/>
          <w:szCs w:val="18"/>
          <w:color w:val="auto"/>
        </w:rPr>
        <w:t>www.virtualshareholdermeeting.com/GM2021 and be sure to</w:t>
      </w:r>
    </w:p>
    <w:p>
      <w:pPr>
        <w:ind w:left="3160"/>
        <w:spacing w:after="0" w:line="234" w:lineRule="auto"/>
        <w:rPr>
          <w:sz w:val="20"/>
          <w:szCs w:val="20"/>
          <w:color w:val="auto"/>
        </w:rPr>
      </w:pPr>
      <w:r>
        <w:rPr>
          <w:rFonts w:ascii="Arial" w:cs="Arial" w:eastAsia="Arial" w:hAnsi="Arial"/>
          <w:sz w:val="18"/>
          <w:szCs w:val="18"/>
          <w:color w:val="auto"/>
        </w:rPr>
        <w:t>have the information that is printed in the box marked by the</w:t>
      </w:r>
    </w:p>
    <w:p>
      <w:pPr>
        <w:ind w:left="316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503045" cy="16954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503045" cy="169545"/>
                    </a:xfrm>
                    <a:prstGeom prst="rect">
                      <a:avLst/>
                    </a:prstGeom>
                    <a:noFill/>
                    <a:ln>
                      <a:noFill/>
                    </a:ln>
                  </pic:spPr>
                </pic:pic>
              </a:graphicData>
            </a:graphic>
          </wp:inline>
        </w:drawing>
      </w:r>
      <w:r>
        <w:rPr>
          <w:rFonts w:ascii="Arial" w:cs="Arial" w:eastAsia="Arial" w:hAnsi="Arial"/>
          <w:sz w:val="18"/>
          <w:szCs w:val="18"/>
          <w:color w:val="auto"/>
        </w:rPr>
        <w:t xml:space="preserve"> (located on the reverse</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side of this proxy card).</w:t>
      </w:r>
    </w:p>
    <w:p>
      <w:pPr>
        <w:spacing w:after="0" w:line="200" w:lineRule="exact"/>
        <w:rPr>
          <w:sz w:val="20"/>
          <w:szCs w:val="20"/>
          <w:color w:val="auto"/>
        </w:rPr>
      </w:pPr>
    </w:p>
    <w:p>
      <w:pPr>
        <w:spacing w:after="0" w:line="221"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PLEASE VOTE TODAY!</w:t>
      </w:r>
    </w:p>
    <w:p>
      <w:pPr>
        <w:spacing w:after="0" w:line="37"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SEE REVERSE SIDE FOR THREE EASY WAYS TO VOTE</w:t>
      </w:r>
    </w:p>
    <w:p>
      <w:pPr>
        <w:spacing w:after="0" w:line="200" w:lineRule="exact"/>
        <w:rPr>
          <w:sz w:val="20"/>
          <w:szCs w:val="20"/>
          <w:color w:val="auto"/>
        </w:rPr>
      </w:pPr>
    </w:p>
    <w:p>
      <w:pPr>
        <w:spacing w:after="0" w:line="232" w:lineRule="exact"/>
        <w:rPr>
          <w:sz w:val="20"/>
          <w:szCs w:val="20"/>
          <w:color w:val="auto"/>
        </w:rPr>
      </w:pPr>
    </w:p>
    <w:p>
      <w:pPr>
        <w:ind w:left="160" w:right="2660"/>
        <w:spacing w:after="0" w:line="239" w:lineRule="auto"/>
        <w:rPr>
          <w:sz w:val="20"/>
          <w:szCs w:val="20"/>
          <w:color w:val="auto"/>
        </w:rPr>
      </w:pPr>
      <w:r>
        <w:rPr>
          <w:rFonts w:ascii="Arial" w:cs="Arial" w:eastAsia="Arial" w:hAnsi="Arial"/>
          <w:sz w:val="18"/>
          <w:szCs w:val="18"/>
          <w:color w:val="auto"/>
        </w:rPr>
        <w:t>— — — — — — — — — — — — — — — — — — — — — — — — — — — — — — — — — — — — — — — — — — — — — — — — —</w:t>
      </w:r>
    </w:p>
    <w:p>
      <w:pPr>
        <w:spacing w:after="0" w:line="29"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D50100-P53774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17780</wp:posOffset>
            </wp:positionV>
            <wp:extent cx="6938010" cy="39147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38010" cy="391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225" w:lineRule="exact"/>
        <w:rPr>
          <w:sz w:val="20"/>
          <w:szCs w:val="20"/>
          <w:color w:val="auto"/>
        </w:rPr>
      </w:pPr>
    </w:p>
    <w:p>
      <w:pPr>
        <w:jc w:val="both"/>
        <w:ind w:left="620"/>
        <w:spacing w:after="0" w:line="235" w:lineRule="auto"/>
        <w:rPr>
          <w:sz w:val="20"/>
          <w:szCs w:val="20"/>
          <w:color w:val="auto"/>
        </w:rPr>
      </w:pPr>
      <w:r>
        <w:rPr>
          <w:rFonts w:ascii="Arial" w:cs="Arial" w:eastAsia="Arial" w:hAnsi="Arial"/>
          <w:sz w:val="18"/>
          <w:szCs w:val="18"/>
          <w:color w:val="auto"/>
        </w:rPr>
        <w:t>The undersigned shareholder(s) of General Motors Company authorize(s) Mary T. Barra, Craig B. Glidden, and Ann Cathcart Chaplin, and each of them, as proxies with full power of substitution, to vote the common stock of the undersigned in the manner specified on this proxy card and in their discretion upon all other matters (including on the election of any nominees for director that are not identified on this proxy) that may come before the 2021 Annual Meeting of Shareholders of General Motors Company, to be held at 1:00 p.m. Eastern Time on June 14, 2021, or any adjournment or postponement thereof. The undersigned hereby revokes all proxies previously given.</w:t>
      </w:r>
    </w:p>
    <w:p>
      <w:pPr>
        <w:spacing w:after="0" w:line="180" w:lineRule="exact"/>
        <w:rPr>
          <w:sz w:val="20"/>
          <w:szCs w:val="20"/>
          <w:color w:val="auto"/>
        </w:rPr>
      </w:pPr>
    </w:p>
    <w:p>
      <w:pPr>
        <w:jc w:val="both"/>
        <w:ind w:left="620"/>
        <w:spacing w:after="0" w:line="249" w:lineRule="auto"/>
        <w:rPr>
          <w:sz w:val="20"/>
          <w:szCs w:val="20"/>
          <w:color w:val="auto"/>
        </w:rPr>
      </w:pPr>
      <w:r>
        <w:rPr>
          <w:rFonts w:ascii="Arial" w:cs="Arial" w:eastAsia="Arial" w:hAnsi="Arial"/>
          <w:sz w:val="18"/>
          <w:szCs w:val="18"/>
          <w:b w:val="1"/>
          <w:bCs w:val="1"/>
          <w:color w:val="auto"/>
        </w:rPr>
        <w:t xml:space="preserve">On matters for which you do not specify a choice, the shares will be voted in accordance with the recommendation of the Board of Directors; therefore, if no direction is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General Motors Company’s director nominees in Item 1;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Items 2 and 3; and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Items 4 and 5.</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YOUR VOTE IS VERY IMPORTANT - PLEASE VOTE TODAY</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Please see the reverse side for internet, mail, and telephone voting instructions.</w:t>
      </w:r>
    </w:p>
    <w:p>
      <w:pPr>
        <w:spacing w:after="0" w:line="186" w:lineRule="exact"/>
        <w:rPr>
          <w:sz w:val="20"/>
          <w:szCs w:val="20"/>
          <w:color w:val="auto"/>
        </w:rPr>
      </w:pPr>
    </w:p>
    <w:p>
      <w:pPr>
        <w:ind w:left="2720"/>
        <w:spacing w:after="0"/>
        <w:rPr>
          <w:sz w:val="20"/>
          <w:szCs w:val="20"/>
          <w:color w:val="auto"/>
        </w:rPr>
      </w:pPr>
      <w:r>
        <w:rPr>
          <w:rFonts w:ascii="Arial" w:cs="Arial" w:eastAsia="Arial" w:hAnsi="Arial"/>
          <w:sz w:val="18"/>
          <w:szCs w:val="18"/>
          <w:b w:val="1"/>
          <w:bCs w:val="1"/>
          <w:i w:val="1"/>
          <w:iCs w:val="1"/>
          <w:color w:val="auto"/>
        </w:rPr>
        <w:t>(Continued and to be marked, signed, and dated on the reverse side)</w:t>
      </w:r>
    </w:p>
    <w:sectPr>
      <w:pgSz w:w="11900" w:h="16838" w:orient="portrait"/>
      <w:cols w:equalWidth="0" w:num="1">
        <w:col w:w="10620"/>
      </w:cols>
      <w:pgMar w:left="320" w:top="456"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1."/>
      <w:numFmt w:val="upperLetter"/>
      <w:start w:val="23"/>
    </w:lvl>
  </w:abstractNum>
  <w:abstractNum w:abstractNumId="4">
    <w:nsid w:val="74DE0EE3"/>
    <w:multiLevelType w:val="hybridMultilevel"/>
    <w:lvl w:ilvl="0">
      <w:lvlJc w:val="left"/>
      <w:lvlText w:val="u"/>
      <w:numFmt w:val="bullet"/>
      <w:start w:val="1"/>
    </w:lvl>
  </w:abstractNum>
  <w:abstractNum w:abstractNumId="5">
    <w:nsid w:val="68EBC550"/>
    <w:multiLevelType w:val="hybridMultilevel"/>
    <w:lvl w:ilvl="0">
      <w:lvlJc w:val="left"/>
      <w:lvlText w:val="(%1)"/>
      <w:numFmt w:val="decimal"/>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1)"/>
      <w:numFmt w:val="decimal"/>
      <w:start w:val="2"/>
    </w:lvl>
  </w:abstractNum>
  <w:abstractNum w:abstractNumId="8">
    <w:nsid w:val="4A2AC315"/>
    <w:multiLevelType w:val="hybridMultilevel"/>
    <w:lvl w:ilvl="0">
      <w:lvlJc w:val="left"/>
      <w:lvlText w:val="(%1)"/>
      <w:numFmt w:val="lowerLetter"/>
      <w:start w:val="1"/>
    </w:lvl>
  </w:abstractNum>
  <w:abstractNum w:abstractNumId="9">
    <w:nsid w:val="39EE015C"/>
    <w:multiLevelType w:val="hybridMultilevel"/>
    <w:lvl w:ilvl="0">
      <w:lvlJc w:val="left"/>
      <w:lvlText w:val="u"/>
      <w:numFmt w:val="bullet"/>
      <w:start w:val="1"/>
    </w:lvl>
  </w:abstractNum>
  <w:abstractNum w:abstractNumId="10">
    <w:nsid w:val="57FC4FBB"/>
    <w:multiLevelType w:val="hybridMultilevel"/>
    <w:lvl w:ilvl="0">
      <w:lvlJc w:val="left"/>
      <w:lvlText w:val="u"/>
      <w:numFmt w:val="bullet"/>
      <w:start w:val="1"/>
    </w:lvl>
  </w:abstractNum>
  <w:abstractNum w:abstractNumId="11">
    <w:nsid w:val="CC1016F"/>
    <w:multiLevelType w:val="hybridMultilevel"/>
    <w:lvl w:ilvl="0">
      <w:lvlJc w:val="left"/>
      <w:lvlText w:val="u"/>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u"/>
      <w:numFmt w:val="bullet"/>
      <w:start w:val="1"/>
    </w:lvl>
  </w:abstractNum>
  <w:abstractNum w:abstractNumId="15">
    <w:nsid w:val="7F01579B"/>
    <w:multiLevelType w:val="hybridMultilevel"/>
    <w:lvl w:ilvl="0">
      <w:lvlJc w:val="left"/>
      <w:lvlText w:val="u"/>
      <w:numFmt w:val="bullet"/>
      <w:start w:val="1"/>
    </w:lvl>
  </w:abstractNum>
  <w:abstractNum w:abstractNumId="16">
    <w:nsid w:val="49DA307D"/>
    <w:multiLevelType w:val="hybridMultilevel"/>
    <w:lvl w:ilvl="0">
      <w:lvlJc w:val="left"/>
      <w:lvlText w:val="u"/>
      <w:numFmt w:val="bullet"/>
      <w:start w:val="1"/>
    </w:lvl>
  </w:abstractNum>
  <w:abstractNum w:abstractNumId="17">
    <w:nsid w:val="7055A5F5"/>
    <w:multiLevelType w:val="hybridMultilevel"/>
    <w:lvl w:ilvl="0">
      <w:lvlJc w:val="left"/>
      <w:lvlText w:val="u"/>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u"/>
      <w:numFmt w:val="bullet"/>
      <w:start w:val="1"/>
    </w:lvl>
  </w:abstractNum>
  <w:abstractNum w:abstractNumId="24">
    <w:nsid w:val="6FC75AF8"/>
    <w:multiLevelType w:val="hybridMultilevel"/>
    <w:lvl w:ilvl="0">
      <w:lvlJc w:val="left"/>
      <w:lvlText w:val="u"/>
      <w:numFmt w:val="bullet"/>
      <w:start w:val="1"/>
    </w:lvl>
  </w:abstractNum>
  <w:abstractNum w:abstractNumId="25">
    <w:nsid w:val="6A5F7029"/>
    <w:multiLevelType w:val="hybridMultilevel"/>
    <w:lvl w:ilvl="0">
      <w:lvlJc w:val="left"/>
      <w:lvlText w:val="u"/>
      <w:numFmt w:val="bullet"/>
      <w:start w:val="1"/>
    </w:lvl>
  </w:abstractNum>
  <w:abstractNum w:abstractNumId="26">
    <w:nsid w:val="7D5E18F8"/>
    <w:multiLevelType w:val="hybridMultilevel"/>
    <w:lvl w:ilvl="0">
      <w:lvlJc w:val="left"/>
      <w:lvlText w:val="u"/>
      <w:numFmt w:val="bullet"/>
      <w:start w:val="1"/>
    </w:lvl>
  </w:abstractNum>
  <w:abstractNum w:abstractNumId="27">
    <w:nsid w:val="5F3534A4"/>
    <w:multiLevelType w:val="hybridMultilevel"/>
    <w:lvl w:ilvl="0">
      <w:lvlJc w:val="left"/>
      <w:lvlText w:val="u"/>
      <w:numFmt w:val="bullet"/>
      <w:start w:val="1"/>
    </w:lvl>
  </w:abstractNum>
  <w:abstractNum w:abstractNumId="28">
    <w:nsid w:val="73A1821B"/>
    <w:multiLevelType w:val="hybridMultilevel"/>
    <w:lvl w:ilvl="0">
      <w:lvlJc w:val="left"/>
      <w:lvlText w:val="u"/>
      <w:numFmt w:val="bullet"/>
      <w:start w:val="1"/>
    </w:lvl>
  </w:abstractNum>
  <w:abstractNum w:abstractNumId="29">
    <w:nsid w:val="7DE67713"/>
    <w:multiLevelType w:val="hybridMultilevel"/>
    <w:lvl w:ilvl="0">
      <w:lvlJc w:val="left"/>
      <w:lvlText w:val="u"/>
      <w:numFmt w:val="bullet"/>
      <w:start w:val="1"/>
    </w:lvl>
  </w:abstractNum>
  <w:abstractNum w:abstractNumId="30">
    <w:nsid w:val="555C55B5"/>
    <w:multiLevelType w:val="hybridMultilevel"/>
    <w:lvl w:ilvl="0">
      <w:lvlJc w:val="left"/>
      <w:lvlText w:val="u"/>
      <w:numFmt w:val="bullet"/>
      <w:start w:val="1"/>
    </w:lvl>
  </w:abstractNum>
  <w:abstractNum w:abstractNumId="31">
    <w:nsid w:val="3FA62ACA"/>
    <w:multiLevelType w:val="hybridMultilevel"/>
    <w:lvl w:ilvl="0">
      <w:lvlJc w:val="left"/>
      <w:lvlText w:val="u"/>
      <w:numFmt w:val="bullet"/>
      <w:start w:val="1"/>
    </w:lvl>
  </w:abstractNum>
  <w:abstractNum w:abstractNumId="32">
    <w:nsid w:val="14FCE74E"/>
    <w:multiLevelType w:val="hybridMultilevel"/>
    <w:lvl w:ilvl="0">
      <w:lvlJc w:val="left"/>
      <w:lvlText w:val="u"/>
      <w:numFmt w:val="bullet"/>
      <w:start w:val="1"/>
    </w:lvl>
  </w:abstractNum>
  <w:abstractNum w:abstractNumId="33">
    <w:nsid w:val="6A3DD3E8"/>
    <w:multiLevelType w:val="hybridMultilevel"/>
    <w:lvl w:ilvl="0">
      <w:lvlJc w:val="left"/>
      <w:lvlText w:val="u"/>
      <w:numFmt w:val="bullet"/>
      <w:start w:val="1"/>
    </w:lvl>
  </w:abstractNum>
  <w:abstractNum w:abstractNumId="34">
    <w:nsid w:val="71C91298"/>
    <w:multiLevelType w:val="hybridMultilevel"/>
    <w:lvl w:ilvl="0">
      <w:lvlJc w:val="left"/>
      <w:lvlText w:val="u"/>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u"/>
      <w:numFmt w:val="bullet"/>
      <w:start w:val="1"/>
    </w:lvl>
  </w:abstractNum>
  <w:abstractNum w:abstractNumId="37">
    <w:nsid w:val="1FBFE8E0"/>
    <w:multiLevelType w:val="hybridMultilevel"/>
    <w:lvl w:ilvl="0">
      <w:lvlJc w:val="left"/>
      <w:lvlText w:val="u"/>
      <w:numFmt w:val="bullet"/>
      <w:start w:val="1"/>
    </w:lvl>
  </w:abstractNum>
  <w:abstractNum w:abstractNumId="38">
    <w:nsid w:val="5092CA79"/>
    <w:multiLevelType w:val="hybridMultilevel"/>
    <w:lvl w:ilvl="0">
      <w:lvlJc w:val="left"/>
      <w:lvlText w:val="u"/>
      <w:numFmt w:val="bullet"/>
      <w:start w:val="1"/>
    </w:lvl>
  </w:abstractNum>
  <w:abstractNum w:abstractNumId="39">
    <w:nsid w:val="1D545C4D"/>
    <w:multiLevelType w:val="hybridMultilevel"/>
    <w:lvl w:ilvl="0">
      <w:lvlJc w:val="left"/>
      <w:lvlText w:val="u"/>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u"/>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u"/>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1)"/>
      <w:numFmt w:val="decimal"/>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u"/>
      <w:numFmt w:val="bullet"/>
      <w:start w:val="1"/>
    </w:lvl>
  </w:abstractNum>
  <w:abstractNum w:abstractNumId="55">
    <w:nsid w:val="4BD8591A"/>
    <w:multiLevelType w:val="hybridMultilevel"/>
    <w:lvl w:ilvl="0">
      <w:lvlJc w:val="left"/>
      <w:lvlText w:val="(%1)"/>
      <w:numFmt w:val="decimal"/>
      <w:start w:val="1"/>
    </w:lvl>
  </w:abstractNum>
  <w:abstractNum w:abstractNumId="56">
    <w:nsid w:val="78DF6A55"/>
    <w:multiLevelType w:val="hybridMultilevel"/>
    <w:lvl w:ilvl="0">
      <w:lvlJc w:val="left"/>
      <w:lvlText w:val="u"/>
      <w:numFmt w:val="bullet"/>
      <w:start w:val="1"/>
    </w:lvl>
  </w:abstractNum>
  <w:abstractNum w:abstractNumId="57">
    <w:nsid w:val="39B7AAA2"/>
    <w:multiLevelType w:val="hybridMultilevel"/>
    <w:lvl w:ilvl="0">
      <w:lvlJc w:val="left"/>
      <w:lvlText w:val="u"/>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u"/>
      <w:numFmt w:val="bullet"/>
      <w:start w:val="1"/>
    </w:lvl>
  </w:abstractNum>
  <w:abstractNum w:abstractNumId="61">
    <w:nsid w:val="69E373"/>
    <w:multiLevelType w:val="hybridMultilevel"/>
    <w:lvl w:ilvl="0">
      <w:lvlJc w:val="left"/>
      <w:lvlText w:val="u"/>
      <w:numFmt w:val="bullet"/>
      <w:start w:val="1"/>
    </w:lvl>
  </w:abstractNum>
  <w:abstractNum w:abstractNumId="62">
    <w:nsid w:val="2C27173B"/>
    <w:multiLevelType w:val="hybridMultilevel"/>
    <w:lvl w:ilvl="0">
      <w:lvlJc w:val="left"/>
      <w:lvlText w:val="u"/>
      <w:numFmt w:val="bullet"/>
      <w:start w:val="1"/>
    </w:lvl>
  </w:abstractNum>
  <w:abstractNum w:abstractNumId="63">
    <w:nsid w:val="4C9B0904"/>
    <w:multiLevelType w:val="hybridMultilevel"/>
    <w:lvl w:ilvl="0">
      <w:lvlJc w:val="left"/>
      <w:lvlText w:val="(%1)"/>
      <w:numFmt w:val="decimal"/>
      <w:start w:val="1"/>
    </w:lvl>
  </w:abstractNum>
  <w:abstractNum w:abstractNumId="64">
    <w:nsid w:val="6AA7B75C"/>
    <w:multiLevelType w:val="hybridMultilevel"/>
    <w:lvl w:ilvl="0">
      <w:lvlJc w:val="left"/>
      <w:lvlText w:val="u"/>
      <w:numFmt w:val="bullet"/>
      <w:start w:val="1"/>
    </w:lvl>
  </w:abstractNum>
  <w:abstractNum w:abstractNumId="65">
    <w:nsid w:val="1DF029D3"/>
    <w:multiLevelType w:val="hybridMultilevel"/>
    <w:lvl w:ilvl="0">
      <w:lvlJc w:val="left"/>
      <w:lvlText w:val="(%1)"/>
      <w:numFmt w:val="decimal"/>
      <w:start w:val="1"/>
    </w:lvl>
  </w:abstractNum>
  <w:abstractNum w:abstractNumId="66">
    <w:nsid w:val="5675FF36"/>
    <w:multiLevelType w:val="hybridMultilevel"/>
    <w:lvl w:ilvl="0">
      <w:lvlJc w:val="left"/>
      <w:lvlText w:val="u"/>
      <w:numFmt w:val="bullet"/>
      <w:start w:val="1"/>
    </w:lvl>
  </w:abstractNum>
  <w:abstractNum w:abstractNumId="67">
    <w:nsid w:val="3DD15094"/>
    <w:multiLevelType w:val="hybridMultilevel"/>
    <w:lvl w:ilvl="0">
      <w:lvlJc w:val="left"/>
      <w:lvlText w:val="u"/>
      <w:numFmt w:val="bullet"/>
      <w:start w:val="1"/>
    </w:lvl>
  </w:abstractNum>
  <w:abstractNum w:abstractNumId="68">
    <w:nsid w:val="3DB012B3"/>
    <w:multiLevelType w:val="hybridMultilevel"/>
    <w:lvl w:ilvl="0">
      <w:lvlJc w:val="left"/>
      <w:lvlText w:val="u"/>
      <w:numFmt w:val="bullet"/>
      <w:start w:val="1"/>
    </w:lvl>
  </w:abstractNum>
  <w:abstractNum w:abstractNumId="69">
    <w:nsid w:val="2708C9AF"/>
    <w:multiLevelType w:val="hybridMultilevel"/>
    <w:lvl w:ilvl="0">
      <w:lvlJc w:val="left"/>
      <w:lvlText w:val="u"/>
      <w:numFmt w:val="bullet"/>
      <w:start w:val="1"/>
    </w:lvl>
  </w:abstractNum>
  <w:abstractNum w:abstractNumId="70">
    <w:nsid w:val="5B25ACE2"/>
    <w:multiLevelType w:val="hybridMultilevel"/>
    <w:lvl w:ilvl="0">
      <w:lvlJc w:val="left"/>
      <w:lvlText w:val="(%1)"/>
      <w:numFmt w:val="decimal"/>
      <w:start w:val="1"/>
    </w:lvl>
  </w:abstractNum>
  <w:abstractNum w:abstractNumId="71">
    <w:nsid w:val="175DFCF0"/>
    <w:multiLevelType w:val="hybridMultilevel"/>
    <w:lvl w:ilvl="0">
      <w:lvlJc w:val="left"/>
      <w:lvlText w:val="u"/>
      <w:numFmt w:val="bullet"/>
      <w:start w:val="1"/>
    </w:lvl>
  </w:abstractNum>
  <w:abstractNum w:abstractNumId="72">
    <w:nsid w:val="4F97E3E4"/>
    <w:multiLevelType w:val="hybridMultilevel"/>
    <w:lvl w:ilvl="0">
      <w:lvlJc w:val="left"/>
      <w:lvlText w:val="u"/>
      <w:numFmt w:val="bullet"/>
      <w:start w:val="1"/>
    </w:lvl>
  </w:abstractNum>
  <w:abstractNum w:abstractNumId="73">
    <w:nsid w:val="53B0A9E"/>
    <w:multiLevelType w:val="hybridMultilevel"/>
    <w:lvl w:ilvl="0">
      <w:lvlJc w:val="left"/>
      <w:lvlText w:val="(%1)"/>
      <w:numFmt w:val="decimal"/>
      <w:start w:val="1"/>
    </w:lvl>
  </w:abstractNum>
  <w:abstractNum w:abstractNumId="74">
    <w:nsid w:val="34FD6B4F"/>
    <w:multiLevelType w:val="hybridMultilevel"/>
    <w:lvl w:ilvl="0">
      <w:lvlJc w:val="left"/>
      <w:lvlText w:val="u"/>
      <w:numFmt w:val="bullet"/>
      <w:start w:val="1"/>
    </w:lvl>
  </w:abstractNum>
  <w:abstractNum w:abstractNumId="75">
    <w:nsid w:val="5915FF32"/>
    <w:multiLevelType w:val="hybridMultilevel"/>
    <w:lvl w:ilvl="0">
      <w:lvlJc w:val="left"/>
      <w:lvlText w:val="u"/>
      <w:numFmt w:val="bullet"/>
      <w:start w:val="1"/>
    </w:lvl>
  </w:abstractNum>
  <w:abstractNum w:abstractNumId="76">
    <w:nsid w:val="56438D15"/>
    <w:multiLevelType w:val="hybridMultilevel"/>
    <w:lvl w:ilvl="0">
      <w:lvlJc w:val="left"/>
      <w:lvlText w:val="(%1)"/>
      <w:numFmt w:val="decimal"/>
      <w:start w:val="1"/>
    </w:lvl>
  </w:abstractNum>
  <w:abstractNum w:abstractNumId="77">
    <w:nsid w:val="519E3149"/>
    <w:multiLevelType w:val="hybridMultilevel"/>
    <w:lvl w:ilvl="0">
      <w:lvlJc w:val="left"/>
      <w:lvlText w:val="u"/>
      <w:numFmt w:val="bullet"/>
      <w:start w:val="1"/>
    </w:lvl>
  </w:abstractNum>
  <w:abstractNum w:abstractNumId="78">
    <w:nsid w:val="2C6E4AFD"/>
    <w:multiLevelType w:val="hybridMultilevel"/>
    <w:lvl w:ilvl="0">
      <w:lvlJc w:val="left"/>
      <w:lvlText w:val="(%1)"/>
      <w:numFmt w:val="decimal"/>
      <w:start w:val="1"/>
    </w:lvl>
  </w:abstractNum>
  <w:abstractNum w:abstractNumId="79">
    <w:nsid w:val="17A1B582"/>
    <w:multiLevelType w:val="hybridMultilevel"/>
    <w:lvl w:ilvl="0">
      <w:lvlJc w:val="left"/>
      <w:lvlText w:val="u"/>
      <w:numFmt w:val="bullet"/>
      <w:start w:val="1"/>
    </w:lvl>
  </w:abstractNum>
  <w:abstractNum w:abstractNumId="80">
    <w:nsid w:val="4DF72E4E"/>
    <w:multiLevelType w:val="hybridMultilevel"/>
    <w:lvl w:ilvl="0">
      <w:lvlJc w:val="left"/>
      <w:lvlText w:val="(%1)"/>
      <w:numFmt w:val="decimal"/>
      <w:start w:val="1"/>
    </w:lvl>
  </w:abstractNum>
  <w:abstractNum w:abstractNumId="81">
    <w:nsid w:val="5046B5A9"/>
    <w:multiLevelType w:val="hybridMultilevel"/>
    <w:lvl w:ilvl="0">
      <w:lvlJc w:val="left"/>
      <w:lvlText w:val="u"/>
      <w:numFmt w:val="bullet"/>
      <w:start w:val="1"/>
    </w:lvl>
  </w:abstractNum>
  <w:abstractNum w:abstractNumId="82">
    <w:nsid w:val="5D888A08"/>
    <w:multiLevelType w:val="hybridMultilevel"/>
    <w:lvl w:ilvl="0">
      <w:lvlJc w:val="left"/>
      <w:lvlText w:val="(%1)"/>
      <w:numFmt w:val="decimal"/>
      <w:start w:val="1"/>
    </w:lvl>
  </w:abstractNum>
  <w:abstractNum w:abstractNumId="83">
    <w:nsid w:val="2A082C70"/>
    <w:multiLevelType w:val="hybridMultilevel"/>
    <w:lvl w:ilvl="0">
      <w:lvlJc w:val="left"/>
      <w:lvlText w:val="(%1)"/>
      <w:numFmt w:val="decimal"/>
      <w:start w:val="2"/>
    </w:lvl>
  </w:abstractNum>
  <w:abstractNum w:abstractNumId="84">
    <w:nsid w:val="5EC6AFD4"/>
    <w:multiLevelType w:val="hybridMultilevel"/>
    <w:lvl w:ilvl="0">
      <w:lvlJc w:val="left"/>
      <w:lvlText w:val="u"/>
      <w:numFmt w:val="bullet"/>
      <w:start w:val="1"/>
    </w:lvl>
  </w:abstractNum>
  <w:abstractNum w:abstractNumId="85">
    <w:nsid w:val="19E21BB2"/>
    <w:multiLevelType w:val="hybridMultilevel"/>
    <w:lvl w:ilvl="0">
      <w:lvlJc w:val="left"/>
      <w:lvlText w:val="u"/>
      <w:numFmt w:val="bullet"/>
      <w:start w:val="1"/>
    </w:lvl>
  </w:abstractNum>
  <w:abstractNum w:abstractNumId="86">
    <w:nsid w:val="75E0858A"/>
    <w:multiLevelType w:val="hybridMultilevel"/>
    <w:lvl w:ilvl="0">
      <w:lvlJc w:val="left"/>
      <w:lvlText w:val="u"/>
      <w:numFmt w:val="bullet"/>
      <w:start w:val="1"/>
    </w:lvl>
  </w:abstractNum>
  <w:abstractNum w:abstractNumId="87">
    <w:nsid w:val="57A61A29"/>
    <w:multiLevelType w:val="hybridMultilevel"/>
    <w:lvl w:ilvl="0">
      <w:lvlJc w:val="left"/>
      <w:lvlText w:val="u"/>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1)"/>
      <w:numFmt w:val="decimal"/>
      <w:start w:val="1"/>
    </w:lvl>
  </w:abstractNum>
  <w:abstractNum w:abstractNumId="92">
    <w:nsid w:val="2157F6BC"/>
    <w:multiLevelType w:val="hybridMultilevel"/>
    <w:lvl w:ilvl="0">
      <w:lvlJc w:val="left"/>
      <w:lvlText w:val="u"/>
      <w:numFmt w:val="bullet"/>
      <w:start w:val="1"/>
    </w:lvl>
  </w:abstractNum>
  <w:abstractNum w:abstractNumId="93">
    <w:nsid w:val="704E1DD5"/>
    <w:multiLevelType w:val="hybridMultilevel"/>
    <w:lvl w:ilvl="0">
      <w:lvlJc w:val="left"/>
      <w:lvlText w:val="(%1)"/>
      <w:numFmt w:val="decimal"/>
      <w:start w:val="1"/>
    </w:lvl>
  </w:abstractNum>
  <w:abstractNum w:abstractNumId="94">
    <w:nsid w:val="57D2F10E"/>
    <w:multiLevelType w:val="hybridMultilevel"/>
    <w:lvl w:ilvl="0">
      <w:lvlJc w:val="left"/>
      <w:lvlText w:val="u"/>
      <w:numFmt w:val="bullet"/>
      <w:start w:val="1"/>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
      <w:numFmt w:val="bullet"/>
      <w:start w:val="1"/>
    </w:lvl>
  </w:abstractNum>
  <w:abstractNum w:abstractNumId="97">
    <w:nsid w:val="2E48F044"/>
    <w:multiLevelType w:val="hybridMultilevel"/>
    <w:lvl w:ilvl="0">
      <w:lvlJc w:val="left"/>
      <w:lvlText w:val="•"/>
      <w:numFmt w:val="bullet"/>
      <w:start w:val="1"/>
    </w:lvl>
  </w:abstractNum>
  <w:abstractNum w:abstractNumId="98">
    <w:nsid w:val="49D0FEAC"/>
    <w:multiLevelType w:val="hybridMultilevel"/>
    <w:lvl w:ilvl="0">
      <w:lvlJc w:val="left"/>
      <w:lvlText w:val="(%1)"/>
      <w:numFmt w:val="decimal"/>
      <w:start w:val="1"/>
    </w:lvl>
  </w:abstractNum>
  <w:abstractNum w:abstractNumId="99">
    <w:nsid w:val="4BEE5A5B"/>
    <w:multiLevelType w:val="hybridMultilevel"/>
    <w:lvl w:ilvl="0">
      <w:lvlJc w:val="left"/>
      <w:lvlText w:val="u"/>
      <w:numFmt w:val="bullet"/>
      <w:start w:val="1"/>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1)"/>
      <w:numFmt w:val="decimal"/>
      <w:start w:val="1"/>
    </w:lvl>
  </w:abstractNum>
  <w:abstractNum w:abstractNumId="104">
    <w:nsid w:val="2A31B62D"/>
    <w:multiLevelType w:val="hybridMultilevel"/>
    <w:lvl w:ilvl="0">
      <w:lvlJc w:val="left"/>
      <w:lvlText w:val="u"/>
      <w:numFmt w:val="bullet"/>
      <w:start w:val="1"/>
    </w:lvl>
  </w:abstractNum>
  <w:abstractNum w:abstractNumId="105">
    <w:nsid w:val="1849C29B"/>
    <w:multiLevelType w:val="hybridMultilevel"/>
    <w:lvl w:ilvl="0">
      <w:lvlJc w:val="left"/>
      <w:lvlText w:val="•"/>
      <w:numFmt w:val="bullet"/>
      <w:start w:val="1"/>
    </w:lvl>
  </w:abstractNum>
  <w:abstractNum w:abstractNumId="106">
    <w:nsid w:val="7DFF9D09"/>
    <w:multiLevelType w:val="hybridMultilevel"/>
    <w:lvl w:ilvl="0">
      <w:lvlJc w:val="left"/>
      <w:lvlText w:val="•"/>
      <w:numFmt w:val="bullet"/>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1)"/>
      <w:numFmt w:val="decimal"/>
      <w:start w:val="1"/>
    </w:lvl>
  </w:abstractNum>
  <w:abstractNum w:abstractNumId="109">
    <w:nsid w:val="2A6DE806"/>
    <w:multiLevelType w:val="hybridMultilevel"/>
    <w:lvl w:ilvl="0">
      <w:lvlJc w:val="left"/>
      <w:lvlText w:val="u"/>
      <w:numFmt w:val="bullet"/>
      <w:start w:val="1"/>
    </w:lvl>
  </w:abstractNum>
  <w:abstractNum w:abstractNumId="110">
    <w:nsid w:val="1816F8C4"/>
    <w:multiLevelType w:val="hybridMultilevel"/>
    <w:lvl w:ilvl="0">
      <w:lvlJc w:val="left"/>
      <w:lvlText w:val="(%1)"/>
      <w:numFmt w:val="decimal"/>
      <w:start w:val="1"/>
    </w:lvl>
  </w:abstractNum>
  <w:abstractNum w:abstractNumId="111">
    <w:nsid w:val="37DF2233"/>
    <w:multiLevelType w:val="hybridMultilevel"/>
    <w:lvl w:ilvl="0">
      <w:lvlJc w:val="left"/>
      <w:lvlText w:val="u"/>
      <w:numFmt w:val="bullet"/>
      <w:start w:val="1"/>
    </w:lvl>
  </w:abstractNum>
  <w:abstractNum w:abstractNumId="112">
    <w:nsid w:val="7AB49DAF"/>
    <w:multiLevelType w:val="hybridMultilevel"/>
    <w:lvl w:ilvl="0">
      <w:lvlJc w:val="left"/>
      <w:lvlText w:val="u"/>
      <w:numFmt w:val="bullet"/>
      <w:start w:val="1"/>
    </w:lvl>
  </w:abstractNum>
  <w:abstractNum w:abstractNumId="113">
    <w:nsid w:val="759F82CD"/>
    <w:multiLevelType w:val="hybridMultilevel"/>
    <w:lvl w:ilvl="0">
      <w:lvlJc w:val="left"/>
      <w:lvlText w:val="(%1)"/>
      <w:numFmt w:val="decimal"/>
      <w:start w:val="1"/>
    </w:lvl>
  </w:abstractNum>
  <w:abstractNum w:abstractNumId="114">
    <w:nsid w:val="61E74EA3"/>
    <w:multiLevelType w:val="hybridMultilevel"/>
    <w:lvl w:ilvl="0">
      <w:lvlJc w:val="left"/>
      <w:lvlText w:val="u"/>
      <w:numFmt w:val="bullet"/>
      <w:start w:val="1"/>
    </w:lvl>
  </w:abstractNum>
  <w:abstractNum w:abstractNumId="115">
    <w:nsid w:val="597B4D84"/>
    <w:multiLevelType w:val="hybridMultilevel"/>
    <w:lvl w:ilvl="0">
      <w:lvlJc w:val="left"/>
      <w:lvlText w:val="•"/>
      <w:numFmt w:val="bullet"/>
      <w:start w:val="1"/>
    </w:lvl>
  </w:abstractNum>
  <w:abstractNum w:abstractNumId="116">
    <w:nsid w:val="F819E7F"/>
    <w:multiLevelType w:val="hybridMultilevel"/>
    <w:lvl w:ilvl="0">
      <w:lvlJc w:val="left"/>
      <w:lvlText w:val="u"/>
      <w:numFmt w:val="bullet"/>
      <w:start w:val="1"/>
    </w:lvl>
  </w:abstractNum>
  <w:abstractNum w:abstractNumId="117">
    <w:nsid w:val="57C7D42D"/>
    <w:multiLevelType w:val="hybridMultilevel"/>
    <w:lvl w:ilvl="0">
      <w:lvlJc w:val="left"/>
      <w:lvlText w:val="u"/>
      <w:numFmt w:val="bullet"/>
      <w:start w:val="1"/>
    </w:lvl>
  </w:abstractNum>
  <w:abstractNum w:abstractNumId="118">
    <w:nsid w:val="312167AD"/>
    <w:multiLevelType w:val="hybridMultilevel"/>
    <w:lvl w:ilvl="0">
      <w:lvlJc w:val="left"/>
      <w:lvlText w:val="u"/>
      <w:numFmt w:val="bullet"/>
      <w:start w:val="1"/>
    </w:lvl>
  </w:abstractNum>
  <w:abstractNum w:abstractNumId="119">
    <w:nsid w:val="631B64D4"/>
    <w:multiLevelType w:val="hybridMultilevel"/>
    <w:lvl w:ilvl="0">
      <w:lvlJc w:val="left"/>
      <w:lvlText w:val="u"/>
      <w:numFmt w:val="bullet"/>
      <w:start w:val="1"/>
    </w:lvl>
  </w:abstractNum>
  <w:abstractNum w:abstractNumId="120">
    <w:nsid w:val="78B5E776"/>
    <w:multiLevelType w:val="hybridMultilevel"/>
    <w:lvl w:ilvl="0">
      <w:lvlJc w:val="left"/>
      <w:lvlText w:val="u"/>
      <w:numFmt w:val="bullet"/>
      <w:start w:val="1"/>
    </w:lvl>
  </w:abstractNum>
  <w:abstractNum w:abstractNumId="121">
    <w:nsid w:val="75486E47"/>
    <w:multiLevelType w:val="hybridMultilevel"/>
    <w:lvl w:ilvl="0">
      <w:lvlJc w:val="left"/>
      <w:lvlText w:val="•"/>
      <w:numFmt w:val="bullet"/>
      <w:start w:val="1"/>
    </w:lvl>
  </w:abstractNum>
  <w:abstractNum w:abstractNumId="122">
    <w:nsid w:val="6E534CDE"/>
    <w:multiLevelType w:val="hybridMultilevel"/>
    <w:lvl w:ilvl="0">
      <w:lvlJc w:val="left"/>
      <w:lvlText w:val="u"/>
      <w:numFmt w:val="bullet"/>
      <w:start w:val="1"/>
    </w:lvl>
  </w:abstractNum>
  <w:abstractNum w:abstractNumId="123">
    <w:nsid w:val="1A0DDE32"/>
    <w:multiLevelType w:val="hybridMultilevel"/>
    <w:lvl w:ilvl="0">
      <w:lvlJc w:val="left"/>
      <w:lvlText w:val="u"/>
      <w:numFmt w:val="bullet"/>
      <w:start w:val="1"/>
    </w:lvl>
  </w:abstractNum>
  <w:abstractNum w:abstractNumId="124">
    <w:nsid w:val="65968C1C"/>
    <w:multiLevelType w:val="hybridMultilevel"/>
    <w:lvl w:ilvl="0">
      <w:lvlJc w:val="left"/>
      <w:lvlText w:val="(%1)"/>
      <w:numFmt w:val="decimal"/>
      <w:start w:val="1"/>
    </w:lvl>
  </w:abstractNum>
  <w:abstractNum w:abstractNumId="125">
    <w:nsid w:val="46263DEC"/>
    <w:multiLevelType w:val="hybridMultilevel"/>
    <w:lvl w:ilvl="0">
      <w:lvlJc w:val="left"/>
      <w:lvlText w:val="(%1)"/>
      <w:numFmt w:val="decimal"/>
      <w:start w:val="2"/>
    </w:lvl>
  </w:abstractNum>
  <w:abstractNum w:abstractNumId="126">
    <w:nsid w:val="260D8C4A"/>
    <w:multiLevelType w:val="hybridMultilevel"/>
    <w:lvl w:ilvl="0">
      <w:lvlJc w:val="left"/>
      <w:lvlText w:val="(%1)"/>
      <w:numFmt w:val="decimal"/>
      <w:start w:val="3"/>
    </w:lvl>
  </w:abstractNum>
  <w:abstractNum w:abstractNumId="127">
    <w:nsid w:val="73D4D3C4"/>
    <w:multiLevelType w:val="hybridMultilevel"/>
    <w:lvl w:ilvl="0">
      <w:lvlJc w:val="left"/>
      <w:lvlText w:val="(%1)"/>
      <w:numFmt w:val="decimal"/>
      <w:start w:val="4"/>
    </w:lvl>
  </w:abstractNum>
  <w:abstractNum w:abstractNumId="128">
    <w:nsid w:val="746F2E30"/>
    <w:multiLevelType w:val="hybridMultilevel"/>
    <w:lvl w:ilvl="0">
      <w:lvlJc w:val="left"/>
      <w:lvlText w:val="(%1)"/>
      <w:numFmt w:val="decimal"/>
      <w:start w:val="1"/>
    </w:lvl>
  </w:abstractNum>
  <w:abstractNum w:abstractNumId="129">
    <w:nsid w:val="6FDE8AF6"/>
    <w:multiLevelType w:val="hybridMultilevel"/>
    <w:lvl w:ilvl="0">
      <w:lvlJc w:val="left"/>
      <w:lvlText w:val="(%1)"/>
      <w:numFmt w:val="decimal"/>
      <w:start w:val="1"/>
    </w:lvl>
  </w:abstractNum>
  <w:abstractNum w:abstractNumId="130">
    <w:nsid w:val="3FC32E20"/>
    <w:multiLevelType w:val="hybridMultilevel"/>
    <w:lvl w:ilvl="0">
      <w:lvlJc w:val="left"/>
      <w:lvlText w:val="(%1)"/>
      <w:numFmt w:val="decimal"/>
      <w:start w:val="4"/>
    </w:lvl>
  </w:abstractNum>
  <w:abstractNum w:abstractNumId="131">
    <w:nsid w:val="49C0E823"/>
    <w:multiLevelType w:val="hybridMultilevel"/>
    <w:lvl w:ilvl="0">
      <w:lvlJc w:val="left"/>
      <w:lvlText w:val="u"/>
      <w:numFmt w:val="bullet"/>
      <w:start w:val="1"/>
    </w:lvl>
  </w:abstractNum>
  <w:abstractNum w:abstractNumId="132">
    <w:nsid w:val="14D53685"/>
    <w:multiLevelType w:val="hybridMultilevel"/>
    <w:lvl w:ilvl="0">
      <w:lvlJc w:val="left"/>
      <w:lvlText w:val="(%1)"/>
      <w:numFmt w:val="decimal"/>
      <w:start w:val="1"/>
    </w:lvl>
  </w:abstractNum>
  <w:abstractNum w:abstractNumId="133">
    <w:nsid w:val="230F856C"/>
    <w:multiLevelType w:val="hybridMultilevel"/>
    <w:lvl w:ilvl="0">
      <w:lvlJc w:val="left"/>
      <w:lvlText w:val="u"/>
      <w:numFmt w:val="bullet"/>
      <w:start w:val="1"/>
    </w:lvl>
  </w:abstractNum>
  <w:abstractNum w:abstractNumId="134">
    <w:nsid w:val="6EAA85FB"/>
    <w:multiLevelType w:val="hybridMultilevel"/>
    <w:lvl w:ilvl="0">
      <w:lvlJc w:val="left"/>
      <w:lvlText w:val="(%1)"/>
      <w:numFmt w:val="decimal"/>
      <w:start w:val="1"/>
    </w:lvl>
  </w:abstractNum>
  <w:abstractNum w:abstractNumId="135">
    <w:nsid w:val="3F06ECB2"/>
    <w:multiLevelType w:val="hybridMultilevel"/>
    <w:lvl w:ilvl="0">
      <w:lvlJc w:val="left"/>
      <w:lvlText w:val="(%1)"/>
      <w:numFmt w:val="decimal"/>
      <w:start w:val="5"/>
    </w:lvl>
  </w:abstractNum>
  <w:abstractNum w:abstractNumId="136">
    <w:nsid w:val="3B594807"/>
    <w:multiLevelType w:val="hybridMultilevel"/>
    <w:lvl w:ilvl="0">
      <w:lvlJc w:val="left"/>
      <w:lvlText w:val="u"/>
      <w:numFmt w:val="bullet"/>
      <w:start w:val="1"/>
    </w:lvl>
  </w:abstractNum>
  <w:abstractNum w:abstractNumId="137">
    <w:nsid w:val="6CAA2304"/>
    <w:multiLevelType w:val="hybridMultilevel"/>
    <w:lvl w:ilvl="0">
      <w:lvlJc w:val="left"/>
      <w:lvlText w:val="(%1)"/>
      <w:numFmt w:val="decimal"/>
      <w:start w:val="1"/>
    </w:lvl>
  </w:abstractNum>
  <w:abstractNum w:abstractNumId="138">
    <w:nsid w:val="3F7C2FF4"/>
    <w:multiLevelType w:val="hybridMultilevel"/>
    <w:lvl w:ilvl="0">
      <w:lvlJc w:val="left"/>
      <w:lvlText w:val="u"/>
      <w:numFmt w:val="bullet"/>
      <w:start w:val="1"/>
    </w:lvl>
  </w:abstractNum>
  <w:abstractNum w:abstractNumId="139">
    <w:nsid w:val="25413BEC"/>
    <w:multiLevelType w:val="hybridMultilevel"/>
    <w:lvl w:ilvl="0">
      <w:lvlJc w:val="left"/>
      <w:lvlText w:val="(%1)"/>
      <w:numFmt w:val="decimal"/>
      <w:start w:val="1"/>
    </w:lvl>
  </w:abstractNum>
  <w:abstractNum w:abstractNumId="140">
    <w:nsid w:val="17180B0B"/>
    <w:multiLevelType w:val="hybridMultilevel"/>
    <w:lvl w:ilvl="0">
      <w:lvlJc w:val="left"/>
      <w:lvlText w:val="u"/>
      <w:numFmt w:val="bullet"/>
      <w:start w:val="1"/>
    </w:lvl>
  </w:abstractNum>
  <w:abstractNum w:abstractNumId="141">
    <w:nsid w:val="579328B9"/>
    <w:multiLevelType w:val="hybridMultilevel"/>
    <w:lvl w:ilvl="0">
      <w:lvlJc w:val="left"/>
      <w:lvlText w:val="(%1)"/>
      <w:numFmt w:val="decimal"/>
      <w:start w:val="1"/>
    </w:lvl>
  </w:abstractNum>
  <w:abstractNum w:abstractNumId="142">
    <w:nsid w:val="5D205E20"/>
    <w:multiLevelType w:val="hybridMultilevel"/>
    <w:lvl w:ilvl="0">
      <w:lvlJc w:val="left"/>
      <w:lvlText w:val="u"/>
      <w:numFmt w:val="bullet"/>
      <w:start w:val="1"/>
    </w:lvl>
  </w:abstractNum>
  <w:abstractNum w:abstractNumId="143">
    <w:nsid w:val="11CCA8BA"/>
    <w:multiLevelType w:val="hybridMultilevel"/>
    <w:lvl w:ilvl="0">
      <w:lvlJc w:val="left"/>
      <w:lvlText w:val="(%1)"/>
      <w:numFmt w:val="decimal"/>
      <w:start w:val="1"/>
    </w:lvl>
  </w:abstractNum>
  <w:abstractNum w:abstractNumId="144">
    <w:nsid w:val="4D32AB86"/>
    <w:multiLevelType w:val="hybridMultilevel"/>
    <w:lvl w:ilvl="0">
      <w:lvlJc w:val="left"/>
      <w:lvlText w:val="(%1)"/>
      <w:numFmt w:val="decimal"/>
      <w:start w:val="2"/>
    </w:lvl>
    <w:lvl w:ilvl="1">
      <w:lvlJc w:val="left"/>
      <w:lvlText w:val="%2)"/>
      <w:numFmt w:val="lowerRoman"/>
      <w:start w:val="1"/>
    </w:lvl>
  </w:abstractNum>
  <w:abstractNum w:abstractNumId="145">
    <w:nsid w:val="3F07ACC3"/>
    <w:multiLevelType w:val="hybridMultilevel"/>
    <w:lvl w:ilvl="0">
      <w:lvlJc w:val="left"/>
      <w:lvlText w:val="%1."/>
      <w:numFmt w:val="decimal"/>
      <w:start w:val="1"/>
    </w:lvl>
  </w:abstractNum>
  <w:abstractNum w:abstractNumId="146">
    <w:nsid w:val="6B47F63E"/>
    <w:multiLevelType w:val="hybridMultilevel"/>
    <w:lvl w:ilvl="0">
      <w:lvlJc w:val="left"/>
      <w:lvlText w:val="(%1)"/>
      <w:numFmt w:val="decimal"/>
      <w:start w:val="1"/>
    </w:lvl>
    <w:lvl w:ilvl="1">
      <w:lvlJc w:val="left"/>
      <w:lvlText w:val="%2."/>
      <w:numFmt w:val="lowerLetter"/>
      <w:start w:val="1"/>
    </w:lvl>
  </w:abstractNum>
  <w:abstractNum w:abstractNumId="147">
    <w:nsid w:val="5CB44A05"/>
    <w:multiLevelType w:val="hybridMultilevel"/>
    <w:lvl w:ilvl="0">
      <w:lvlJc w:val="left"/>
      <w:lvlText w:val="1"/>
      <w:numFmt w:val="bullet"/>
      <w:start w:val="1"/>
    </w:lvl>
  </w:abstractNum>
  <w:abstractNum w:abstractNumId="148">
    <w:nsid w:val="16CF80F1"/>
    <w:multiLevelType w:val="hybridMultilevel"/>
    <w:lvl w:ilvl="0">
      <w:lvlJc w:val="left"/>
      <w:lvlText w:val="•"/>
      <w:numFmt w:val="bullet"/>
      <w:start w:val="1"/>
    </w:lvl>
  </w:abstractNum>
  <w:abstractNum w:abstractNumId="149">
    <w:nsid w:val="1C695DEC"/>
    <w:multiLevelType w:val="hybridMultilevel"/>
    <w:lvl w:ilvl="0">
      <w:lvlJc w:val="left"/>
      <w:lvlText w:val="u"/>
      <w:numFmt w:val="bullet"/>
      <w:start w:val="1"/>
    </w:lvl>
  </w:abstractNum>
  <w:abstractNum w:abstractNumId="150">
    <w:nsid w:val="3FCFAED9"/>
    <w:multiLevelType w:val="hybridMultilevel"/>
    <w:lvl w:ilvl="0">
      <w:lvlJc w:val="left"/>
      <w:lvlText w:val="*"/>
      <w:numFmt w:val="bullet"/>
      <w:start w:val="1"/>
    </w:lvl>
  </w:abstractNum>
  <w:abstractNum w:abstractNumId="151">
    <w:nsid w:val="F856867"/>
    <w:multiLevelType w:val="hybridMultilevel"/>
    <w:lvl w:ilvl="0">
      <w:lvlJc w:val="left"/>
      <w:lvlText w:val="u"/>
      <w:numFmt w:val="bullet"/>
      <w:start w:val="1"/>
    </w:lvl>
  </w:abstractNum>
  <w:abstractNum w:abstractNumId="152">
    <w:nsid w:val="11B1CC33"/>
    <w:multiLevelType w:val="hybridMultilevel"/>
    <w:lvl w:ilvl="0">
      <w:lvlJc w:val="left"/>
      <w:lvlText w:val="u"/>
      <w:numFmt w:val="bullet"/>
      <w:start w:val="1"/>
    </w:lvl>
  </w:abstractNum>
  <w:abstractNum w:abstractNumId="153">
    <w:nsid w:val="2E22FBB7"/>
    <w:multiLevelType w:val="hybridMultilevel"/>
    <w:lvl w:ilvl="0">
      <w:lvlJc w:val="left"/>
      <w:lvlText w:val="u"/>
      <w:numFmt w:val="bullet"/>
      <w:start w:val="1"/>
    </w:lvl>
  </w:abstractNum>
  <w:abstractNum w:abstractNumId="154">
    <w:nsid w:val="29934699"/>
    <w:multiLevelType w:val="hybridMultilevel"/>
    <w:lvl w:ilvl="0">
      <w:lvlJc w:val="left"/>
      <w:lvlText w:val="u"/>
      <w:numFmt w:val="bullet"/>
      <w:start w:val="1"/>
    </w:lvl>
  </w:abstractNum>
  <w:abstractNum w:abstractNumId="155">
    <w:nsid w:val="77485850"/>
    <w:multiLevelType w:val="hybridMultilevel"/>
    <w:lvl w:ilvl="0">
      <w:lvlJc w:val="left"/>
      <w:lvlText w:val="u"/>
      <w:numFmt w:val="bullet"/>
      <w:start w:val="1"/>
    </w:lvl>
  </w:abstractNum>
  <w:abstractNum w:abstractNumId="156">
    <w:nsid w:val="744939A3"/>
    <w:multiLevelType w:val="hybridMultilevel"/>
    <w:lvl w:ilvl="0">
      <w:lvlJc w:val="left"/>
      <w:lvlText w:val="u"/>
      <w:numFmt w:val="bullet"/>
      <w:start w:val="1"/>
    </w:lvl>
  </w:abstractNum>
  <w:abstractNum w:abstractNumId="157">
    <w:nsid w:val="4FA0D2E3"/>
    <w:multiLevelType w:val="hybridMultilevel"/>
    <w:lvl w:ilvl="0">
      <w:lvlJc w:val="left"/>
      <w:lvlText w:val="u"/>
      <w:numFmt w:val="bullet"/>
      <w:start w:val="1"/>
    </w:lvl>
  </w:abstractNum>
  <w:abstractNum w:abstractNumId="158">
    <w:nsid w:val="6B1D2C14"/>
    <w:multiLevelType w:val="hybridMultilevel"/>
    <w:lvl w:ilvl="0">
      <w:lvlJc w:val="left"/>
      <w:lvlText w:val="u"/>
      <w:numFmt w:val="bullet"/>
      <w:start w:val="1"/>
    </w:lvl>
  </w:abstractNum>
  <w:abstractNum w:abstractNumId="159">
    <w:nsid w:val="68B867D3"/>
    <w:multiLevelType w:val="hybridMultilevel"/>
    <w:lvl w:ilvl="0">
      <w:lvlJc w:val="left"/>
      <w:lvlText w:val="u"/>
      <w:numFmt w:val="bullet"/>
      <w:start w:val="1"/>
    </w:lvl>
  </w:abstractNum>
  <w:abstractNum w:abstractNumId="160">
    <w:nsid w:val="3F7F5DD9"/>
    <w:multiLevelType w:val="hybridMultilevel"/>
    <w:lvl w:ilvl="0">
      <w:lvlJc w:val="left"/>
      <w:lvlText w:val="u"/>
      <w:numFmt w:val="bullet"/>
      <w:start w:val="1"/>
    </w:lvl>
  </w:abstractNum>
  <w:abstractNum w:abstractNumId="161">
    <w:nsid w:val="2AE05A34"/>
    <w:multiLevelType w:val="hybridMultilevel"/>
    <w:lvl w:ilvl="0">
      <w:lvlJc w:val="left"/>
      <w:lvlText w:val="u"/>
      <w:numFmt w:val="bullet"/>
      <w:start w:val="1"/>
    </w:lvl>
  </w:abstractNum>
  <w:abstractNum w:abstractNumId="162">
    <w:nsid w:val="32794FF7"/>
    <w:multiLevelType w:val="hybridMultilevel"/>
    <w:lvl w:ilvl="0">
      <w:lvlJc w:val="left"/>
      <w:lvlText w:val="u"/>
      <w:numFmt w:val="bullet"/>
      <w:start w:val="1"/>
    </w:lvl>
  </w:abstractNum>
  <w:abstractNum w:abstractNumId="163">
    <w:nsid w:val="5454945E"/>
    <w:multiLevelType w:val="hybridMultilevel"/>
    <w:lvl w:ilvl="0">
      <w:lvlJc w:val="left"/>
      <w:lvlText w:val="u"/>
      <w:numFmt w:val="bullet"/>
      <w:start w:val="1"/>
    </w:lvl>
  </w:abstractNum>
  <w:abstractNum w:abstractNumId="164">
    <w:nsid w:val="4DEFDFA0"/>
    <w:multiLevelType w:val="hybridMultilevel"/>
    <w:lvl w:ilvl="0">
      <w:lvlJc w:val="left"/>
      <w:lvlText w:val="u"/>
      <w:numFmt w:val="bullet"/>
      <w:start w:val="1"/>
    </w:lvl>
  </w:abstractNum>
  <w:abstractNum w:abstractNumId="165">
    <w:nsid w:val="2123D5F2"/>
    <w:multiLevelType w:val="hybridMultilevel"/>
    <w:lvl w:ilvl="0">
      <w:lvlJc w:val="left"/>
      <w:lvlText w:val="u"/>
      <w:numFmt w:val="bullet"/>
      <w:start w:val="1"/>
    </w:lvl>
  </w:abstractNum>
  <w:abstractNum w:abstractNumId="166">
    <w:nsid w:val="135B8110"/>
    <w:multiLevelType w:val="hybridMultilevel"/>
    <w:lvl w:ilvl="0">
      <w:lvlJc w:val="left"/>
      <w:lvlText w:val="(%1)"/>
      <w:numFmt w:val="decimal"/>
      <w:start w:val="1"/>
    </w:lvl>
  </w:abstractNum>
  <w:abstractNum w:abstractNumId="167">
    <w:nsid w:val="94927A8"/>
    <w:multiLevelType w:val="hybridMultilevel"/>
    <w:lvl w:ilvl="0">
      <w:lvlJc w:val="left"/>
      <w:lvlText w:val="(%1)"/>
      <w:numFmt w:val="lowerRoman"/>
      <w:start w:val="2"/>
    </w:lvl>
  </w:abstractNum>
  <w:abstractNum w:abstractNumId="168">
    <w:nsid w:val="DCDF8F6"/>
    <w:multiLevelType w:val="hybridMultilevel"/>
    <w:lvl w:ilvl="0">
      <w:lvlJc w:val="left"/>
      <w:lvlText w:val="(%1)"/>
      <w:numFmt w:val="decimal"/>
      <w:start w:val="1"/>
    </w:lvl>
  </w:abstractNum>
  <w:abstractNum w:abstractNumId="169">
    <w:nsid w:val="52D7B105"/>
    <w:multiLevelType w:val="hybridMultilevel"/>
    <w:lvl w:ilvl="0">
      <w:lvlJc w:val="left"/>
      <w:lvlText w:val="(%1)"/>
      <w:numFmt w:val="decimal"/>
      <w:start w:val="2"/>
    </w:lvl>
  </w:abstractNum>
  <w:abstractNum w:abstractNumId="170">
    <w:nsid w:val="2E8A6394"/>
    <w:multiLevelType w:val="hybridMultilevel"/>
    <w:lvl w:ilvl="0">
      <w:lvlJc w:val="left"/>
      <w:lvlText w:val="(%1)"/>
      <w:numFmt w:val="decimal"/>
      <w:start w:val="1"/>
    </w:lvl>
  </w:abstractNum>
  <w:abstractNum w:abstractNumId="171">
    <w:nsid w:val="24E60401"/>
    <w:multiLevelType w:val="hybridMultilevel"/>
    <w:lvl w:ilvl="0">
      <w:lvlJc w:val="left"/>
      <w:lvlText w:val="(%1)"/>
      <w:numFmt w:val="decimal"/>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2021-04-30T11:05:14Z</dcterms:created>
  <dcterms:modified xsi:type="dcterms:W3CDTF">2021-04-30T11:05:14Z</dcterms:modified>
</cp:coreProperties>
</file>