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642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6426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Stevens Charles K. III</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482-C23-D24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09/30/2016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83"/>
        <w:spacing w:after="0"/>
        <w:rPr>
          <w:sz w:val="20"/>
          <w:szCs w:val="20"/>
          <w:color w:val="auto"/>
        </w:rPr>
      </w:pPr>
      <w:r>
        <w:rPr>
          <w:rFonts w:ascii="Arial" w:cs="Arial" w:eastAsia="Arial" w:hAnsi="Arial"/>
          <w:sz w:val="16"/>
          <w:szCs w:val="16"/>
          <w:color w:val="0000FF"/>
        </w:rPr>
        <w:t>Executive Vice President &amp; CFO</w:t>
      </w:r>
    </w:p>
    <w:p>
      <w:pPr>
        <w:spacing w:after="0" w:line="471" w:lineRule="exact"/>
        <w:rPr>
          <w:sz w:val="24"/>
          <w:szCs w:val="24"/>
          <w:color w:val="auto"/>
        </w:rPr>
      </w:pPr>
    </w:p>
    <w:p>
      <w:pPr>
        <w:sectPr>
          <w:pgSz w:w="11900" w:h="16838" w:orient="portrait"/>
          <w:cols w:equalWidth="0" w:num="3">
            <w:col w:w="3360" w:space="720"/>
            <w:col w:w="3257" w:space="720"/>
            <w:col w:w="3423"/>
          </w:cols>
          <w:pgMar w:left="240" w:top="226" w:right="17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760" w:type="dxa"/>
            <w:vAlign w:val="bottom"/>
            <w:gridSpan w:val="8"/>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740" w:type="dxa"/>
            <w:vAlign w:val="bottom"/>
            <w:gridSpan w:val="7"/>
          </w:tcPr>
          <w:p>
            <w:pPr>
              <w:ind w:left="38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gridSpan w:val="2"/>
          </w:tcPr>
          <w:p>
            <w:pPr>
              <w:ind w:left="380"/>
              <w:spacing w:after="0"/>
              <w:rPr>
                <w:sz w:val="20"/>
                <w:szCs w:val="20"/>
                <w:color w:val="auto"/>
              </w:rPr>
            </w:pPr>
            <w:r>
              <w:rPr>
                <w:rFonts w:ascii="Arial" w:cs="Arial" w:eastAsia="Arial" w:hAnsi="Arial"/>
                <w:sz w:val="14"/>
                <w:szCs w:val="14"/>
                <w:color w:val="auto"/>
              </w:rPr>
              <w:t>Line)</w:t>
            </w: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180" w:type="dxa"/>
            <w:vAlign w:val="bottom"/>
            <w:gridSpan w:val="6"/>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180" w:type="dxa"/>
            <w:vAlign w:val="bottom"/>
            <w:gridSpan w:val="6"/>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100" w:type="dxa"/>
            <w:vAlign w:val="bottom"/>
            <w:tcBorders>
              <w:top w:val="single" w:sz="8" w:color="2C2C2C"/>
            </w:tcBorders>
            <w:gridSpan w:val="15"/>
          </w:tcPr>
          <w:p>
            <w:pPr>
              <w:ind w:left="7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5"/>
                <w:szCs w:val="15"/>
                <w:color w:val="auto"/>
              </w:rPr>
            </w:pPr>
          </w:p>
        </w:tc>
        <w:tc>
          <w:tcPr>
            <w:tcW w:w="198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5" w:lineRule="exact"/>
              <w:rPr>
                <w:sz w:val="20"/>
                <w:szCs w:val="20"/>
                <w:color w:val="auto"/>
              </w:rPr>
            </w:pPr>
            <w:r>
              <w:rPr>
                <w:rFonts w:ascii="Arial" w:cs="Arial" w:eastAsia="Arial" w:hAnsi="Arial"/>
                <w:sz w:val="12"/>
                <w:szCs w:val="12"/>
                <w:b w:val="1"/>
                <w:bCs w:val="1"/>
                <w:color w:val="auto"/>
                <w:w w:val="99"/>
              </w:rPr>
              <w:t>(A) or</w:t>
            </w:r>
          </w:p>
        </w:tc>
        <w:tc>
          <w:tcPr>
            <w:tcW w:w="7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09/30/2016</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rPr>
              <w:t>M</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left="130"/>
              <w:spacing w:after="0"/>
              <w:rPr>
                <w:sz w:val="20"/>
                <w:szCs w:val="20"/>
                <w:color w:val="auto"/>
              </w:rPr>
            </w:pPr>
            <w:r>
              <w:rPr>
                <w:rFonts w:ascii="Arial" w:cs="Arial" w:eastAsia="Arial" w:hAnsi="Arial"/>
                <w:sz w:val="18"/>
                <w:szCs w:val="18"/>
                <w:color w:val="0000FF"/>
                <w:w w:val="86"/>
              </w:rPr>
              <w:t>116</w:t>
            </w:r>
          </w:p>
        </w:tc>
        <w:tc>
          <w:tcPr>
            <w:tcW w:w="6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tcPr>
          <w:p>
            <w:pPr>
              <w:jc w:val="center"/>
              <w:ind w:left="27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47,058</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ind w:left="880"/>
              <w:spacing w:after="0"/>
              <w:rPr>
                <w:sz w:val="20"/>
                <w:szCs w:val="20"/>
                <w:color w:val="auto"/>
              </w:rPr>
            </w:pPr>
            <w:r>
              <w:rPr>
                <w:rFonts w:ascii="Arial" w:cs="Arial" w:eastAsia="Arial" w:hAnsi="Arial"/>
                <w:sz w:val="18"/>
                <w:szCs w:val="18"/>
                <w:color w:val="0000FF"/>
              </w:rPr>
              <w:t>09/30/2016</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jc w:val="center"/>
              <w:ind w:right="16"/>
              <w:spacing w:after="0"/>
              <w:rPr>
                <w:sz w:val="20"/>
                <w:szCs w:val="20"/>
                <w:color w:val="auto"/>
              </w:rPr>
            </w:pPr>
            <w:r>
              <w:rPr>
                <w:rFonts w:ascii="Arial" w:cs="Arial" w:eastAsia="Arial" w:hAnsi="Arial"/>
                <w:sz w:val="14"/>
                <w:szCs w:val="14"/>
                <w:color w:val="0000FF"/>
                <w:w w:val="98"/>
              </w:rPr>
              <w:t>D</w:t>
            </w:r>
          </w:p>
        </w:tc>
        <w:tc>
          <w:tcPr>
            <w:tcW w:w="320" w:type="dxa"/>
            <w:vAlign w:val="bottom"/>
          </w:tcPr>
          <w:p>
            <w:pPr>
              <w:spacing w:after="0"/>
              <w:rPr>
                <w:sz w:val="23"/>
                <w:szCs w:val="23"/>
                <w:color w:val="auto"/>
              </w:rPr>
            </w:pPr>
          </w:p>
        </w:tc>
        <w:tc>
          <w:tcPr>
            <w:tcW w:w="540" w:type="dxa"/>
            <w:vAlign w:val="bottom"/>
          </w:tcPr>
          <w:p>
            <w:pPr>
              <w:jc w:val="center"/>
              <w:ind w:left="130"/>
              <w:spacing w:after="0"/>
              <w:rPr>
                <w:sz w:val="20"/>
                <w:szCs w:val="20"/>
                <w:color w:val="auto"/>
              </w:rPr>
            </w:pPr>
            <w:r>
              <w:rPr>
                <w:rFonts w:ascii="Arial" w:cs="Arial" w:eastAsia="Arial" w:hAnsi="Arial"/>
                <w:sz w:val="18"/>
                <w:szCs w:val="18"/>
                <w:color w:val="0000FF"/>
                <w:w w:val="89"/>
              </w:rPr>
              <w:t>61</w:t>
            </w:r>
          </w:p>
        </w:tc>
        <w:tc>
          <w:tcPr>
            <w:tcW w:w="660" w:type="dxa"/>
            <w:vAlign w:val="bottom"/>
          </w:tcPr>
          <w:p>
            <w:pPr>
              <w:ind w:left="440"/>
              <w:spacing w:after="0"/>
              <w:rPr>
                <w:sz w:val="20"/>
                <w:szCs w:val="20"/>
                <w:color w:val="auto"/>
              </w:rPr>
            </w:pPr>
            <w:r>
              <w:rPr>
                <w:rFonts w:ascii="Arial" w:cs="Arial" w:eastAsia="Arial" w:hAnsi="Arial"/>
                <w:sz w:val="18"/>
                <w:szCs w:val="18"/>
                <w:color w:val="0000FF"/>
              </w:rPr>
              <w:t>D</w:t>
            </w:r>
          </w:p>
        </w:tc>
        <w:tc>
          <w:tcPr>
            <w:tcW w:w="78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31.77</w:t>
            </w:r>
          </w:p>
        </w:tc>
        <w:tc>
          <w:tcPr>
            <w:tcW w:w="1260" w:type="dxa"/>
            <w:vAlign w:val="bottom"/>
            <w:gridSpan w:val="2"/>
          </w:tcPr>
          <w:p>
            <w:pPr>
              <w:ind w:left="360"/>
              <w:spacing w:after="0"/>
              <w:rPr>
                <w:sz w:val="20"/>
                <w:szCs w:val="20"/>
                <w:color w:val="auto"/>
              </w:rPr>
            </w:pPr>
            <w:r>
              <w:rPr>
                <w:rFonts w:ascii="Arial" w:cs="Arial" w:eastAsia="Arial" w:hAnsi="Arial"/>
                <w:sz w:val="18"/>
                <w:szCs w:val="18"/>
                <w:color w:val="0000FF"/>
              </w:rPr>
              <w:t>46,997</w:t>
            </w:r>
          </w:p>
        </w:tc>
        <w:tc>
          <w:tcPr>
            <w:tcW w:w="940" w:type="dxa"/>
            <w:vAlign w:val="bottom"/>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ind w:left="880"/>
              <w:spacing w:after="0"/>
              <w:rPr>
                <w:sz w:val="20"/>
                <w:szCs w:val="20"/>
                <w:color w:val="auto"/>
              </w:rPr>
            </w:pPr>
            <w:r>
              <w:rPr>
                <w:rFonts w:ascii="Arial" w:cs="Arial" w:eastAsia="Arial" w:hAnsi="Arial"/>
                <w:sz w:val="18"/>
                <w:szCs w:val="18"/>
                <w:color w:val="0000FF"/>
              </w:rPr>
              <w:t>09/30/2016</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jc w:val="center"/>
              <w:spacing w:after="0"/>
              <w:rPr>
                <w:sz w:val="20"/>
                <w:szCs w:val="20"/>
                <w:color w:val="auto"/>
              </w:rPr>
            </w:pPr>
            <w:r>
              <w:rPr>
                <w:rFonts w:ascii="Arial" w:cs="Arial" w:eastAsia="Arial" w:hAnsi="Arial"/>
                <w:sz w:val="14"/>
                <w:szCs w:val="14"/>
                <w:color w:val="0000FF"/>
                <w:w w:val="92"/>
              </w:rPr>
              <w:t>F</w:t>
            </w:r>
          </w:p>
        </w:tc>
        <w:tc>
          <w:tcPr>
            <w:tcW w:w="320" w:type="dxa"/>
            <w:vAlign w:val="bottom"/>
          </w:tcPr>
          <w:p>
            <w:pPr>
              <w:spacing w:after="0"/>
              <w:rPr>
                <w:sz w:val="23"/>
                <w:szCs w:val="23"/>
                <w:color w:val="auto"/>
              </w:rPr>
            </w:pPr>
          </w:p>
        </w:tc>
        <w:tc>
          <w:tcPr>
            <w:tcW w:w="540" w:type="dxa"/>
            <w:vAlign w:val="bottom"/>
          </w:tcPr>
          <w:p>
            <w:pPr>
              <w:jc w:val="center"/>
              <w:ind w:left="130"/>
              <w:spacing w:after="0"/>
              <w:rPr>
                <w:sz w:val="20"/>
                <w:szCs w:val="20"/>
                <w:color w:val="auto"/>
              </w:rPr>
            </w:pPr>
            <w:r>
              <w:rPr>
                <w:rFonts w:ascii="Arial" w:cs="Arial" w:eastAsia="Arial" w:hAnsi="Arial"/>
                <w:sz w:val="18"/>
                <w:szCs w:val="18"/>
                <w:color w:val="0000FF"/>
                <w:w w:val="89"/>
              </w:rPr>
              <w:t>55</w:t>
            </w:r>
          </w:p>
        </w:tc>
        <w:tc>
          <w:tcPr>
            <w:tcW w:w="660" w:type="dxa"/>
            <w:vAlign w:val="bottom"/>
          </w:tcPr>
          <w:p>
            <w:pPr>
              <w:ind w:left="440"/>
              <w:spacing w:after="0"/>
              <w:rPr>
                <w:sz w:val="20"/>
                <w:szCs w:val="20"/>
                <w:color w:val="auto"/>
              </w:rPr>
            </w:pPr>
            <w:r>
              <w:rPr>
                <w:rFonts w:ascii="Arial" w:cs="Arial" w:eastAsia="Arial" w:hAnsi="Arial"/>
                <w:sz w:val="18"/>
                <w:szCs w:val="18"/>
                <w:color w:val="0000FF"/>
              </w:rPr>
              <w:t>D</w:t>
            </w:r>
          </w:p>
        </w:tc>
        <w:tc>
          <w:tcPr>
            <w:tcW w:w="78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31.77</w:t>
            </w:r>
          </w:p>
        </w:tc>
        <w:tc>
          <w:tcPr>
            <w:tcW w:w="1260" w:type="dxa"/>
            <w:vAlign w:val="bottom"/>
            <w:gridSpan w:val="2"/>
          </w:tcPr>
          <w:p>
            <w:pPr>
              <w:ind w:left="360"/>
              <w:spacing w:after="0"/>
              <w:rPr>
                <w:sz w:val="20"/>
                <w:szCs w:val="20"/>
                <w:color w:val="auto"/>
              </w:rPr>
            </w:pPr>
            <w:r>
              <w:rPr>
                <w:rFonts w:ascii="Arial" w:cs="Arial" w:eastAsia="Arial" w:hAnsi="Arial"/>
                <w:sz w:val="18"/>
                <w:szCs w:val="18"/>
                <w:color w:val="0000FF"/>
              </w:rPr>
              <w:t>46,942</w:t>
            </w:r>
          </w:p>
        </w:tc>
        <w:tc>
          <w:tcPr>
            <w:tcW w:w="940" w:type="dxa"/>
            <w:vAlign w:val="bottom"/>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7"/>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720" w:type="dxa"/>
            <w:vAlign w:val="bottom"/>
            <w:tcBorders>
              <w:bottom w:val="single" w:sz="8" w:color="2C2C2C"/>
            </w:tcBorders>
            <w:gridSpan w:val="2"/>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6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2"/>
          </w:tcPr>
          <w:p>
            <w:pPr>
              <w:ind w:left="6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(3)</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120"/>
              <w:spacing w:after="0"/>
              <w:rPr>
                <w:sz w:val="20"/>
                <w:szCs w:val="20"/>
                <w:color w:val="auto"/>
              </w:rPr>
            </w:pPr>
            <w:r>
              <w:rPr>
                <w:rFonts w:ascii="Arial" w:cs="Arial" w:eastAsia="Arial" w:hAnsi="Arial"/>
                <w:sz w:val="18"/>
                <w:szCs w:val="18"/>
                <w:color w:val="0000FF"/>
              </w:rPr>
              <w:t>116</w:t>
            </w: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09/30/2016</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160" w:type="dxa"/>
            <w:vAlign w:val="bottom"/>
          </w:tcPr>
          <w:p>
            <w:pPr>
              <w:spacing w:after="0"/>
              <w:rPr>
                <w:sz w:val="7"/>
                <w:szCs w:val="7"/>
                <w:color w:val="auto"/>
              </w:rPr>
            </w:pPr>
          </w:p>
        </w:tc>
        <w:tc>
          <w:tcPr>
            <w:tcW w:w="820" w:type="dxa"/>
            <w:vAlign w:val="bottom"/>
            <w:vMerge w:val="restart"/>
          </w:tcPr>
          <w:p>
            <w:pPr>
              <w:ind w:left="460"/>
              <w:spacing w:after="0" w:line="146" w:lineRule="exact"/>
              <w:rPr>
                <w:sz w:val="20"/>
                <w:szCs w:val="20"/>
                <w:color w:val="auto"/>
              </w:rPr>
            </w:pPr>
            <w:r>
              <w:rPr>
                <w:rFonts w:ascii="Arial" w:cs="Arial" w:eastAsia="Arial" w:hAnsi="Arial"/>
                <w:sz w:val="14"/>
                <w:szCs w:val="14"/>
                <w:color w:val="0000FF"/>
              </w:rPr>
              <w:t>116</w:t>
            </w:r>
          </w:p>
        </w:tc>
        <w:tc>
          <w:tcPr>
            <w:tcW w:w="6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320" w:type="dxa"/>
            <w:vAlign w:val="bottom"/>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6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restart"/>
          </w:tcPr>
          <w:p>
            <w:pPr>
              <w:ind w:left="6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60" w:type="dxa"/>
            <w:vAlign w:val="bottom"/>
            <w:vMerge w:val="restart"/>
          </w:tcPr>
          <w:p>
            <w:pPr>
              <w:ind w:left="460"/>
              <w:spacing w:after="0" w:line="146" w:lineRule="exact"/>
              <w:rPr>
                <w:sz w:val="20"/>
                <w:szCs w:val="20"/>
                <w:color w:val="auto"/>
              </w:rPr>
            </w:pPr>
            <w:r>
              <w:rPr>
                <w:rFonts w:ascii="Arial" w:cs="Arial" w:eastAsia="Arial" w:hAnsi="Arial"/>
                <w:sz w:val="14"/>
                <w:szCs w:val="14"/>
                <w:color w:val="0000FF"/>
              </w:rPr>
              <w:t>0</w:t>
            </w:r>
          </w:p>
        </w:tc>
        <w:tc>
          <w:tcPr>
            <w:tcW w:w="940" w:type="dxa"/>
            <w:vAlign w:val="bottom"/>
            <w:vMerge w:val="restart"/>
          </w:tcPr>
          <w:p>
            <w:pPr>
              <w:ind w:left="56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(2)</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Salary Stock Units ("SSUs") awarded on September 30, 2013 pursuant to the Company's Salary Stock Plan (the "GMSSP") and vested upon grant. The portion of this award currently payable was settled on September 30, 2016 in cash, less a portion withheld for taxes.</w:t>
      </w:r>
    </w:p>
    <w:p>
      <w:pPr>
        <w:ind w:left="40" w:right="12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SSU is the economic equivalent of one share of the Common Stock. Grants of SSUs are fully vested when made and settled in three equal, annual installments beginning one year after the date of grant. The GMSSP gives the Reporting Person the option of having a settlement made by delivery of shares of the Common Stock or by the delivery of cash in an amount equal to the fair market value of the Common Stock as of the applicable anniversary date of the SSU's grant. Under the GMSSP, the fair value of the Common Stock is the average of the high and low trading prices for the Common Stock as reported on the New York Stock Exchange, on which it is listed, on the date of the transaction, which was $31.77.</w:t>
      </w:r>
    </w:p>
    <w:p>
      <w:pPr>
        <w:spacing w:after="0" w:line="3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Robert C. Shrosbree,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68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807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Mr.</w:t>
      </w:r>
      <w:r>
        <w:rPr>
          <w:sz w:val="20"/>
          <w:szCs w:val="20"/>
          <w:color w:val="auto"/>
        </w:rPr>
        <w:tab/>
      </w:r>
      <w:r>
        <w:rPr>
          <w:rFonts w:ascii="Arial" w:cs="Arial" w:eastAsia="Arial" w:hAnsi="Arial"/>
          <w:sz w:val="15"/>
          <w:szCs w:val="15"/>
          <w:color w:val="0000FF"/>
        </w:rPr>
        <w:t>10/04/2016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Stevens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467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4671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97149"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2019-12-08T19:12:35Z</dcterms:created>
  <dcterms:modified xsi:type="dcterms:W3CDTF">2019-12-08T19:12:35Z</dcterms:modified>
</cp:coreProperties>
</file>