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Release and Charts Dated February 1,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On February 1, 2013, General Motors Company issued a news release announcing January sales. The release and charts are attached as Exhibit 99.1.</w:t>
      </w:r>
    </w:p>
    <w:p>
      <w:pPr>
        <w:spacing w:after="0" w:line="200" w:lineRule="exact"/>
        <w:rPr>
          <w:sz w:val="20"/>
          <w:szCs w:val="20"/>
          <w:color w:val="auto"/>
        </w:rPr>
      </w:pP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February 1,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0720"/>
          </w:cols>
          <w:pgMar w:left="240" w:top="796" w:right="9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580" w:type="dxa"/>
            <w:vAlign w:val="bottom"/>
            <w:vMerge w:val="restart"/>
          </w:tcPr>
          <w:p>
            <w:pPr>
              <w:spacing w:after="0"/>
              <w:rPr>
                <w:sz w:val="20"/>
                <w:szCs w:val="20"/>
                <w:color w:val="auto"/>
              </w:rPr>
            </w:pPr>
            <w:r>
              <w:rPr>
                <w:rFonts w:ascii="Arial" w:cs="Arial" w:eastAsia="Arial" w:hAnsi="Arial"/>
                <w:sz w:val="18"/>
                <w:szCs w:val="18"/>
                <w:color w:val="auto"/>
              </w:rPr>
              <w:t>Date: February 6, 2013</w:t>
            </w:r>
          </w:p>
        </w:tc>
        <w:tc>
          <w:tcPr>
            <w:tcW w:w="2560" w:type="dxa"/>
            <w:vAlign w:val="bottom"/>
            <w:vMerge w:val="restart"/>
          </w:tcPr>
          <w:p>
            <w:pPr>
              <w:ind w:left="19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2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25400</wp:posOffset>
            </wp:positionV>
            <wp:extent cx="2521585"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158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For Release: Friday, Feb. 1, 2013, 10 a.m. 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Sales Increase 16 Percent in January</w:t>
      </w:r>
    </w:p>
    <w:p>
      <w:pPr>
        <w:spacing w:after="0" w:line="233" w:lineRule="exact"/>
        <w:rPr>
          <w:sz w:val="20"/>
          <w:szCs w:val="20"/>
          <w:color w:val="auto"/>
        </w:rPr>
      </w:pPr>
    </w:p>
    <w:p>
      <w:pPr>
        <w:ind w:right="80"/>
        <w:spacing w:after="0" w:line="272"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announced today that it sold 194,699 vehicles in the United States in January, up 16</w:t>
      </w:r>
      <w:r>
        <w:rPr>
          <w:rFonts w:ascii="Arial" w:cs="Arial" w:eastAsia="Arial" w:hAnsi="Arial"/>
          <w:sz w:val="20"/>
          <w:szCs w:val="20"/>
          <w:b w:val="1"/>
          <w:bCs w:val="1"/>
          <w:color w:val="auto"/>
        </w:rPr>
        <w:t xml:space="preserve"> </w:t>
      </w:r>
      <w:r>
        <w:rPr>
          <w:rFonts w:ascii="Arial" w:cs="Arial" w:eastAsia="Arial" w:hAnsi="Arial"/>
          <w:sz w:val="20"/>
          <w:szCs w:val="20"/>
          <w:color w:val="auto"/>
        </w:rPr>
        <w:t>percent compared with a year ago. Retail sales were up 24 percent. Fleet sales were down 2 percent.</w:t>
      </w:r>
    </w:p>
    <w:p>
      <w:pPr>
        <w:spacing w:after="0" w:line="178"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color w:val="auto"/>
        </w:rPr>
        <w:t xml:space="preserve">“The year is off to a very good start for General Motors,” said Kurt McNeil, vice president of U.S. sales operations. “There's a sense of optimism among our dealers that only comes when you pair a growing economy with great new products. We started to see the benefits in 2012 with vehicles like the </w:t>
      </w:r>
      <w:r>
        <w:rPr>
          <w:rFonts w:ascii="Arial" w:cs="Arial" w:eastAsia="Arial" w:hAnsi="Arial"/>
          <w:sz w:val="20"/>
          <w:szCs w:val="20"/>
          <w:u w:val="single" w:color="auto"/>
          <w:color w:val="0000FF"/>
        </w:rPr>
        <w:t>Chevrolet Sonic</w:t>
      </w:r>
      <w:r>
        <w:rPr>
          <w:rFonts w:ascii="Arial" w:cs="Arial" w:eastAsia="Arial" w:hAnsi="Arial"/>
          <w:sz w:val="20"/>
          <w:szCs w:val="20"/>
          <w:color w:val="auto"/>
        </w:rPr>
        <w:t xml:space="preserve">, </w:t>
      </w:r>
      <w:r>
        <w:rPr>
          <w:rFonts w:ascii="Arial" w:cs="Arial" w:eastAsia="Arial" w:hAnsi="Arial"/>
          <w:sz w:val="20"/>
          <w:szCs w:val="20"/>
          <w:u w:val="single" w:color="auto"/>
          <w:color w:val="0000FF"/>
        </w:rPr>
        <w:t>Cadillac ATS</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Buick Verano</w:t>
      </w:r>
      <w:r>
        <w:rPr>
          <w:rFonts w:ascii="Arial" w:cs="Arial" w:eastAsia="Arial" w:hAnsi="Arial"/>
          <w:sz w:val="20"/>
          <w:szCs w:val="20"/>
          <w:color w:val="auto"/>
        </w:rPr>
        <w:t>. Now in 2013, we're entering the sweet spot of our product plan in a growing economy.”</w:t>
      </w:r>
    </w:p>
    <w:p>
      <w:pPr>
        <w:spacing w:after="0" w:line="207"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 xml:space="preserve">Over the course of 2013, Chevrolet will launch the </w:t>
      </w:r>
      <w:r>
        <w:rPr>
          <w:rFonts w:ascii="Arial" w:cs="Arial" w:eastAsia="Arial" w:hAnsi="Arial"/>
          <w:sz w:val="20"/>
          <w:szCs w:val="20"/>
          <w:u w:val="single" w:color="auto"/>
          <w:color w:val="0000FF"/>
        </w:rPr>
        <w:t>all-new Impala</w:t>
      </w:r>
      <w:r>
        <w:rPr>
          <w:rFonts w:ascii="Arial" w:cs="Arial" w:eastAsia="Arial" w:hAnsi="Arial"/>
          <w:sz w:val="20"/>
          <w:szCs w:val="20"/>
          <w:color w:val="auto"/>
        </w:rPr>
        <w:t xml:space="preserve">, SS, </w:t>
      </w:r>
      <w:r>
        <w:rPr>
          <w:rFonts w:ascii="Arial" w:cs="Arial" w:eastAsia="Arial" w:hAnsi="Arial"/>
          <w:sz w:val="20"/>
          <w:szCs w:val="20"/>
          <w:u w:val="single" w:color="auto"/>
          <w:color w:val="0000FF"/>
        </w:rPr>
        <w:t>Silverado</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Corvette</w:t>
      </w:r>
      <w:r>
        <w:rPr>
          <w:rFonts w:ascii="Arial" w:cs="Arial" w:eastAsia="Arial" w:hAnsi="Arial"/>
          <w:sz w:val="20"/>
          <w:szCs w:val="20"/>
          <w:color w:val="auto"/>
        </w:rPr>
        <w:t xml:space="preserve">, as well as the Cruze diesel and </w:t>
      </w:r>
      <w:r>
        <w:rPr>
          <w:rFonts w:ascii="Arial" w:cs="Arial" w:eastAsia="Arial" w:hAnsi="Arial"/>
          <w:sz w:val="20"/>
          <w:szCs w:val="20"/>
          <w:u w:val="single" w:color="auto"/>
          <w:color w:val="0000FF"/>
        </w:rPr>
        <w:t>Spark EV</w:t>
      </w:r>
      <w:r>
        <w:rPr>
          <w:rFonts w:ascii="Arial" w:cs="Arial" w:eastAsia="Arial" w:hAnsi="Arial"/>
          <w:sz w:val="20"/>
          <w:szCs w:val="20"/>
          <w:color w:val="000000"/>
        </w:rPr>
        <w:t>. Buick is launching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Encore</w:t>
      </w:r>
      <w:r>
        <w:rPr>
          <w:rFonts w:ascii="Arial" w:cs="Arial" w:eastAsia="Arial" w:hAnsi="Arial"/>
          <w:sz w:val="20"/>
          <w:szCs w:val="20"/>
          <w:color w:val="0000FF"/>
        </w:rPr>
        <w:t xml:space="preserve"> </w:t>
      </w:r>
      <w:r>
        <w:rPr>
          <w:rFonts w:ascii="Arial" w:cs="Arial" w:eastAsia="Arial" w:hAnsi="Arial"/>
          <w:sz w:val="20"/>
          <w:szCs w:val="20"/>
          <w:color w:val="000000"/>
        </w:rPr>
        <w:t>small crossover, followed by redesigns of the Regal and LaCrosse. GMC will launch an</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all-new Sierra</w:t>
      </w:r>
      <w:r>
        <w:rPr>
          <w:rFonts w:ascii="Arial" w:cs="Arial" w:eastAsia="Arial" w:hAnsi="Arial"/>
          <w:sz w:val="20"/>
          <w:szCs w:val="20"/>
          <w:color w:val="000000"/>
        </w:rPr>
        <w:t>. Cadillac will launch an all-new CTS.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January Highlights</w:t>
      </w:r>
    </w:p>
    <w:p>
      <w:pPr>
        <w:spacing w:after="0" w:line="24" w:lineRule="exact"/>
        <w:rPr>
          <w:sz w:val="20"/>
          <w:szCs w:val="20"/>
          <w:color w:val="auto"/>
        </w:rPr>
      </w:pPr>
    </w:p>
    <w:p>
      <w:pPr>
        <w:ind w:left="660" w:right="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Total Cadillac sales were up 47 percent, the brand had its highest January retail sales in 23 years and the ATS was named 2013 North American Car of the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Year-over-year sales were up 32 percent at Buick, 23 percent at GMC and 11 percent at Chevrolet.</w:t>
      </w:r>
    </w:p>
    <w:p>
      <w:pPr>
        <w:ind w:left="660" w:right="1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Car sales were up 12 percent compared with a year ago. Truck sales were up 13 percent and crossover sales were up 27 percent.</w:t>
      </w:r>
    </w:p>
    <w:p>
      <w:pPr>
        <w:spacing w:after="0" w:line="1" w:lineRule="exact"/>
        <w:rPr>
          <w:rFonts w:ascii="Arial" w:cs="Arial" w:eastAsia="Arial" w:hAnsi="Arial"/>
          <w:sz w:val="18"/>
          <w:szCs w:val="18"/>
          <w:color w:val="auto"/>
        </w:rPr>
      </w:pPr>
    </w:p>
    <w:p>
      <w:pPr>
        <w:ind w:left="660" w:right="2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Sales of GM's full-size pickups were up 32 percent to 50,230 units and inventories are in-line with the company's sales and production plans for 2013.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Buick's best-selling vehicles in January were the redesigned Enclave crossover, up 57 percent, and the all-new Verano.</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Combined sales of Chevrolet's mini, small and compact cars surpassed 25,000 units and were up 18 percent.</w:t>
      </w:r>
    </w:p>
    <w:p>
      <w:pPr>
        <w:ind w:left="660" w:right="320" w:hanging="328"/>
        <w:spacing w:after="0" w:line="24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Malibu sales have increased each month since November, and were up 8 percent year over year in both total and retail sales.</w:t>
      </w:r>
    </w:p>
    <w:p>
      <w:pPr>
        <w:spacing w:after="0" w:line="321" w:lineRule="exact"/>
        <w:rPr>
          <w:sz w:val="20"/>
          <w:szCs w:val="20"/>
          <w:color w:val="auto"/>
        </w:rPr>
      </w:pPr>
    </w:p>
    <w:tbl>
      <w:tblPr>
        <w:tblLayout w:type="fixed"/>
        <w:tblInd w:w="1090" w:type="dxa"/>
        <w:tblCellMar>
          <w:top w:w="0" w:type="dxa"/>
          <w:left w:w="0" w:type="dxa"/>
          <w:bottom w:w="0" w:type="dxa"/>
          <w:right w:w="0" w:type="dxa"/>
        </w:tblCellMar>
      </w:tblPr>
      <w:tr>
        <w:trPr>
          <w:trHeight w:val="231"/>
        </w:trPr>
        <w:tc>
          <w:tcPr>
            <w:tcW w:w="1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Highlights</w:t>
            </w:r>
          </w:p>
        </w:tc>
        <w:tc>
          <w:tcPr>
            <w:tcW w:w="16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4"/>
                <w:szCs w:val="14"/>
                <w:b w:val="1"/>
                <w:bCs w:val="1"/>
                <w:color w:val="auto"/>
              </w:rPr>
              <w:t>Jan. Total Sales</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Change vs. Jan. 2012</w:t>
            </w:r>
          </w:p>
        </w:tc>
        <w:tc>
          <w:tcPr>
            <w:tcW w:w="360" w:type="dxa"/>
            <w:vAlign w:val="bottom"/>
            <w:tcBorders>
              <w:top w:val="single" w:sz="8" w:color="auto"/>
              <w:right w:val="single" w:sz="8" w:color="auto"/>
            </w:tcBorders>
          </w:tcPr>
          <w:p>
            <w:pPr>
              <w:spacing w:after="0"/>
              <w:rPr>
                <w:sz w:val="20"/>
                <w:szCs w:val="20"/>
                <w:color w:val="auto"/>
              </w:rPr>
            </w:pPr>
          </w:p>
        </w:tc>
        <w:tc>
          <w:tcPr>
            <w:tcW w:w="17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4"/>
                <w:szCs w:val="14"/>
                <w:b w:val="1"/>
                <w:bCs w:val="1"/>
                <w:color w:val="auto"/>
              </w:rPr>
              <w:t>Jan. Retail Sales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Change vs. Jan. 2012</w:t>
            </w:r>
          </w:p>
        </w:tc>
      </w:tr>
      <w:tr>
        <w:trPr>
          <w:trHeight w:val="53"/>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11"/>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Chevrolet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137,304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10.9%</w:t>
            </w:r>
          </w:p>
        </w:tc>
        <w:tc>
          <w:tcPr>
            <w:tcW w:w="3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92,394</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18.2%</w:t>
            </w:r>
          </w:p>
        </w:tc>
      </w:tr>
      <w:tr>
        <w:trPr>
          <w:trHeight w:val="53"/>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11"/>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GMC</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30,816</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23.4%</w:t>
            </w:r>
          </w:p>
        </w:tc>
        <w:tc>
          <w:tcPr>
            <w:tcW w:w="3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28,464</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31.5%</w:t>
            </w:r>
          </w:p>
        </w:tc>
      </w:tr>
      <w:tr>
        <w:trPr>
          <w:trHeight w:val="53"/>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11"/>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Buick</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13,463</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31.9%</w:t>
            </w:r>
          </w:p>
        </w:tc>
        <w:tc>
          <w:tcPr>
            <w:tcW w:w="3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12,418</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30.4%</w:t>
            </w:r>
          </w:p>
        </w:tc>
      </w:tr>
      <w:tr>
        <w:trPr>
          <w:trHeight w:val="53"/>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11"/>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Cadillac</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13,116</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47.0%</w:t>
            </w:r>
          </w:p>
        </w:tc>
        <w:tc>
          <w:tcPr>
            <w:tcW w:w="3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12,341</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47.4%</w:t>
            </w:r>
          </w:p>
        </w:tc>
      </w:tr>
      <w:tr>
        <w:trPr>
          <w:trHeight w:val="53"/>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11"/>
        </w:trPr>
        <w:tc>
          <w:tcPr>
            <w:tcW w:w="1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Total GM</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194,699</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15.9%</w:t>
            </w:r>
          </w:p>
        </w:tc>
        <w:tc>
          <w:tcPr>
            <w:tcW w:w="36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145,617</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23.7%</w:t>
            </w:r>
          </w:p>
        </w:tc>
      </w:tr>
      <w:tr>
        <w:trPr>
          <w:trHeight w:val="53"/>
        </w:trPr>
        <w:tc>
          <w:tcPr>
            <w:tcW w:w="1240" w:type="dxa"/>
            <w:vAlign w:val="bottom"/>
            <w:tcBorders>
              <w:left w:val="single" w:sz="8" w:color="auto"/>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20"/>
          </w:cols>
          <w:pgMar w:left="240" w:top="811" w:right="239" w:bottom="1440" w:gutter="0" w:footer="0" w:header="0"/>
        </w:sectPr>
      </w:pPr>
    </w:p>
    <w:bookmarkStart w:id="5" w:name="page6"/>
    <w:bookmarkEnd w:id="5"/>
    <w:p>
      <w:pPr>
        <w:spacing w:after="0" w:line="1" w:lineRule="exact"/>
        <w:rPr>
          <w:sz w:val="20"/>
          <w:szCs w:val="20"/>
          <w:color w:val="auto"/>
        </w:rPr>
      </w:pPr>
    </w:p>
    <w:tbl>
      <w:tblPr>
        <w:tblLayout w:type="fixed"/>
        <w:tblInd w:w="1930" w:type="dxa"/>
        <w:tblCellMar>
          <w:top w:w="0" w:type="dxa"/>
          <w:left w:w="0" w:type="dxa"/>
          <w:bottom w:w="0" w:type="dxa"/>
          <w:right w:w="0" w:type="dxa"/>
        </w:tblCellMar>
      </w:tblPr>
      <w:tr>
        <w:trPr>
          <w:trHeight w:val="180"/>
        </w:trPr>
        <w:tc>
          <w:tcPr>
            <w:tcW w:w="1180" w:type="dxa"/>
            <w:vAlign w:val="bottom"/>
            <w:tcBorders>
              <w:top w:val="single" w:sz="8" w:color="auto"/>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8"/>
              </w:rPr>
              <w:t>Inventory</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Units @</w:t>
            </w:r>
          </w:p>
        </w:tc>
        <w:tc>
          <w:tcPr>
            <w:tcW w:w="15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Days Supply (selling day</w:t>
            </w:r>
          </w:p>
        </w:tc>
        <w:tc>
          <w:tcPr>
            <w:tcW w:w="320" w:type="dxa"/>
            <w:vAlign w:val="bottom"/>
            <w:tcBorders>
              <w:top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Units @</w:t>
            </w:r>
          </w:p>
        </w:tc>
        <w:tc>
          <w:tcPr>
            <w:tcW w:w="166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Days Supply (selling day</w:t>
            </w:r>
          </w:p>
        </w:tc>
        <w:tc>
          <w:tcPr>
            <w:tcW w:w="0" w:type="dxa"/>
            <w:vAlign w:val="bottom"/>
          </w:tcPr>
          <w:p>
            <w:pPr>
              <w:spacing w:after="0"/>
              <w:rPr>
                <w:sz w:val="1"/>
                <w:szCs w:val="1"/>
                <w:color w:val="auto"/>
              </w:rPr>
            </w:pPr>
          </w:p>
        </w:tc>
      </w:tr>
      <w:tr>
        <w:trPr>
          <w:trHeight w:val="105"/>
        </w:trPr>
        <w:tc>
          <w:tcPr>
            <w:tcW w:w="1180" w:type="dxa"/>
            <w:vAlign w:val="bottom"/>
            <w:tcBorders>
              <w:left w:val="single" w:sz="8" w:color="auto"/>
              <w:right w:val="single" w:sz="8" w:color="auto"/>
            </w:tcBorders>
            <w:gridSpan w:val="2"/>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Jan. 31, 2013</w:t>
            </w:r>
          </w:p>
        </w:tc>
        <w:tc>
          <w:tcPr>
            <w:tcW w:w="220" w:type="dxa"/>
            <w:vAlign w:val="bottom"/>
          </w:tcPr>
          <w:p>
            <w:pPr>
              <w:spacing w:after="0"/>
              <w:rPr>
                <w:sz w:val="9"/>
                <w:szCs w:val="9"/>
                <w:color w:val="auto"/>
              </w:rPr>
            </w:pPr>
          </w:p>
        </w:tc>
        <w:tc>
          <w:tcPr>
            <w:tcW w:w="1360" w:type="dxa"/>
            <w:vAlign w:val="bottom"/>
            <w:tcBorders>
              <w:right w:val="single" w:sz="8" w:color="auto"/>
            </w:tcBorders>
            <w:vMerge w:val="restart"/>
          </w:tcPr>
          <w:p>
            <w:pPr>
              <w:jc w:val="center"/>
              <w:ind w:right="188"/>
              <w:spacing w:after="0"/>
              <w:rPr>
                <w:sz w:val="20"/>
                <w:szCs w:val="20"/>
                <w:color w:val="auto"/>
              </w:rPr>
            </w:pPr>
            <w:r>
              <w:rPr>
                <w:rFonts w:ascii="Arial" w:cs="Arial" w:eastAsia="Arial" w:hAnsi="Arial"/>
                <w:sz w:val="14"/>
                <w:szCs w:val="14"/>
                <w:b w:val="1"/>
                <w:bCs w:val="1"/>
                <w:color w:val="auto"/>
                <w:w w:val="93"/>
              </w:rPr>
              <w:t>adjusted)</w:t>
            </w:r>
          </w:p>
        </w:tc>
        <w:tc>
          <w:tcPr>
            <w:tcW w:w="320" w:type="dxa"/>
            <w:vAlign w:val="bottom"/>
          </w:tcPr>
          <w:p>
            <w:pPr>
              <w:spacing w:after="0"/>
              <w:rPr>
                <w:sz w:val="9"/>
                <w:szCs w:val="9"/>
                <w:color w:val="auto"/>
              </w:rPr>
            </w:pPr>
          </w:p>
        </w:tc>
        <w:tc>
          <w:tcPr>
            <w:tcW w:w="1340" w:type="dxa"/>
            <w:vAlign w:val="bottom"/>
            <w:tcBorders>
              <w:right w:val="single" w:sz="8" w:color="auto"/>
            </w:tcBorders>
            <w:vMerge w:val="restart"/>
          </w:tcPr>
          <w:p>
            <w:pPr>
              <w:jc w:val="center"/>
              <w:ind w:right="288"/>
              <w:spacing w:after="0"/>
              <w:rPr>
                <w:sz w:val="20"/>
                <w:szCs w:val="20"/>
                <w:color w:val="auto"/>
              </w:rPr>
            </w:pPr>
            <w:r>
              <w:rPr>
                <w:rFonts w:ascii="Arial" w:cs="Arial" w:eastAsia="Arial" w:hAnsi="Arial"/>
                <w:sz w:val="14"/>
                <w:szCs w:val="14"/>
                <w:b w:val="1"/>
                <w:bCs w:val="1"/>
                <w:color w:val="auto"/>
              </w:rPr>
              <w:t>Dec. 31, 2012</w:t>
            </w:r>
          </w:p>
        </w:tc>
        <w:tc>
          <w:tcPr>
            <w:tcW w:w="16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adjusted)</w:t>
            </w:r>
          </w:p>
        </w:tc>
        <w:tc>
          <w:tcPr>
            <w:tcW w:w="0" w:type="dxa"/>
            <w:vAlign w:val="bottom"/>
          </w:tcPr>
          <w:p>
            <w:pPr>
              <w:spacing w:after="0"/>
              <w:rPr>
                <w:sz w:val="1"/>
                <w:szCs w:val="1"/>
                <w:color w:val="auto"/>
              </w:rPr>
            </w:pPr>
          </w:p>
        </w:tc>
      </w:tr>
      <w:tr>
        <w:trPr>
          <w:trHeight w:val="101"/>
        </w:trPr>
        <w:tc>
          <w:tcPr>
            <w:tcW w:w="820" w:type="dxa"/>
            <w:vAlign w:val="bottom"/>
            <w:tcBorders>
              <w:left w:val="single" w:sz="8" w:color="auto"/>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40" w:type="dxa"/>
            <w:vAlign w:val="bottom"/>
            <w:tcBorders>
              <w:bottom w:val="single" w:sz="8" w:color="auto"/>
              <w:right w:val="single" w:sz="8" w:color="auto"/>
            </w:tcBorders>
            <w:vMerge w:val="continue"/>
          </w:tcPr>
          <w:p>
            <w:pPr>
              <w:spacing w:after="0"/>
              <w:rPr>
                <w:sz w:val="8"/>
                <w:szCs w:val="8"/>
                <w:color w:val="auto"/>
              </w:rPr>
            </w:pPr>
          </w:p>
        </w:tc>
        <w:tc>
          <w:tcPr>
            <w:tcW w:w="1660" w:type="dxa"/>
            <w:vAlign w:val="bottom"/>
            <w:tcBorders>
              <w:bottom w:val="single" w:sz="8" w:color="auto"/>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6"/>
              </w:rPr>
              <w:t>All Vehicles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737,885</w:t>
            </w:r>
          </w:p>
        </w:tc>
        <w:tc>
          <w:tcPr>
            <w:tcW w:w="1580" w:type="dxa"/>
            <w:vAlign w:val="bottom"/>
            <w:tcBorders>
              <w:bottom w:val="single" w:sz="8" w:color="auto"/>
              <w:right w:val="single" w:sz="8" w:color="auto"/>
            </w:tcBorders>
            <w:gridSpan w:val="2"/>
          </w:tcPr>
          <w:p>
            <w:pPr>
              <w:jc w:val="right"/>
              <w:ind w:right="668"/>
              <w:spacing w:after="0"/>
              <w:rPr>
                <w:sz w:val="20"/>
                <w:szCs w:val="20"/>
                <w:color w:val="auto"/>
              </w:rPr>
            </w:pPr>
            <w:r>
              <w:rPr>
                <w:rFonts w:ascii="Arial" w:cs="Arial" w:eastAsia="Arial" w:hAnsi="Arial"/>
                <w:sz w:val="14"/>
                <w:szCs w:val="14"/>
                <w:color w:val="auto"/>
              </w:rPr>
              <w:t>95</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w w:val="94"/>
              </w:rPr>
              <w:t>717,025</w:t>
            </w:r>
          </w:p>
        </w:tc>
        <w:tc>
          <w:tcPr>
            <w:tcW w:w="16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6"/>
        </w:trPr>
        <w:tc>
          <w:tcPr>
            <w:tcW w:w="118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5"/>
              </w:rPr>
              <w:t>Full-size Pickups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234,342</w:t>
            </w:r>
          </w:p>
        </w:tc>
        <w:tc>
          <w:tcPr>
            <w:tcW w:w="1580" w:type="dxa"/>
            <w:vAlign w:val="bottom"/>
            <w:tcBorders>
              <w:bottom w:val="single" w:sz="8" w:color="auto"/>
              <w:right w:val="single" w:sz="8" w:color="auto"/>
            </w:tcBorders>
            <w:gridSpan w:val="2"/>
          </w:tcPr>
          <w:p>
            <w:pPr>
              <w:jc w:val="right"/>
              <w:ind w:right="628"/>
              <w:spacing w:after="0"/>
              <w:rPr>
                <w:sz w:val="20"/>
                <w:szCs w:val="20"/>
                <w:color w:val="auto"/>
              </w:rPr>
            </w:pPr>
            <w:r>
              <w:rPr>
                <w:rFonts w:ascii="Arial" w:cs="Arial" w:eastAsia="Arial" w:hAnsi="Arial"/>
                <w:sz w:val="14"/>
                <w:szCs w:val="14"/>
                <w:color w:val="auto"/>
              </w:rPr>
              <w:t>117</w:t>
            </w: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jc w:val="center"/>
              <w:ind w:right="268"/>
              <w:spacing w:after="0"/>
              <w:rPr>
                <w:sz w:val="20"/>
                <w:szCs w:val="20"/>
                <w:color w:val="auto"/>
              </w:rPr>
            </w:pPr>
            <w:r>
              <w:rPr>
                <w:rFonts w:ascii="Arial" w:cs="Arial" w:eastAsia="Arial" w:hAnsi="Arial"/>
                <w:sz w:val="14"/>
                <w:szCs w:val="14"/>
                <w:color w:val="auto"/>
                <w:w w:val="94"/>
              </w:rPr>
              <w:t>221,649</w:t>
            </w:r>
          </w:p>
        </w:tc>
        <w:tc>
          <w:tcPr>
            <w:tcW w:w="16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spacing w:after="0"/>
              <w:rPr>
                <w:sz w:val="24"/>
                <w:szCs w:val="24"/>
                <w:color w:val="auto"/>
              </w:rPr>
            </w:pPr>
          </w:p>
        </w:tc>
        <w:tc>
          <w:tcPr>
            <w:tcW w:w="3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tcBorders>
              <w:right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Industry Sales</w:t>
            </w:r>
          </w:p>
        </w:tc>
        <w:tc>
          <w:tcPr>
            <w:tcW w:w="220" w:type="dxa"/>
            <w:vAlign w:val="bottom"/>
            <w:tcBorders>
              <w:top w:val="single" w:sz="8" w:color="auto"/>
              <w:bottom w:val="single" w:sz="8" w:color="auto"/>
              <w:right w:val="single" w:sz="8" w:color="auto"/>
            </w:tcBorders>
          </w:tcPr>
          <w:p>
            <w:pPr>
              <w:spacing w:after="0"/>
              <w:rPr>
                <w:sz w:val="16"/>
                <w:szCs w:val="16"/>
                <w:color w:val="auto"/>
              </w:rPr>
            </w:pPr>
          </w:p>
        </w:tc>
        <w:tc>
          <w:tcPr>
            <w:tcW w:w="1680" w:type="dxa"/>
            <w:vAlign w:val="bottom"/>
            <w:tcBorders>
              <w:top w:val="single" w:sz="8" w:color="auto"/>
              <w:bottom w:val="single" w:sz="8" w:color="auto"/>
              <w:right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Jan. SAAR (est.)</w:t>
            </w:r>
          </w:p>
        </w:tc>
        <w:tc>
          <w:tcPr>
            <w:tcW w:w="22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Calendar Year (est.)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6"/>
              </w:rPr>
              <w:t>Light Vehicles</w:t>
            </w:r>
          </w:p>
        </w:tc>
        <w:tc>
          <w:tcPr>
            <w:tcW w:w="22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4"/>
                <w:szCs w:val="14"/>
                <w:color w:val="auto"/>
              </w:rPr>
              <w:t>15.3 million range</w:t>
            </w:r>
          </w:p>
        </w:tc>
        <w:tc>
          <w:tcPr>
            <w:tcW w:w="22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4"/>
              </w:rPr>
              <w:t>15.0 - 15.5 million range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ectPr>
          <w:pgSz w:w="11900" w:h="16838" w:orient="portrait"/>
          <w:cols w:equalWidth="0" w:num="1">
            <w:col w:w="11360"/>
          </w:cols>
          <w:pgMar w:left="240" w:top="714" w:right="2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January</w:t>
            </w:r>
          </w:p>
        </w:tc>
        <w:tc>
          <w:tcPr>
            <w:tcW w:w="10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96"/>
              </w:rPr>
              <w:t>January - January</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2013</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4,895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3,124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56.7</w:t>
            </w:r>
          </w:p>
        </w:tc>
        <w:tc>
          <w:tcPr>
            <w:tcW w:w="1080" w:type="dxa"/>
            <w:vAlign w:val="bottom"/>
          </w:tcPr>
          <w:p>
            <w:pPr>
              <w:jc w:val="right"/>
              <w:spacing w:after="0"/>
              <w:rPr>
                <w:sz w:val="20"/>
                <w:szCs w:val="20"/>
                <w:color w:val="auto"/>
              </w:rPr>
            </w:pPr>
            <w:r>
              <w:rPr>
                <w:rFonts w:ascii="Arial" w:cs="Arial" w:eastAsia="Arial" w:hAnsi="Arial"/>
                <w:sz w:val="14"/>
                <w:szCs w:val="14"/>
                <w:color w:val="auto"/>
              </w:rPr>
              <w:t>4,895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3,124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56.7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353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353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3,548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4,013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(11.6)</w:t>
            </w:r>
          </w:p>
        </w:tc>
        <w:tc>
          <w:tcPr>
            <w:tcW w:w="1080" w:type="dxa"/>
            <w:vAlign w:val="bottom"/>
          </w:tcPr>
          <w:p>
            <w:pPr>
              <w:jc w:val="right"/>
              <w:spacing w:after="0"/>
              <w:rPr>
                <w:sz w:val="20"/>
                <w:szCs w:val="20"/>
                <w:color w:val="auto"/>
              </w:rPr>
            </w:pPr>
            <w:r>
              <w:rPr>
                <w:rFonts w:ascii="Arial" w:cs="Arial" w:eastAsia="Arial" w:hAnsi="Arial"/>
                <w:sz w:val="14"/>
                <w:szCs w:val="14"/>
                <w:color w:val="auto"/>
              </w:rPr>
              <w:t>3,548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4,013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Lucerne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421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(99.5)</w:t>
            </w: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421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1,005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1,855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(45.8)</w:t>
            </w:r>
          </w:p>
        </w:tc>
        <w:tc>
          <w:tcPr>
            <w:tcW w:w="1080" w:type="dxa"/>
            <w:vAlign w:val="bottom"/>
          </w:tcPr>
          <w:p>
            <w:pPr>
              <w:jc w:val="right"/>
              <w:spacing w:after="0"/>
              <w:rPr>
                <w:sz w:val="20"/>
                <w:szCs w:val="20"/>
                <w:color w:val="auto"/>
              </w:rPr>
            </w:pPr>
            <w:r>
              <w:rPr>
                <w:rFonts w:ascii="Arial" w:cs="Arial" w:eastAsia="Arial" w:hAnsi="Arial"/>
                <w:sz w:val="14"/>
                <w:szCs w:val="14"/>
                <w:color w:val="auto"/>
              </w:rPr>
              <w:t>1,005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1,855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(45.8)</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3,660</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795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360.4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795</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360.4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Buick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13,463</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10,208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13,463</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10,208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31.9</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2,781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2,781</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2,505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3,019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(17.0)</w:t>
            </w:r>
          </w:p>
        </w:tc>
        <w:tc>
          <w:tcPr>
            <w:tcW w:w="1080" w:type="dxa"/>
            <w:vAlign w:val="bottom"/>
          </w:tcPr>
          <w:p>
            <w:pPr>
              <w:jc w:val="right"/>
              <w:spacing w:after="0"/>
              <w:rPr>
                <w:sz w:val="20"/>
                <w:szCs w:val="20"/>
                <w:color w:val="auto"/>
              </w:rPr>
            </w:pPr>
            <w:r>
              <w:rPr>
                <w:rFonts w:ascii="Arial" w:cs="Arial" w:eastAsia="Arial" w:hAnsi="Arial"/>
                <w:sz w:val="14"/>
                <w:szCs w:val="14"/>
                <w:color w:val="auto"/>
              </w:rPr>
              <w:t>2,505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3,019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(17.0)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DTS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(96.6)</w:t>
            </w: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89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(96.6)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857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985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(13.0)</w:t>
            </w:r>
          </w:p>
        </w:tc>
        <w:tc>
          <w:tcPr>
            <w:tcW w:w="1080" w:type="dxa"/>
            <w:vAlign w:val="bottom"/>
          </w:tcPr>
          <w:p>
            <w:pPr>
              <w:jc w:val="right"/>
              <w:spacing w:after="0"/>
              <w:rPr>
                <w:sz w:val="20"/>
                <w:szCs w:val="20"/>
                <w:color w:val="auto"/>
              </w:rPr>
            </w:pPr>
            <w:r>
              <w:rPr>
                <w:rFonts w:ascii="Arial" w:cs="Arial" w:eastAsia="Arial" w:hAnsi="Arial"/>
                <w:sz w:val="14"/>
                <w:szCs w:val="14"/>
                <w:color w:val="auto"/>
              </w:rPr>
              <w:t>857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985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518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531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w:t>
            </w:r>
          </w:p>
        </w:tc>
        <w:tc>
          <w:tcPr>
            <w:tcW w:w="1080" w:type="dxa"/>
            <w:vAlign w:val="bottom"/>
          </w:tcPr>
          <w:p>
            <w:pPr>
              <w:jc w:val="right"/>
              <w:spacing w:after="0"/>
              <w:rPr>
                <w:sz w:val="20"/>
                <w:szCs w:val="20"/>
                <w:color w:val="auto"/>
              </w:rPr>
            </w:pPr>
            <w:r>
              <w:rPr>
                <w:rFonts w:ascii="Arial" w:cs="Arial" w:eastAsia="Arial" w:hAnsi="Arial"/>
                <w:sz w:val="14"/>
                <w:szCs w:val="14"/>
                <w:color w:val="auto"/>
              </w:rPr>
              <w:t>518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531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172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59.3</w:t>
            </w:r>
          </w:p>
        </w:tc>
        <w:tc>
          <w:tcPr>
            <w:tcW w:w="1080" w:type="dxa"/>
            <w:vAlign w:val="bottom"/>
          </w:tcPr>
          <w:p>
            <w:pPr>
              <w:jc w:val="right"/>
              <w:spacing w:after="0"/>
              <w:rPr>
                <w:sz w:val="20"/>
                <w:szCs w:val="20"/>
                <w:color w:val="auto"/>
              </w:rPr>
            </w:pPr>
            <w:r>
              <w:rPr>
                <w:rFonts w:ascii="Arial" w:cs="Arial" w:eastAsia="Arial" w:hAnsi="Arial"/>
                <w:sz w:val="14"/>
                <w:szCs w:val="14"/>
                <w:color w:val="auto"/>
              </w:rPr>
              <w:t>172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108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59.3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4,380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4,166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5.1</w:t>
            </w:r>
          </w:p>
        </w:tc>
        <w:tc>
          <w:tcPr>
            <w:tcW w:w="1080" w:type="dxa"/>
            <w:vAlign w:val="bottom"/>
          </w:tcPr>
          <w:p>
            <w:pPr>
              <w:jc w:val="right"/>
              <w:spacing w:after="0"/>
              <w:rPr>
                <w:sz w:val="20"/>
                <w:szCs w:val="20"/>
                <w:color w:val="auto"/>
              </w:rPr>
            </w:pPr>
            <w:r>
              <w:rPr>
                <w:rFonts w:ascii="Arial" w:cs="Arial" w:eastAsia="Arial" w:hAnsi="Arial"/>
                <w:sz w:val="14"/>
                <w:szCs w:val="14"/>
                <w:color w:val="auto"/>
              </w:rPr>
              <w:t>4,380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4,166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1,900</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Cadillac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13,116</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8,924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47.0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13,116</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8,924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47.0</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1,939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1,617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19.9</w:t>
            </w:r>
          </w:p>
        </w:tc>
        <w:tc>
          <w:tcPr>
            <w:tcW w:w="1080" w:type="dxa"/>
            <w:vAlign w:val="bottom"/>
          </w:tcPr>
          <w:p>
            <w:pPr>
              <w:jc w:val="right"/>
              <w:spacing w:after="0"/>
              <w:rPr>
                <w:sz w:val="20"/>
                <w:szCs w:val="20"/>
                <w:color w:val="auto"/>
              </w:rPr>
            </w:pPr>
            <w:r>
              <w:rPr>
                <w:rFonts w:ascii="Arial" w:cs="Arial" w:eastAsia="Arial" w:hAnsi="Arial"/>
                <w:sz w:val="14"/>
                <w:szCs w:val="14"/>
                <w:color w:val="auto"/>
              </w:rPr>
              <w:t>1,939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1,617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Aveo</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4,925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5,709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(13.7)</w:t>
            </w:r>
          </w:p>
        </w:tc>
        <w:tc>
          <w:tcPr>
            <w:tcW w:w="1080" w:type="dxa"/>
            <w:vAlign w:val="bottom"/>
          </w:tcPr>
          <w:p>
            <w:pPr>
              <w:jc w:val="right"/>
              <w:spacing w:after="0"/>
              <w:rPr>
                <w:sz w:val="20"/>
                <w:szCs w:val="20"/>
                <w:color w:val="auto"/>
              </w:rPr>
            </w:pPr>
            <w:r>
              <w:rPr>
                <w:rFonts w:ascii="Arial" w:cs="Arial" w:eastAsia="Arial" w:hAnsi="Arial"/>
                <w:sz w:val="14"/>
                <w:szCs w:val="14"/>
                <w:color w:val="auto"/>
              </w:rPr>
              <w:t>4,925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5,709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237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157.6</w:t>
            </w:r>
          </w:p>
        </w:tc>
        <w:tc>
          <w:tcPr>
            <w:tcW w:w="1080" w:type="dxa"/>
            <w:vAlign w:val="bottom"/>
          </w:tcPr>
          <w:p>
            <w:pPr>
              <w:jc w:val="right"/>
              <w:spacing w:after="0"/>
              <w:rPr>
                <w:sz w:val="20"/>
                <w:szCs w:val="20"/>
                <w:color w:val="auto"/>
              </w:rPr>
            </w:pPr>
            <w:r>
              <w:rPr>
                <w:rFonts w:ascii="Arial" w:cs="Arial" w:eastAsia="Arial" w:hAnsi="Arial"/>
                <w:sz w:val="14"/>
                <w:szCs w:val="14"/>
                <w:color w:val="auto"/>
              </w:rPr>
              <w:t>237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92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157.6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3,936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2,261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74.1</w:t>
            </w:r>
          </w:p>
        </w:tc>
        <w:tc>
          <w:tcPr>
            <w:tcW w:w="1080" w:type="dxa"/>
            <w:vAlign w:val="bottom"/>
          </w:tcPr>
          <w:p>
            <w:pPr>
              <w:jc w:val="right"/>
              <w:spacing w:after="0"/>
              <w:rPr>
                <w:sz w:val="20"/>
                <w:szCs w:val="20"/>
                <w:color w:val="auto"/>
              </w:rPr>
            </w:pPr>
            <w:r>
              <w:rPr>
                <w:rFonts w:ascii="Arial" w:cs="Arial" w:eastAsia="Arial" w:hAnsi="Arial"/>
                <w:sz w:val="14"/>
                <w:szCs w:val="14"/>
                <w:color w:val="auto"/>
              </w:rPr>
              <w:t>3,936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2,261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74.1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Cobalt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822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2,872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(71.4)</w:t>
            </w:r>
          </w:p>
        </w:tc>
        <w:tc>
          <w:tcPr>
            <w:tcW w:w="1080" w:type="dxa"/>
            <w:vAlign w:val="bottom"/>
          </w:tcPr>
          <w:p>
            <w:pPr>
              <w:jc w:val="right"/>
              <w:spacing w:after="0"/>
              <w:rPr>
                <w:sz w:val="20"/>
                <w:szCs w:val="20"/>
                <w:color w:val="auto"/>
              </w:rPr>
            </w:pPr>
            <w:r>
              <w:rPr>
                <w:rFonts w:ascii="Arial" w:cs="Arial" w:eastAsia="Arial" w:hAnsi="Arial"/>
                <w:sz w:val="14"/>
                <w:szCs w:val="14"/>
                <w:color w:val="auto"/>
              </w:rPr>
              <w:t>822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2,872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(71.4)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908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629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44.4</w:t>
            </w:r>
          </w:p>
        </w:tc>
        <w:tc>
          <w:tcPr>
            <w:tcW w:w="1080" w:type="dxa"/>
            <w:vAlign w:val="bottom"/>
          </w:tcPr>
          <w:p>
            <w:pPr>
              <w:jc w:val="right"/>
              <w:spacing w:after="0"/>
              <w:rPr>
                <w:sz w:val="20"/>
                <w:szCs w:val="20"/>
                <w:color w:val="auto"/>
              </w:rPr>
            </w:pPr>
            <w:r>
              <w:rPr>
                <w:rFonts w:ascii="Arial" w:cs="Arial" w:eastAsia="Arial" w:hAnsi="Arial"/>
                <w:sz w:val="14"/>
                <w:szCs w:val="14"/>
                <w:color w:val="auto"/>
              </w:rPr>
              <w:t>908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629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44.4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14,524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15,049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(3.5)</w:t>
            </w:r>
          </w:p>
        </w:tc>
        <w:tc>
          <w:tcPr>
            <w:tcW w:w="1080" w:type="dxa"/>
            <w:vAlign w:val="bottom"/>
          </w:tcPr>
          <w:p>
            <w:pPr>
              <w:jc w:val="right"/>
              <w:spacing w:after="0"/>
              <w:rPr>
                <w:sz w:val="20"/>
                <w:szCs w:val="20"/>
                <w:color w:val="auto"/>
              </w:rPr>
            </w:pPr>
            <w:r>
              <w:rPr>
                <w:rFonts w:ascii="Arial" w:cs="Arial" w:eastAsia="Arial" w:hAnsi="Arial"/>
                <w:sz w:val="14"/>
                <w:szCs w:val="14"/>
                <w:color w:val="auto"/>
              </w:rPr>
              <w:t>14,524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15,049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17,223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13,662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26.1</w:t>
            </w:r>
          </w:p>
        </w:tc>
        <w:tc>
          <w:tcPr>
            <w:tcW w:w="1080" w:type="dxa"/>
            <w:vAlign w:val="bottom"/>
          </w:tcPr>
          <w:p>
            <w:pPr>
              <w:jc w:val="right"/>
              <w:spacing w:after="0"/>
              <w:rPr>
                <w:sz w:val="20"/>
                <w:szCs w:val="20"/>
                <w:color w:val="auto"/>
              </w:rPr>
            </w:pPr>
            <w:r>
              <w:rPr>
                <w:rFonts w:ascii="Arial" w:cs="Arial" w:eastAsia="Arial" w:hAnsi="Arial"/>
                <w:sz w:val="14"/>
                <w:szCs w:val="14"/>
                <w:color w:val="auto"/>
              </w:rPr>
              <w:t>17,223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13,662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26.1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3,962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4,532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(12.6)</w:t>
            </w:r>
          </w:p>
        </w:tc>
        <w:tc>
          <w:tcPr>
            <w:tcW w:w="1080" w:type="dxa"/>
            <w:vAlign w:val="bottom"/>
          </w:tcPr>
          <w:p>
            <w:pPr>
              <w:jc w:val="right"/>
              <w:spacing w:after="0"/>
              <w:rPr>
                <w:sz w:val="20"/>
                <w:szCs w:val="20"/>
                <w:color w:val="auto"/>
              </w:rPr>
            </w:pPr>
            <w:r>
              <w:rPr>
                <w:rFonts w:ascii="Arial" w:cs="Arial" w:eastAsia="Arial" w:hAnsi="Arial"/>
                <w:sz w:val="14"/>
                <w:szCs w:val="14"/>
                <w:color w:val="auto"/>
              </w:rPr>
              <w:t>3,962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4,532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(12.6)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HHR</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(75.0)</w:t>
            </w: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(75.0)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14,153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16,009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(11.6)</w:t>
            </w:r>
          </w:p>
        </w:tc>
        <w:tc>
          <w:tcPr>
            <w:tcW w:w="1080" w:type="dxa"/>
            <w:vAlign w:val="bottom"/>
          </w:tcPr>
          <w:p>
            <w:pPr>
              <w:jc w:val="right"/>
              <w:spacing w:after="0"/>
              <w:rPr>
                <w:sz w:val="20"/>
                <w:szCs w:val="20"/>
                <w:color w:val="auto"/>
              </w:rPr>
            </w:pPr>
            <w:r>
              <w:rPr>
                <w:rFonts w:ascii="Arial" w:cs="Arial" w:eastAsia="Arial" w:hAnsi="Arial"/>
                <w:sz w:val="14"/>
                <w:szCs w:val="14"/>
                <w:color w:val="auto"/>
              </w:rPr>
              <w:t>14,153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16,009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15,823</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14,676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7.8</w:t>
            </w:r>
          </w:p>
        </w:tc>
        <w:tc>
          <w:tcPr>
            <w:tcW w:w="1080" w:type="dxa"/>
            <w:vAlign w:val="bottom"/>
          </w:tcPr>
          <w:p>
            <w:pPr>
              <w:jc w:val="right"/>
              <w:spacing w:after="0"/>
              <w:rPr>
                <w:sz w:val="20"/>
                <w:szCs w:val="20"/>
                <w:color w:val="auto"/>
              </w:rPr>
            </w:pPr>
            <w:r>
              <w:rPr>
                <w:rFonts w:ascii="Arial" w:cs="Arial" w:eastAsia="Arial" w:hAnsi="Arial"/>
                <w:sz w:val="14"/>
                <w:szCs w:val="14"/>
                <w:color w:val="auto"/>
              </w:rPr>
              <w:t>15,823</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14,676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35,445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26,850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32.0</w:t>
            </w:r>
          </w:p>
        </w:tc>
        <w:tc>
          <w:tcPr>
            <w:tcW w:w="1080" w:type="dxa"/>
            <w:vAlign w:val="bottom"/>
          </w:tcPr>
          <w:p>
            <w:pPr>
              <w:jc w:val="right"/>
              <w:spacing w:after="0"/>
              <w:rPr>
                <w:sz w:val="20"/>
                <w:szCs w:val="20"/>
                <w:color w:val="auto"/>
              </w:rPr>
            </w:pPr>
            <w:r>
              <w:rPr>
                <w:rFonts w:ascii="Arial" w:cs="Arial" w:eastAsia="Arial" w:hAnsi="Arial"/>
                <w:sz w:val="14"/>
                <w:szCs w:val="14"/>
                <w:color w:val="auto"/>
              </w:rPr>
              <w:t>35,445</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26,850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32.0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7,177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5,712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25.6</w:t>
            </w:r>
          </w:p>
        </w:tc>
        <w:tc>
          <w:tcPr>
            <w:tcW w:w="1080" w:type="dxa"/>
            <w:vAlign w:val="bottom"/>
          </w:tcPr>
          <w:p>
            <w:pPr>
              <w:jc w:val="right"/>
              <w:spacing w:after="0"/>
              <w:rPr>
                <w:sz w:val="20"/>
                <w:szCs w:val="20"/>
                <w:color w:val="auto"/>
              </w:rPr>
            </w:pPr>
            <w:r>
              <w:rPr>
                <w:rFonts w:ascii="Arial" w:cs="Arial" w:eastAsia="Arial" w:hAnsi="Arial"/>
                <w:sz w:val="14"/>
                <w:szCs w:val="14"/>
                <w:color w:val="auto"/>
              </w:rPr>
              <w:t>7,177</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5,712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25.6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2,408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2,408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2,292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2,935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(21.9)</w:t>
            </w:r>
          </w:p>
        </w:tc>
        <w:tc>
          <w:tcPr>
            <w:tcW w:w="1080" w:type="dxa"/>
            <w:vAlign w:val="bottom"/>
          </w:tcPr>
          <w:p>
            <w:pPr>
              <w:jc w:val="right"/>
              <w:spacing w:after="0"/>
              <w:rPr>
                <w:sz w:val="20"/>
                <w:szCs w:val="20"/>
                <w:color w:val="auto"/>
              </w:rPr>
            </w:pPr>
            <w:r>
              <w:rPr>
                <w:rFonts w:ascii="Arial" w:cs="Arial" w:eastAsia="Arial" w:hAnsi="Arial"/>
                <w:sz w:val="14"/>
                <w:szCs w:val="14"/>
                <w:color w:val="auto"/>
              </w:rPr>
              <w:t>2,292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2,935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(21.9)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3,619</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3,995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(9.4)</w:t>
            </w:r>
          </w:p>
        </w:tc>
        <w:tc>
          <w:tcPr>
            <w:tcW w:w="1080" w:type="dxa"/>
            <w:vAlign w:val="bottom"/>
          </w:tcPr>
          <w:p>
            <w:pPr>
              <w:jc w:val="right"/>
              <w:spacing w:after="0"/>
              <w:rPr>
                <w:sz w:val="20"/>
                <w:szCs w:val="20"/>
                <w:color w:val="auto"/>
              </w:rPr>
            </w:pPr>
            <w:r>
              <w:rPr>
                <w:rFonts w:ascii="Arial" w:cs="Arial" w:eastAsia="Arial" w:hAnsi="Arial"/>
                <w:sz w:val="14"/>
                <w:szCs w:val="14"/>
                <w:color w:val="auto"/>
              </w:rPr>
              <w:t>3,619</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3,995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6,770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6,640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w:t>
            </w:r>
          </w:p>
        </w:tc>
        <w:tc>
          <w:tcPr>
            <w:tcW w:w="1080" w:type="dxa"/>
            <w:vAlign w:val="bottom"/>
          </w:tcPr>
          <w:p>
            <w:pPr>
              <w:jc w:val="right"/>
              <w:spacing w:after="0"/>
              <w:rPr>
                <w:sz w:val="20"/>
                <w:szCs w:val="20"/>
                <w:color w:val="auto"/>
              </w:rPr>
            </w:pPr>
            <w:r>
              <w:rPr>
                <w:rFonts w:ascii="Arial" w:cs="Arial" w:eastAsia="Arial" w:hAnsi="Arial"/>
                <w:sz w:val="14"/>
                <w:szCs w:val="14"/>
                <w:color w:val="auto"/>
              </w:rPr>
              <w:t>6,770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6,640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1,140</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603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89.1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603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89.1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Chevrolet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137,304</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123,864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137,304</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123,864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10.9</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5,188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4,870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6.5</w:t>
            </w:r>
          </w:p>
        </w:tc>
        <w:tc>
          <w:tcPr>
            <w:tcW w:w="1080" w:type="dxa"/>
            <w:vAlign w:val="bottom"/>
          </w:tcPr>
          <w:p>
            <w:pPr>
              <w:jc w:val="right"/>
              <w:spacing w:after="0"/>
              <w:rPr>
                <w:sz w:val="20"/>
                <w:szCs w:val="20"/>
                <w:color w:val="auto"/>
              </w:rPr>
            </w:pPr>
            <w:r>
              <w:rPr>
                <w:rFonts w:ascii="Arial" w:cs="Arial" w:eastAsia="Arial" w:hAnsi="Arial"/>
                <w:sz w:val="14"/>
                <w:szCs w:val="14"/>
                <w:color w:val="auto"/>
              </w:rPr>
              <w:t>5,188</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4,870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302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1,059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(71.5)</w:t>
            </w:r>
          </w:p>
        </w:tc>
        <w:tc>
          <w:tcPr>
            <w:tcW w:w="1080" w:type="dxa"/>
            <w:vAlign w:val="bottom"/>
          </w:tcPr>
          <w:p>
            <w:pPr>
              <w:jc w:val="right"/>
              <w:spacing w:after="0"/>
              <w:rPr>
                <w:sz w:val="20"/>
                <w:szCs w:val="20"/>
                <w:color w:val="auto"/>
              </w:rPr>
            </w:pPr>
            <w:r>
              <w:rPr>
                <w:rFonts w:ascii="Arial" w:cs="Arial" w:eastAsia="Arial" w:hAnsi="Arial"/>
                <w:sz w:val="14"/>
                <w:szCs w:val="14"/>
                <w:color w:val="auto"/>
              </w:rPr>
              <w:t>302</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1,059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(71.5)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1,044</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838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24.6</w:t>
            </w:r>
          </w:p>
        </w:tc>
        <w:tc>
          <w:tcPr>
            <w:tcW w:w="1080" w:type="dxa"/>
            <w:vAlign w:val="bottom"/>
          </w:tcPr>
          <w:p>
            <w:pPr>
              <w:jc w:val="right"/>
              <w:spacing w:after="0"/>
              <w:rPr>
                <w:sz w:val="20"/>
                <w:szCs w:val="20"/>
                <w:color w:val="auto"/>
              </w:rPr>
            </w:pPr>
            <w:r>
              <w:rPr>
                <w:rFonts w:ascii="Arial" w:cs="Arial" w:eastAsia="Arial" w:hAnsi="Arial"/>
                <w:sz w:val="14"/>
                <w:szCs w:val="14"/>
                <w:color w:val="auto"/>
              </w:rPr>
              <w:t>1,044</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838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12,846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9,517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35.0</w:t>
            </w:r>
          </w:p>
        </w:tc>
        <w:tc>
          <w:tcPr>
            <w:tcW w:w="1080" w:type="dxa"/>
            <w:vAlign w:val="bottom"/>
          </w:tcPr>
          <w:p>
            <w:pPr>
              <w:jc w:val="right"/>
              <w:spacing w:after="0"/>
              <w:rPr>
                <w:sz w:val="20"/>
                <w:szCs w:val="20"/>
                <w:color w:val="auto"/>
              </w:rPr>
            </w:pPr>
            <w:r>
              <w:rPr>
                <w:rFonts w:ascii="Arial" w:cs="Arial" w:eastAsia="Arial" w:hAnsi="Arial"/>
                <w:sz w:val="14"/>
                <w:szCs w:val="14"/>
                <w:color w:val="auto"/>
              </w:rPr>
              <w:t>12,846</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9,517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35.0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8,550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5,649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51.4</w:t>
            </w:r>
          </w:p>
        </w:tc>
        <w:tc>
          <w:tcPr>
            <w:tcW w:w="1080" w:type="dxa"/>
            <w:vAlign w:val="bottom"/>
          </w:tcPr>
          <w:p>
            <w:pPr>
              <w:jc w:val="right"/>
              <w:spacing w:after="0"/>
              <w:rPr>
                <w:sz w:val="20"/>
                <w:szCs w:val="20"/>
                <w:color w:val="auto"/>
              </w:rPr>
            </w:pPr>
            <w:r>
              <w:rPr>
                <w:rFonts w:ascii="Arial" w:cs="Arial" w:eastAsia="Arial" w:hAnsi="Arial"/>
                <w:sz w:val="14"/>
                <w:szCs w:val="14"/>
                <w:color w:val="auto"/>
              </w:rPr>
              <w:t>8,550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5,649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51.4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1,690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2,022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(16.4)</w:t>
            </w:r>
          </w:p>
        </w:tc>
        <w:tc>
          <w:tcPr>
            <w:tcW w:w="1080" w:type="dxa"/>
            <w:vAlign w:val="bottom"/>
          </w:tcPr>
          <w:p>
            <w:pPr>
              <w:jc w:val="right"/>
              <w:spacing w:after="0"/>
              <w:rPr>
                <w:sz w:val="20"/>
                <w:szCs w:val="20"/>
                <w:color w:val="auto"/>
              </w:rPr>
            </w:pPr>
            <w:r>
              <w:rPr>
                <w:rFonts w:ascii="Arial" w:cs="Arial" w:eastAsia="Arial" w:hAnsi="Arial"/>
                <w:sz w:val="14"/>
                <w:szCs w:val="14"/>
                <w:color w:val="auto"/>
              </w:rPr>
              <w:t>1,690</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2,022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(16.4)</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1,196</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1,011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18.3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1,011</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18.3</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30,816</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24,966</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23.4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30,816</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24,966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23.4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GM Vehicle Total</w:t>
            </w:r>
          </w:p>
        </w:tc>
        <w:tc>
          <w:tcPr>
            <w:tcW w:w="12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194,699</w:t>
            </w: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167,962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194,699</w:t>
            </w: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167,962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15.9</w:t>
            </w:r>
          </w:p>
        </w:tc>
      </w:tr>
    </w:tbl>
    <w:p>
      <w:pPr>
        <w:spacing w:after="0" w:line="76" w:lineRule="exact"/>
        <w:rPr>
          <w:sz w:val="20"/>
          <w:szCs w:val="20"/>
          <w:color w:val="auto"/>
        </w:rPr>
      </w:pPr>
    </w:p>
    <w:p>
      <w:pPr>
        <w:sectPr>
          <w:pgSz w:w="11900" w:h="16838" w:orient="portrait"/>
          <w:cols w:equalWidth="0" w:num="1">
            <w:col w:w="9440"/>
          </w:cols>
          <w:pgMar w:left="1240" w:top="714" w:right="1219" w:bottom="1440" w:gutter="0" w:footer="0" w:header="0"/>
        </w:sectPr>
      </w:pPr>
    </w:p>
    <w:p>
      <w:pPr>
        <w:ind w:left="60"/>
        <w:spacing w:after="0"/>
        <w:rPr>
          <w:sz w:val="20"/>
          <w:szCs w:val="20"/>
          <w:color w:val="auto"/>
        </w:rPr>
      </w:pPr>
      <w:r>
        <w:rPr>
          <w:rFonts w:ascii="Arial" w:cs="Arial" w:eastAsia="Arial" w:hAnsi="Arial"/>
          <w:sz w:val="13"/>
          <w:szCs w:val="13"/>
          <w:color w:val="auto"/>
        </w:rPr>
        <w:t>* 25 selling days for the January period this year and 24 for last year.</w:t>
      </w:r>
    </w:p>
    <w:sectPr>
      <w:pgSz w:w="11900" w:h="16838" w:orient="portrait"/>
      <w:cols w:equalWidth="0" w:num="1">
        <w:col w:w="9440"/>
      </w:cols>
      <w:pgMar w:left="1240" w:top="714"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2019-12-07T20:26:57Z</dcterms:created>
  <dcterms:modified xsi:type="dcterms:W3CDTF">2019-12-07T20:26:57Z</dcterms:modified>
</cp:coreProperties>
</file>