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Barra Mary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66"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03"/>
        <w:spacing w:after="0"/>
        <w:rPr>
          <w:sz w:val="20"/>
          <w:szCs w:val="20"/>
          <w:color w:val="auto"/>
        </w:rPr>
      </w:pPr>
      <w:r>
        <w:rPr>
          <w:rFonts w:ascii="Arial" w:cs="Arial" w:eastAsia="Arial" w:hAnsi="Arial"/>
          <w:sz w:val="18"/>
          <w:szCs w:val="18"/>
          <w:color w:val="0000FF"/>
        </w:rPr>
        <w:t>Chairman &amp; CEO</w:t>
      </w:r>
    </w:p>
    <w:p>
      <w:pPr>
        <w:spacing w:after="0" w:line="422"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DETROIT</w:t>
            </w:r>
          </w:p>
        </w:tc>
        <w:tc>
          <w:tcPr>
            <w:tcW w:w="1100" w:type="dxa"/>
            <w:vAlign w:val="bottom"/>
          </w:tcPr>
          <w:p>
            <w:pPr>
              <w:ind w:left="260"/>
              <w:spacing w:after="0"/>
              <w:rPr>
                <w:sz w:val="20"/>
                <w:szCs w:val="20"/>
                <w:color w:val="auto"/>
              </w:rPr>
            </w:pPr>
            <w:r>
              <w:rPr>
                <w:rFonts w:ascii="Arial" w:cs="Arial" w:eastAsia="Arial" w:hAnsi="Arial"/>
                <w:sz w:val="18"/>
                <w:szCs w:val="18"/>
                <w:color w:val="0000FF"/>
              </w:rPr>
              <w:t>MI</w:t>
            </w:r>
          </w:p>
        </w:tc>
        <w:tc>
          <w:tcPr>
            <w:tcW w:w="1680" w:type="dxa"/>
            <w:vAlign w:val="bottom"/>
          </w:tcPr>
          <w:p>
            <w:pPr>
              <w:ind w:left="420"/>
              <w:spacing w:after="0"/>
              <w:rPr>
                <w:sz w:val="20"/>
                <w:szCs w:val="20"/>
                <w:color w:val="auto"/>
              </w:rPr>
            </w:pPr>
            <w:r>
              <w:rPr>
                <w:rFonts w:ascii="Arial" w:cs="Arial" w:eastAsia="Arial" w:hAnsi="Arial"/>
                <w:sz w:val="18"/>
                <w:szCs w:val="18"/>
                <w:color w:val="0000FF"/>
              </w:rPr>
              <w:t>48265-3000</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jc w:val="center"/>
              <w:ind w:left="60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820" w:type="dxa"/>
            <w:vAlign w:val="bottom"/>
            <w:tcBorders>
              <w:bottom w:val="single" w:sz="8" w:color="2C2C2C"/>
            </w:tcBorders>
          </w:tcPr>
          <w:p>
            <w:pPr>
              <w:jc w:val="center"/>
              <w:ind w:left="626"/>
              <w:spacing w:after="0"/>
              <w:rPr>
                <w:sz w:val="20"/>
                <w:szCs w:val="20"/>
                <w:color w:val="auto"/>
              </w:rPr>
            </w:pPr>
            <w:r>
              <w:rPr>
                <w:rFonts w:ascii="Arial" w:cs="Arial" w:eastAsia="Arial" w:hAnsi="Arial"/>
                <w:sz w:val="18"/>
                <w:szCs w:val="18"/>
                <w:color w:val="0000FF"/>
                <w:w w:val="88"/>
              </w:rPr>
              <w:t>06/30/2016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Arial" w:cs="Arial" w:eastAsia="Arial" w:hAnsi="Arial"/>
                <w:sz w:val="14"/>
                <w:szCs w:val="14"/>
                <w:color w:val="0000FF"/>
              </w:rPr>
              <w:t>M</w:t>
            </w:r>
          </w:p>
        </w:tc>
        <w:tc>
          <w:tcPr>
            <w:tcW w:w="760" w:type="dxa"/>
            <w:vAlign w:val="bottom"/>
            <w:tcBorders>
              <w:bottom w:val="single" w:sz="8" w:color="2C2C2C"/>
            </w:tcBorders>
          </w:tcPr>
          <w:p>
            <w:pPr>
              <w:jc w:val="right"/>
              <w:ind w:right="66"/>
              <w:spacing w:after="0"/>
              <w:rPr>
                <w:sz w:val="20"/>
                <w:szCs w:val="20"/>
                <w:color w:val="auto"/>
              </w:rPr>
            </w:pPr>
            <w:r>
              <w:rPr>
                <w:rFonts w:ascii="Arial" w:cs="Arial" w:eastAsia="Arial" w:hAnsi="Arial"/>
                <w:sz w:val="18"/>
                <w:szCs w:val="18"/>
                <w:color w:val="0000FF"/>
              </w:rPr>
              <w:t>7,115</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1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124,593</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Borders>
              <w:bottom w:val="single" w:sz="8" w:color="2C2C2C"/>
            </w:tcBorders>
          </w:tcPr>
          <w:p>
            <w:pPr>
              <w:jc w:val="center"/>
              <w:ind w:left="626"/>
              <w:spacing w:after="0"/>
              <w:rPr>
                <w:sz w:val="20"/>
                <w:szCs w:val="20"/>
                <w:color w:val="auto"/>
              </w:rPr>
            </w:pPr>
            <w:r>
              <w:rPr>
                <w:rFonts w:ascii="Arial" w:cs="Arial" w:eastAsia="Arial" w:hAnsi="Arial"/>
                <w:sz w:val="18"/>
                <w:szCs w:val="18"/>
                <w:color w:val="0000FF"/>
                <w:w w:val="88"/>
              </w:rPr>
              <w:t>06/30/2016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Arial" w:cs="Arial" w:eastAsia="Arial" w:hAnsi="Arial"/>
                <w:sz w:val="14"/>
                <w:szCs w:val="14"/>
                <w:color w:val="0000FF"/>
                <w:w w:val="98"/>
              </w:rPr>
              <w:t>D</w:t>
            </w:r>
          </w:p>
        </w:tc>
        <w:tc>
          <w:tcPr>
            <w:tcW w:w="760" w:type="dxa"/>
            <w:vAlign w:val="bottom"/>
            <w:tcBorders>
              <w:bottom w:val="single" w:sz="8" w:color="2C2C2C"/>
            </w:tcBorders>
          </w:tcPr>
          <w:p>
            <w:pPr>
              <w:jc w:val="right"/>
              <w:ind w:right="66"/>
              <w:spacing w:after="0"/>
              <w:rPr>
                <w:sz w:val="20"/>
                <w:szCs w:val="20"/>
                <w:color w:val="auto"/>
              </w:rPr>
            </w:pPr>
            <w:r>
              <w:rPr>
                <w:rFonts w:ascii="Arial" w:cs="Arial" w:eastAsia="Arial" w:hAnsi="Arial"/>
                <w:sz w:val="18"/>
                <w:szCs w:val="18"/>
                <w:color w:val="0000FF"/>
              </w:rPr>
              <w:t>3,759</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28.68</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120,834</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Borders>
              <w:bottom w:val="single" w:sz="8" w:color="2C2C2C"/>
            </w:tcBorders>
          </w:tcPr>
          <w:p>
            <w:pPr>
              <w:jc w:val="center"/>
              <w:ind w:left="626"/>
              <w:spacing w:after="0"/>
              <w:rPr>
                <w:sz w:val="20"/>
                <w:szCs w:val="20"/>
                <w:color w:val="auto"/>
              </w:rPr>
            </w:pPr>
            <w:r>
              <w:rPr>
                <w:rFonts w:ascii="Arial" w:cs="Arial" w:eastAsia="Arial" w:hAnsi="Arial"/>
                <w:sz w:val="18"/>
                <w:szCs w:val="18"/>
                <w:color w:val="0000FF"/>
                <w:w w:val="88"/>
              </w:rPr>
              <w:t>06/30/2016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right"/>
              <w:ind w:right="66"/>
              <w:spacing w:after="0"/>
              <w:rPr>
                <w:sz w:val="20"/>
                <w:szCs w:val="20"/>
                <w:color w:val="auto"/>
              </w:rPr>
            </w:pPr>
            <w:r>
              <w:rPr>
                <w:rFonts w:ascii="Arial" w:cs="Arial" w:eastAsia="Arial" w:hAnsi="Arial"/>
                <w:sz w:val="18"/>
                <w:szCs w:val="18"/>
                <w:color w:val="0000FF"/>
              </w:rPr>
              <w:t>3,356</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28.68</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117,478</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6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0000FF"/>
              </w:rPr>
              <w:t>Salary</w:t>
            </w:r>
          </w:p>
        </w:tc>
        <w:tc>
          <w:tcPr>
            <w:tcW w:w="780" w:type="dxa"/>
            <w:vAlign w:val="bottom"/>
            <w:vMerge w:val="restart"/>
          </w:tcPr>
          <w:p>
            <w:pPr>
              <w:jc w:val="right"/>
              <w:ind w:right="17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2"/>
                <w:szCs w:val="22"/>
                <w:color w:val="008000"/>
                <w:vertAlign w:val="superscript"/>
              </w:rPr>
              <w:t>(3)</w:t>
            </w:r>
          </w:p>
        </w:tc>
        <w:tc>
          <w:tcPr>
            <w:tcW w:w="1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vMerge w:val="restart"/>
          </w:tcPr>
          <w:p>
            <w:pPr>
              <w:jc w:val="center"/>
              <w:ind w:left="32"/>
              <w:spacing w:after="0"/>
              <w:rPr>
                <w:sz w:val="20"/>
                <w:szCs w:val="20"/>
                <w:color w:val="auto"/>
              </w:rPr>
            </w:pPr>
            <w:r>
              <w:rPr>
                <w:rFonts w:ascii="Arial" w:cs="Arial" w:eastAsia="Arial" w:hAnsi="Arial"/>
                <w:sz w:val="14"/>
                <w:szCs w:val="14"/>
                <w:color w:val="0000FF"/>
                <w:w w:val="87"/>
              </w:rPr>
              <w:t>Common</w:t>
            </w:r>
          </w:p>
        </w:tc>
        <w:tc>
          <w:tcPr>
            <w:tcW w:w="680" w:type="dxa"/>
            <w:vAlign w:val="bottom"/>
            <w:vMerge w:val="restart"/>
          </w:tcPr>
          <w:p>
            <w:pPr>
              <w:jc w:val="right"/>
              <w:ind w:right="112"/>
              <w:spacing w:after="0"/>
              <w:rPr>
                <w:sz w:val="20"/>
                <w:szCs w:val="20"/>
                <w:color w:val="auto"/>
              </w:rPr>
            </w:pPr>
            <w:r>
              <w:rPr>
                <w:rFonts w:ascii="Arial" w:cs="Arial" w:eastAsia="Arial" w:hAnsi="Arial"/>
                <w:sz w:val="18"/>
                <w:szCs w:val="18"/>
                <w:color w:val="0000FF"/>
              </w:rPr>
              <w:t>7,115</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spacing w:after="0" w:line="146" w:lineRule="exact"/>
              <w:rPr>
                <w:sz w:val="20"/>
                <w:szCs w:val="20"/>
                <w:color w:val="auto"/>
              </w:rPr>
            </w:pPr>
            <w:r>
              <w:rPr>
                <w:rFonts w:ascii="Arial" w:cs="Arial" w:eastAsia="Arial" w:hAnsi="Arial"/>
                <w:sz w:val="14"/>
                <w:szCs w:val="14"/>
                <w:color w:val="0000FF"/>
              </w:rPr>
              <w:t>Stock</w:t>
            </w:r>
          </w:p>
        </w:tc>
        <w:tc>
          <w:tcPr>
            <w:tcW w:w="780" w:type="dxa"/>
            <w:vAlign w:val="bottom"/>
            <w:vMerge w:val="continue"/>
          </w:tcPr>
          <w:p>
            <w:pPr>
              <w:spacing w:after="0"/>
              <w:rPr>
                <w:sz w:val="7"/>
                <w:szCs w:val="7"/>
                <w:color w:val="auto"/>
              </w:rPr>
            </w:pPr>
          </w:p>
        </w:tc>
        <w:tc>
          <w:tcPr>
            <w:tcW w:w="1640" w:type="dxa"/>
            <w:vAlign w:val="bottom"/>
            <w:vMerge w:val="restart"/>
          </w:tcPr>
          <w:p>
            <w:pPr>
              <w:jc w:val="right"/>
              <w:ind w:right="712"/>
              <w:spacing w:after="0" w:line="146" w:lineRule="exact"/>
              <w:rPr>
                <w:sz w:val="20"/>
                <w:szCs w:val="20"/>
                <w:color w:val="auto"/>
              </w:rPr>
            </w:pPr>
            <w:r>
              <w:rPr>
                <w:rFonts w:ascii="Arial" w:cs="Arial" w:eastAsia="Arial" w:hAnsi="Arial"/>
                <w:sz w:val="14"/>
                <w:szCs w:val="14"/>
                <w:color w:val="0000FF"/>
              </w:rPr>
              <w:t>06/30/2016</w:t>
            </w:r>
          </w:p>
        </w:tc>
        <w:tc>
          <w:tcPr>
            <w:tcW w:w="1360" w:type="dxa"/>
            <w:vAlign w:val="bottom"/>
            <w:vMerge w:val="restart"/>
          </w:tcPr>
          <w:p>
            <w:pPr>
              <w:ind w:left="780"/>
              <w:spacing w:after="0" w:line="146" w:lineRule="exact"/>
              <w:rPr>
                <w:sz w:val="20"/>
                <w:szCs w:val="20"/>
                <w:color w:val="auto"/>
              </w:rPr>
            </w:pPr>
            <w:r>
              <w:rPr>
                <w:rFonts w:ascii="Arial" w:cs="Arial" w:eastAsia="Arial" w:hAnsi="Arial"/>
                <w:sz w:val="14"/>
                <w:szCs w:val="14"/>
                <w:color w:val="0000FF"/>
              </w:rPr>
              <w:t>M</w:t>
            </w:r>
          </w:p>
        </w:tc>
        <w:tc>
          <w:tcPr>
            <w:tcW w:w="1000" w:type="dxa"/>
            <w:vAlign w:val="bottom"/>
            <w:vMerge w:val="restart"/>
          </w:tcPr>
          <w:p>
            <w:pPr>
              <w:jc w:val="right"/>
              <w:ind w:right="152"/>
              <w:spacing w:after="0" w:line="146" w:lineRule="exact"/>
              <w:rPr>
                <w:sz w:val="20"/>
                <w:szCs w:val="20"/>
                <w:color w:val="auto"/>
              </w:rPr>
            </w:pPr>
            <w:r>
              <w:rPr>
                <w:rFonts w:ascii="Arial" w:cs="Arial" w:eastAsia="Arial" w:hAnsi="Arial"/>
                <w:sz w:val="14"/>
                <w:szCs w:val="14"/>
                <w:color w:val="0000FF"/>
              </w:rPr>
              <w:t>7,115</w:t>
            </w:r>
          </w:p>
        </w:tc>
        <w:tc>
          <w:tcPr>
            <w:tcW w:w="660" w:type="dxa"/>
            <w:vAlign w:val="bottom"/>
            <w:vMerge w:val="restart"/>
          </w:tcPr>
          <w:p>
            <w:pPr>
              <w:jc w:val="right"/>
              <w:ind w:right="264"/>
              <w:spacing w:after="0"/>
              <w:rPr>
                <w:sz w:val="20"/>
                <w:szCs w:val="20"/>
                <w:color w:val="auto"/>
              </w:rPr>
            </w:pPr>
            <w:r>
              <w:rPr>
                <w:rFonts w:ascii="Arial" w:cs="Arial" w:eastAsia="Arial" w:hAnsi="Arial"/>
                <w:sz w:val="11"/>
                <w:szCs w:val="11"/>
                <w:color w:val="008000"/>
              </w:rPr>
              <w:t>(3)</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(3)</w:t>
            </w:r>
          </w:p>
        </w:tc>
        <w:tc>
          <w:tcPr>
            <w:tcW w:w="8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jc w:val="right"/>
              <w:ind w:right="299"/>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vMerge w:val="restart"/>
          </w:tcPr>
          <w:p>
            <w:pPr>
              <w:jc w:val="right"/>
              <w:ind w:right="332"/>
              <w:spacing w:after="0" w:line="146" w:lineRule="exact"/>
              <w:rPr>
                <w:sz w:val="20"/>
                <w:szCs w:val="20"/>
                <w:color w:val="auto"/>
              </w:rPr>
            </w:pPr>
            <w:r>
              <w:rPr>
                <w:rFonts w:ascii="Arial" w:cs="Arial" w:eastAsia="Arial" w:hAnsi="Arial"/>
                <w:sz w:val="14"/>
                <w:szCs w:val="14"/>
                <w:color w:val="0000FF"/>
              </w:rPr>
              <w:t>0</w:t>
            </w:r>
          </w:p>
        </w:tc>
        <w:tc>
          <w:tcPr>
            <w:tcW w:w="50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w w:val="78"/>
              </w:rPr>
              <w:t>D</w:t>
            </w:r>
          </w:p>
        </w:tc>
        <w:tc>
          <w:tcPr>
            <w:tcW w:w="0" w:type="dxa"/>
            <w:vAlign w:val="bottom"/>
          </w:tcPr>
          <w:p>
            <w:pPr>
              <w:spacing w:after="0"/>
              <w:rPr>
                <w:sz w:val="1"/>
                <w:szCs w:val="1"/>
                <w:color w:val="auto"/>
              </w:rPr>
            </w:pPr>
          </w:p>
        </w:tc>
      </w:tr>
      <w:tr>
        <w:trPr>
          <w:trHeight w:val="65"/>
        </w:trPr>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00" w:type="dxa"/>
            <w:vAlign w:val="bottom"/>
            <w:vMerge w:val="restart"/>
          </w:tcPr>
          <w:p>
            <w:pPr>
              <w:jc w:val="center"/>
              <w:ind w:left="32"/>
              <w:spacing w:after="0"/>
              <w:rPr>
                <w:sz w:val="20"/>
                <w:szCs w:val="20"/>
                <w:color w:val="auto"/>
              </w:rPr>
            </w:pPr>
            <w:r>
              <w:rPr>
                <w:rFonts w:ascii="Arial" w:cs="Arial" w:eastAsia="Arial" w:hAnsi="Arial"/>
                <w:sz w:val="14"/>
                <w:szCs w:val="14"/>
                <w:color w:val="0000FF"/>
                <w:w w:val="85"/>
              </w:rPr>
              <w:t>Stock</w:t>
            </w:r>
          </w:p>
        </w:tc>
        <w:tc>
          <w:tcPr>
            <w:tcW w:w="6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720" w:type="dxa"/>
            <w:vAlign w:val="bottom"/>
            <w:vMerge w:val="restart"/>
          </w:tcPr>
          <w:p>
            <w:pPr>
              <w:spacing w:after="0"/>
              <w:rPr>
                <w:sz w:val="20"/>
                <w:szCs w:val="20"/>
                <w:color w:val="auto"/>
              </w:rPr>
            </w:pPr>
            <w:r>
              <w:rPr>
                <w:rFonts w:ascii="Arial" w:cs="Arial" w:eastAsia="Arial" w:hAnsi="Arial"/>
                <w:sz w:val="27"/>
                <w:szCs w:val="27"/>
                <w:color w:val="0000FF"/>
                <w:vertAlign w:val="subscript"/>
              </w:rPr>
              <w:t>Units</w:t>
            </w:r>
            <w:r>
              <w:rPr>
                <w:rFonts w:ascii="Arial" w:cs="Arial" w:eastAsia="Arial" w:hAnsi="Arial"/>
                <w:sz w:val="11"/>
                <w:szCs w:val="11"/>
                <w:color w:val="008000"/>
              </w:rPr>
              <w:t>(1)(2)</w:t>
            </w:r>
          </w:p>
        </w:tc>
        <w:tc>
          <w:tcPr>
            <w:tcW w:w="7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72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June 30, 2013 pursuant to the Company's Salary Stock Plan (the "GMSSP"). The portion of this award currently payable was settled on June 30, 2016 in cash, less a portion withheld for taxes.</w:t>
      </w:r>
    </w:p>
    <w:p>
      <w:pPr>
        <w:spacing w:after="0" w:line="30" w:lineRule="exact"/>
        <w:rPr>
          <w:rFonts w:ascii="Arial" w:cs="Arial" w:eastAsia="Arial" w:hAnsi="Arial"/>
          <w:sz w:val="14"/>
          <w:szCs w:val="14"/>
          <w:color w:val="008000"/>
        </w:rPr>
      </w:pPr>
    </w:p>
    <w:p>
      <w:pPr>
        <w:ind w:left="40" w:right="1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Grants of SSUs are fully vested when made and will be settled in three equal, annual installments beginning one year after the date of grant. The GMSSP gives the Reporting Person the option of having a settlement made by delivery of shares of the Company's common stock or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$28.68.</w:t>
      </w:r>
    </w:p>
    <w:p>
      <w:pPr>
        <w:sectPr>
          <w:pgSz w:w="11900" w:h="16838" w:orient="portrait"/>
          <w:cols w:equalWidth="0" w:num="1">
            <w:col w:w="11520"/>
          </w:cols>
          <w:pgMar w:left="240" w:top="226" w:right="139" w:bottom="1440" w:gutter="0" w:footer="0" w:header="0"/>
          <w:type w:val="continuous"/>
        </w:sectPr>
      </w:pPr>
    </w:p>
    <w:p>
      <w:pPr>
        <w:spacing w:after="0" w:line="9"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3. 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Attorney-In-Fact for Ms. Barra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6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5"/>
          <w:szCs w:val="15"/>
          <w:color w:val="0000FF"/>
        </w:rPr>
        <w:t>07/05/2016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60" w:space="10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2019-12-08T18:42:49Z</dcterms:created>
  <dcterms:modified xsi:type="dcterms:W3CDTF">2019-12-08T18:42:49Z</dcterms:modified>
</cp:coreProperties>
</file>