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2025</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On April 29, 2025, General Motors Company (GM) issued a news release and supplemental materials on the subject of its 2025 first quarter consolidated earnings. The news release and supplemental materials are attached as Exhibit 99.1.</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7"/>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April 29, 2025</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April 29, 2025</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April 29, 2025, at 6:30 a.m. ET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GM releases 2025 first-quarter results and reschedules conference call to Thursday, May 1</w:t>
      </w:r>
    </w:p>
    <w:p>
      <w:pPr>
        <w:spacing w:after="0" w:line="24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(NYSE: GM) today reported first-quarter 2025 revenue of $44.0 billion, net income attributable to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$2.8 billion, and EBIT-adjusted of $3.5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Based on recent reports regarding updates to trade policy, GM Chair and CEO Mary Barra and GM Chief Financial Officer Paul Jacobson will now host a conference call for the</w:t>
      </w:r>
      <w:r>
        <w:rPr>
          <w:rFonts w:ascii="Times New Roman" w:cs="Times New Roman" w:eastAsia="Times New Roman" w:hAnsi="Times New Roman"/>
          <w:sz w:val="18"/>
          <w:szCs w:val="18"/>
          <w:color w:val="auto"/>
        </w:rPr>
        <w:t> </w:t>
      </w:r>
      <w:r>
        <w:rPr>
          <w:rFonts w:ascii="Arial" w:cs="Arial" w:eastAsia="Arial" w:hAnsi="Arial"/>
          <w:sz w:val="18"/>
          <w:szCs w:val="18"/>
          <w:color w:val="auto"/>
        </w:rPr>
        <w:t>investment community at 8:30 a.m. ET Thursday, May 1 instead of Tuesday, April 29 to discuss these results and GM’s updated 2025 full-year guidance.</w:t>
      </w:r>
      <w:r>
        <w:rPr>
          <w:rFonts w:ascii="Times New Roman" w:cs="Times New Roman" w:eastAsia="Times New Roman" w:hAnsi="Times New Roman"/>
          <w:sz w:val="18"/>
          <w:szCs w:val="18"/>
          <w:color w:val="auto"/>
        </w:rPr>
        <w:t> </w:t>
      </w:r>
      <w:r>
        <w:rPr>
          <w:rFonts w:ascii="Arial" w:cs="Arial" w:eastAsia="Arial" w:hAnsi="Arial"/>
          <w:sz w:val="18"/>
          <w:szCs w:val="18"/>
          <w:color w:val="auto"/>
        </w:rPr>
        <w:t>The</w:t>
      </w:r>
      <w:r>
        <w:rPr>
          <w:rFonts w:ascii="Times New Roman" w:cs="Times New Roman" w:eastAsia="Times New Roman" w:hAnsi="Times New Roman"/>
          <w:sz w:val="18"/>
          <w:szCs w:val="18"/>
          <w:color w:val="auto"/>
        </w:rPr>
        <w:t> </w:t>
      </w:r>
      <w:r>
        <w:rPr>
          <w:rFonts w:ascii="Arial" w:cs="Arial" w:eastAsia="Arial" w:hAnsi="Arial"/>
          <w:sz w:val="18"/>
          <w:szCs w:val="18"/>
          <w:color w:val="auto"/>
        </w:rPr>
        <w:t>company's initial full year 2025 financial guidance does not contemplate the potential impact of tariffs.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25"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1"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5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Three Months Ended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80" w:type="dxa"/>
            <w:vAlign w:val="bottom"/>
          </w:tcPr>
          <w:p>
            <w:pPr>
              <w:spacing w:after="0"/>
              <w:rPr>
                <w:sz w:val="20"/>
                <w:szCs w:val="20"/>
                <w:color w:val="auto"/>
              </w:rPr>
            </w:pPr>
            <w:r>
              <w:rPr>
                <w:rFonts w:ascii="Arial" w:cs="Arial" w:eastAsia="Arial" w:hAnsi="Arial"/>
                <w:sz w:val="16"/>
                <w:szCs w:val="16"/>
                <w:i w:val="1"/>
                <w:iCs w:val="1"/>
                <w:color w:val="auto"/>
              </w:rPr>
              <w:t>($M) except per share amounts</w:t>
            </w: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31, 2025</w:t>
            </w: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31, 2024</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3680" w:type="dxa"/>
            <w:vAlign w:val="bottom"/>
          </w:tcPr>
          <w:p>
            <w:pPr>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44,020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43,014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1,006</w:t>
            </w:r>
          </w:p>
        </w:tc>
        <w:tc>
          <w:tcPr>
            <w:tcW w:w="150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2,784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2,980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(196)</w:t>
            </w:r>
          </w:p>
        </w:tc>
        <w:tc>
          <w:tcPr>
            <w:tcW w:w="15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3,490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3,871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(381)</w:t>
            </w:r>
          </w:p>
        </w:tc>
        <w:tc>
          <w:tcPr>
            <w:tcW w:w="15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Net income margin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6.3 %</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(0.6) ppts</w:t>
            </w:r>
          </w:p>
        </w:tc>
        <w:tc>
          <w:tcPr>
            <w:tcW w:w="15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 margin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7.9 %</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9.0 %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(1.1)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2,404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3,598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(1,194)</w:t>
            </w:r>
          </w:p>
        </w:tc>
        <w:tc>
          <w:tcPr>
            <w:tcW w:w="150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811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1,090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(279)</w:t>
            </w:r>
          </w:p>
        </w:tc>
        <w:tc>
          <w:tcPr>
            <w:tcW w:w="150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3.35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2.56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0.79</w:t>
            </w:r>
          </w:p>
        </w:tc>
        <w:tc>
          <w:tcPr>
            <w:tcW w:w="1500" w:type="dxa"/>
            <w:vAlign w:val="bottom"/>
          </w:tcPr>
          <w:p>
            <w:pPr>
              <w:jc w:val="right"/>
              <w:spacing w:after="0"/>
              <w:rPr>
                <w:sz w:val="20"/>
                <w:szCs w:val="20"/>
                <w:color w:val="auto"/>
              </w:rPr>
            </w:pPr>
            <w:r>
              <w:rPr>
                <w:rFonts w:ascii="Arial" w:cs="Arial" w:eastAsia="Arial" w:hAnsi="Arial"/>
                <w:sz w:val="16"/>
                <w:szCs w:val="16"/>
                <w:color w:val="auto"/>
              </w:rPr>
              <w:t>30.9 %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EPS-diluted-adjusted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2.78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2.62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0.16</w:t>
            </w:r>
          </w:p>
        </w:tc>
        <w:tc>
          <w:tcPr>
            <w:tcW w:w="150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3,286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3,840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(554)</w:t>
            </w:r>
          </w:p>
        </w:tc>
        <w:tc>
          <w:tcPr>
            <w:tcW w:w="150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8.8 %</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10.6 %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(1.8)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GMI EBIT-adjusted(a)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40</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China equity income (loss)(a)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151</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685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737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(52)</w:t>
            </w:r>
          </w:p>
        </w:tc>
        <w:tc>
          <w:tcPr>
            <w:tcW w:w="1500" w:type="dxa"/>
            <w:vAlign w:val="bottom"/>
          </w:tcPr>
          <w:p>
            <w:pPr>
              <w:jc w:val="right"/>
              <w:spacing w:after="0"/>
              <w:rPr>
                <w:sz w:val="20"/>
                <w:szCs w:val="20"/>
                <w:color w:val="auto"/>
              </w:rPr>
            </w:pPr>
            <w:r>
              <w:rPr>
                <w:rFonts w:ascii="Arial" w:cs="Arial" w:eastAsia="Arial" w:hAnsi="Arial"/>
                <w:sz w:val="16"/>
                <w:szCs w:val="16"/>
                <w:color w:val="auto"/>
              </w:rPr>
              <w:t>(7.1)%</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00"/>
          </w:cols>
          <w:pgMar w:left="320" w:top="1440" w:right="1079" w:bottom="1440" w:gutter="0" w:footer="0" w:header="0"/>
        </w:sectPr>
      </w:pPr>
    </w:p>
    <w:bookmarkStart w:id="5" w:name="page6"/>
    <w:bookmarkEnd w:id="5"/>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driving the future of transportation, leveraging advanced technology to build safer, smarter, and lower</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 cars, trucks, and SUVs. GM’s Buick, Cadillac, Chevrolet, and GMC brands offer a broad portfolio of innovative gasoline-powered vehicles and the industry’s widest range of EVs, as we move to an all-electric future. Learn more at GM.com.</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 CFA</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515"/>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7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ind w:left="460"/>
              <w:spacing w:after="0"/>
              <w:rPr>
                <w:sz w:val="20"/>
                <w:szCs w:val="20"/>
                <w:color w:val="auto"/>
              </w:rPr>
            </w:pPr>
            <w:r>
              <w:rPr>
                <w:rFonts w:ascii="Arial" w:cs="Arial" w:eastAsia="Arial" w:hAnsi="Arial"/>
                <w:sz w:val="11"/>
                <w:szCs w:val="11"/>
                <w:b w:val="1"/>
                <w:bCs w:val="1"/>
                <w:color w:val="auto"/>
              </w:rPr>
              <w:t>Three Months Ended March 31, 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ind w:left="460"/>
              <w:spacing w:after="0"/>
              <w:rPr>
                <w:sz w:val="20"/>
                <w:szCs w:val="20"/>
                <w:color w:val="auto"/>
              </w:rPr>
            </w:pPr>
            <w:r>
              <w:rPr>
                <w:rFonts w:ascii="Arial" w:cs="Arial" w:eastAsia="Arial" w:hAnsi="Arial"/>
                <w:sz w:val="11"/>
                <w:szCs w:val="11"/>
                <w:b w:val="1"/>
                <w:bCs w:val="1"/>
                <w:color w:val="auto"/>
              </w:rPr>
              <w:t>Three Months Ended March 31, 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56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Combined</w:t>
            </w: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58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740" w:type="dxa"/>
            <w:vAlign w:val="bottom"/>
            <w:vMerge w:val="restart"/>
          </w:tcPr>
          <w:p>
            <w:pPr>
              <w:jc w:val="right"/>
              <w:ind w:right="30"/>
              <w:spacing w:after="0"/>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2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  39,860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39,861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  39,212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39,212</w:t>
            </w:r>
          </w:p>
        </w:tc>
        <w:tc>
          <w:tcPr>
            <w:tcW w:w="0" w:type="dxa"/>
            <w:vAlign w:val="bottom"/>
          </w:tcPr>
          <w:p>
            <w:pPr>
              <w:spacing w:after="0"/>
              <w:rPr>
                <w:sz w:val="1"/>
                <w:szCs w:val="1"/>
                <w:color w:val="auto"/>
              </w:rPr>
            </w:pPr>
          </w:p>
        </w:tc>
      </w:tr>
      <w:tr>
        <w:trPr>
          <w:trHeight w:val="198"/>
        </w:trPr>
        <w:tc>
          <w:tcPr>
            <w:tcW w:w="1720" w:type="dxa"/>
            <w:vAlign w:val="bottom"/>
          </w:tcPr>
          <w:p>
            <w:pPr>
              <w:ind w:left="140"/>
              <w:spacing w:after="0"/>
              <w:rPr>
                <w:sz w:val="20"/>
                <w:szCs w:val="20"/>
                <w:color w:val="auto"/>
              </w:rPr>
            </w:pPr>
            <w:r>
              <w:rPr>
                <w:rFonts w:ascii="Arial" w:cs="Arial" w:eastAsia="Arial" w:hAnsi="Arial"/>
                <w:sz w:val="13"/>
                <w:szCs w:val="13"/>
                <w:color w:val="auto"/>
              </w:rPr>
              <w:t>GM Financial</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4,164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4,159</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3,811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3,802</w:t>
            </w:r>
          </w:p>
        </w:tc>
        <w:tc>
          <w:tcPr>
            <w:tcW w:w="0" w:type="dxa"/>
            <w:vAlign w:val="bottom"/>
          </w:tcPr>
          <w:p>
            <w:pPr>
              <w:spacing w:after="0"/>
              <w:rPr>
                <w:sz w:val="1"/>
                <w:szCs w:val="1"/>
                <w:color w:val="auto"/>
              </w:rPr>
            </w:pPr>
          </w:p>
        </w:tc>
      </w:tr>
      <w:tr>
        <w:trPr>
          <w:trHeight w:val="200"/>
        </w:trPr>
        <w:tc>
          <w:tcPr>
            <w:tcW w:w="17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7"/>
              </w:rPr>
              <w:t>Total net sales and revenue</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39,860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44,020</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39,212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3,811</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43,014</w:t>
            </w:r>
          </w:p>
        </w:tc>
        <w:tc>
          <w:tcPr>
            <w:tcW w:w="0" w:type="dxa"/>
            <w:vAlign w:val="bottom"/>
          </w:tcPr>
          <w:p>
            <w:pPr>
              <w:spacing w:after="0"/>
              <w:rPr>
                <w:sz w:val="1"/>
                <w:szCs w:val="1"/>
                <w:color w:val="auto"/>
              </w:rPr>
            </w:pPr>
          </w:p>
        </w:tc>
      </w:tr>
      <w:tr>
        <w:trPr>
          <w:trHeight w:val="174"/>
        </w:trPr>
        <w:tc>
          <w:tcPr>
            <w:tcW w:w="172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720" w:type="dxa"/>
            <w:vAlign w:val="bottom"/>
            <w:shd w:val="clear" w:color="auto" w:fill="CCEEFF"/>
          </w:tcPr>
          <w:p>
            <w:pPr>
              <w:ind w:left="140"/>
              <w:spacing w:after="0" w:line="123" w:lineRule="exact"/>
              <w:rPr>
                <w:sz w:val="20"/>
                <w:szCs w:val="20"/>
                <w:color w:val="auto"/>
              </w:rPr>
            </w:pPr>
            <w:r>
              <w:rPr>
                <w:rFonts w:ascii="Arial" w:cs="Arial" w:eastAsia="Arial" w:hAnsi="Arial"/>
                <w:sz w:val="13"/>
                <w:szCs w:val="13"/>
                <w:color w:val="auto"/>
              </w:rPr>
              <w:t>Automotive and other cost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35,029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35,191</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33,597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33,996</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720" w:type="dxa"/>
            <w:vAlign w:val="bottom"/>
          </w:tcPr>
          <w:p>
            <w:pPr>
              <w:ind w:left="140"/>
              <w:spacing w:after="0" w:line="122" w:lineRule="exact"/>
              <w:rPr>
                <w:sz w:val="20"/>
                <w:szCs w:val="20"/>
                <w:color w:val="auto"/>
              </w:rPr>
            </w:pPr>
            <w:r>
              <w:rPr>
                <w:rFonts w:ascii="Arial" w:cs="Arial" w:eastAsia="Arial" w:hAnsi="Arial"/>
                <w:sz w:val="13"/>
                <w:szCs w:val="13"/>
                <w:color w:val="auto"/>
              </w:rPr>
              <w:t>GM Financial interest,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20" w:type="dxa"/>
            <w:vAlign w:val="bottom"/>
          </w:tcPr>
          <w:p>
            <w:pPr>
              <w:ind w:left="300"/>
              <w:spacing w:after="0" w:line="122" w:lineRule="exact"/>
              <w:rPr>
                <w:sz w:val="20"/>
                <w:szCs w:val="20"/>
                <w:color w:val="auto"/>
              </w:rPr>
            </w:pPr>
            <w:r>
              <w:rPr>
                <w:rFonts w:ascii="Arial" w:cs="Arial" w:eastAsia="Arial" w:hAnsi="Arial"/>
                <w:sz w:val="13"/>
                <w:szCs w:val="13"/>
                <w:color w:val="auto"/>
              </w:rPr>
              <w:t>operating and other</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3,106</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3,106</w:t>
            </w:r>
          </w:p>
        </w:tc>
        <w:tc>
          <w:tcPr>
            <w:tcW w:w="0" w:type="dxa"/>
            <w:vAlign w:val="bottom"/>
          </w:tcPr>
          <w:p>
            <w:pPr>
              <w:spacing w:after="0"/>
              <w:rPr>
                <w:sz w:val="1"/>
                <w:szCs w:val="1"/>
                <w:color w:val="auto"/>
              </w:rPr>
            </w:pPr>
          </w:p>
        </w:tc>
      </w:tr>
      <w:tr>
        <w:trPr>
          <w:trHeight w:val="185"/>
        </w:trPr>
        <w:tc>
          <w:tcPr>
            <w:tcW w:w="1720" w:type="dxa"/>
            <w:vAlign w:val="bottom"/>
          </w:tcPr>
          <w:p>
            <w:pPr>
              <w:ind w:left="300"/>
              <w:spacing w:after="0"/>
              <w:rPr>
                <w:sz w:val="20"/>
                <w:szCs w:val="20"/>
                <w:color w:val="auto"/>
              </w:rPr>
            </w:pPr>
            <w:r>
              <w:rPr>
                <w:rFonts w:ascii="Arial" w:cs="Arial" w:eastAsia="Arial" w:hAnsi="Arial"/>
                <w:sz w:val="13"/>
                <w:szCs w:val="13"/>
                <w:color w:val="auto"/>
              </w:rPr>
              <w:t>expenses</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Automotive and other</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selling, general and</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1,874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2,035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administrative expense</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costs and expenses</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36,903</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3,491</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40,668</w:t>
            </w:r>
          </w:p>
        </w:tc>
        <w:tc>
          <w:tcPr>
            <w:tcW w:w="1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35,632</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3,106</w:t>
            </w: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39,277</w:t>
            </w:r>
          </w:p>
        </w:tc>
        <w:tc>
          <w:tcPr>
            <w:tcW w:w="0" w:type="dxa"/>
            <w:vAlign w:val="bottom"/>
          </w:tcPr>
          <w:p>
            <w:pPr>
              <w:spacing w:after="0"/>
              <w:rPr>
                <w:sz w:val="1"/>
                <w:szCs w:val="1"/>
                <w:color w:val="auto"/>
              </w:rPr>
            </w:pPr>
          </w:p>
        </w:tc>
      </w:tr>
      <w:tr>
        <w:trPr>
          <w:trHeight w:val="200"/>
        </w:trPr>
        <w:tc>
          <w:tcPr>
            <w:tcW w:w="1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20"/>
          </w:cols>
          <w:pgMar w:left="320" w:top="854" w:right="359" w:bottom="1440" w:gutter="0" w:footer="0" w:header="0"/>
        </w:sectPr>
      </w:pPr>
    </w:p>
    <w:tbl>
      <w:tblPr>
        <w:tblLayout w:type="fixed"/>
        <w:tblInd w:w="40" w:type="dxa"/>
        <w:tblCellMar>
          <w:top w:w="0" w:type="dxa"/>
          <w:left w:w="0" w:type="dxa"/>
          <w:bottom w:w="0" w:type="dxa"/>
          <w:right w:w="0" w:type="dxa"/>
        </w:tblCellMar>
      </w:tblPr>
      <w:tr>
        <w:trPr>
          <w:trHeight w:val="190"/>
        </w:trPr>
        <w:tc>
          <w:tcPr>
            <w:tcW w:w="1700" w:type="dxa"/>
            <w:vAlign w:val="bottom"/>
          </w:tcPr>
          <w:p>
            <w:pPr>
              <w:spacing w:after="0"/>
              <w:rPr>
                <w:sz w:val="20"/>
                <w:szCs w:val="20"/>
                <w:color w:val="auto"/>
              </w:rPr>
            </w:pPr>
            <w:r>
              <w:rPr>
                <w:rFonts w:ascii="Arial" w:cs="Arial" w:eastAsia="Arial" w:hAnsi="Arial"/>
                <w:sz w:val="13"/>
                <w:szCs w:val="13"/>
                <w:color w:val="auto"/>
              </w:rPr>
              <w:t>Automotive interest expense</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line="129" w:lineRule="exact"/>
              <w:rPr>
                <w:sz w:val="20"/>
                <w:szCs w:val="20"/>
                <w:color w:val="auto"/>
              </w:rPr>
            </w:pPr>
            <w:r>
              <w:rPr>
                <w:rFonts w:ascii="Arial" w:cs="Arial" w:eastAsia="Arial" w:hAnsi="Arial"/>
                <w:sz w:val="13"/>
                <w:szCs w:val="13"/>
                <w:color w:val="auto"/>
              </w:rPr>
              <w:t>Interest income and other</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160"/>
              <w:spacing w:after="0"/>
              <w:rPr>
                <w:sz w:val="20"/>
                <w:szCs w:val="20"/>
                <w:color w:val="auto"/>
              </w:rPr>
            </w:pPr>
            <w:r>
              <w:rPr>
                <w:rFonts w:ascii="Arial" w:cs="Arial" w:eastAsia="Arial" w:hAnsi="Arial"/>
                <w:sz w:val="13"/>
                <w:szCs w:val="13"/>
                <w:color w:val="auto"/>
              </w:rPr>
              <w:t>non-operating income, net</w:t>
            </w: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rPr>
                <w:sz w:val="20"/>
                <w:szCs w:val="20"/>
                <w:color w:val="auto"/>
              </w:rPr>
            </w:pPr>
            <w:r>
              <w:rPr>
                <w:rFonts w:ascii="Arial" w:cs="Arial" w:eastAsia="Arial" w:hAnsi="Arial"/>
                <w:sz w:val="13"/>
                <w:szCs w:val="13"/>
                <w:color w:val="auto"/>
              </w:rPr>
              <w:t>Equity income (loss)</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line="108" w:lineRule="exact"/>
              <w:rPr>
                <w:sz w:val="20"/>
                <w:szCs w:val="20"/>
                <w:color w:val="auto"/>
              </w:rPr>
            </w:pPr>
            <w:r>
              <w:rPr>
                <w:rFonts w:ascii="Arial" w:cs="Arial" w:eastAsia="Arial" w:hAnsi="Arial"/>
                <w:sz w:val="12"/>
                <w:szCs w:val="12"/>
                <w:color w:val="auto"/>
              </w:rPr>
              <w:t>Income (loss) before income</w:t>
            </w:r>
          </w:p>
        </w:tc>
        <w:tc>
          <w:tcPr>
            <w:tcW w:w="7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   3,188</w:t>
            </w:r>
          </w:p>
        </w:tc>
        <w:tc>
          <w:tcPr>
            <w:tcW w:w="80" w:type="dxa"/>
            <w:vAlign w:val="bottom"/>
          </w:tcPr>
          <w:p>
            <w:pPr>
              <w:spacing w:after="0"/>
              <w:rPr>
                <w:sz w:val="9"/>
                <w:szCs w:val="9"/>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  (301)</w:t>
            </w:r>
          </w:p>
        </w:tc>
        <w:tc>
          <w:tcPr>
            <w:tcW w:w="100" w:type="dxa"/>
            <w:vAlign w:val="bottom"/>
          </w:tcPr>
          <w:p>
            <w:pPr>
              <w:spacing w:after="0"/>
              <w:rPr>
                <w:sz w:val="9"/>
                <w:szCs w:val="9"/>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685</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700" w:type="dxa"/>
            <w:vAlign w:val="bottom"/>
          </w:tcPr>
          <w:p>
            <w:pPr>
              <w:ind w:left="160"/>
              <w:spacing w:after="0"/>
              <w:rPr>
                <w:sz w:val="20"/>
                <w:szCs w:val="20"/>
                <w:color w:val="auto"/>
              </w:rPr>
            </w:pPr>
            <w:r>
              <w:rPr>
                <w:rFonts w:ascii="Arial" w:cs="Arial" w:eastAsia="Arial" w:hAnsi="Arial"/>
                <w:sz w:val="13"/>
                <w:szCs w:val="13"/>
                <w:color w:val="auto"/>
              </w:rPr>
              <w:t>taxes</w:t>
            </w: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Income tax expense (benefit)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(loss)</w:t>
      </w:r>
    </w:p>
    <w:p>
      <w:pPr>
        <w:spacing w:after="0" w:line="22" w:lineRule="exact"/>
        <w:rPr>
          <w:sz w:val="20"/>
          <w:szCs w:val="20"/>
          <w:color w:val="auto"/>
        </w:rPr>
      </w:pPr>
    </w:p>
    <w:p>
      <w:pPr>
        <w:jc w:val="right"/>
        <w:ind w:right="2920"/>
        <w:spacing w:after="0"/>
        <w:rPr>
          <w:sz w:val="20"/>
          <w:szCs w:val="20"/>
          <w:color w:val="auto"/>
        </w:rPr>
      </w:pPr>
      <w:r>
        <w:rPr>
          <w:rFonts w:ascii="Arial" w:cs="Arial" w:eastAsia="Arial" w:hAnsi="Arial"/>
          <w:sz w:val="12"/>
          <w:szCs w:val="12"/>
          <w:color w:val="auto"/>
        </w:rPr>
        <w:t>Net loss (income) attributable</w:t>
      </w:r>
    </w:p>
    <w:p>
      <w:pPr>
        <w:jc w:val="right"/>
        <w:ind w:right="2960"/>
        <w:spacing w:after="0"/>
        <w:rPr>
          <w:sz w:val="20"/>
          <w:szCs w:val="20"/>
          <w:color w:val="auto"/>
        </w:rPr>
      </w:pPr>
      <w:r>
        <w:rPr>
          <w:rFonts w:ascii="Arial" w:cs="Arial" w:eastAsia="Arial" w:hAnsi="Arial"/>
          <w:sz w:val="13"/>
          <w:szCs w:val="13"/>
          <w:color w:val="auto"/>
        </w:rPr>
        <w:t>to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(loss)</w:t>
      </w:r>
    </w:p>
    <w:p>
      <w:pPr>
        <w:ind w:left="200"/>
        <w:spacing w:after="0" w:line="195" w:lineRule="auto"/>
        <w:rPr>
          <w:sz w:val="20"/>
          <w:szCs w:val="20"/>
          <w:color w:val="auto"/>
        </w:rPr>
      </w:pPr>
      <w:r>
        <w:rPr>
          <w:rFonts w:ascii="Arial" w:cs="Arial" w:eastAsia="Arial" w:hAnsi="Arial"/>
          <w:sz w:val="13"/>
          <w:szCs w:val="13"/>
          <w:b w:val="1"/>
          <w:bCs w:val="1"/>
          <w:color w:val="auto"/>
        </w:rPr>
        <w:t>attributable to</w:t>
      </w:r>
    </w:p>
    <w:p>
      <w:pPr>
        <w:ind w:left="200"/>
        <w:spacing w:after="0"/>
        <w:rPr>
          <w:sz w:val="20"/>
          <w:szCs w:val="20"/>
          <w:color w:val="auto"/>
        </w:rPr>
      </w:pPr>
      <w:r>
        <w:rPr>
          <w:rFonts w:ascii="Arial" w:cs="Arial" w:eastAsia="Arial" w:hAnsi="Arial"/>
          <w:sz w:val="13"/>
          <w:szCs w:val="13"/>
          <w:b w:val="1"/>
          <w:bCs w:val="1"/>
          <w:color w:val="auto"/>
        </w:rPr>
        <w:t>stockholders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(loss)</w:t>
      </w:r>
    </w:p>
    <w:p>
      <w:pPr>
        <w:ind w:left="200"/>
        <w:spacing w:after="0" w:line="195" w:lineRule="auto"/>
        <w:rPr>
          <w:sz w:val="20"/>
          <w:szCs w:val="20"/>
          <w:color w:val="auto"/>
        </w:rPr>
      </w:pPr>
      <w:r>
        <w:rPr>
          <w:rFonts w:ascii="Arial" w:cs="Arial" w:eastAsia="Arial" w:hAnsi="Arial"/>
          <w:sz w:val="13"/>
          <w:szCs w:val="13"/>
          <w:b w:val="1"/>
          <w:bCs w:val="1"/>
          <w:color w:val="auto"/>
        </w:rPr>
        <w:t>attributable to common</w:t>
      </w:r>
    </w:p>
    <w:p>
      <w:pPr>
        <w:ind w:left="200"/>
        <w:spacing w:after="0"/>
        <w:rPr>
          <w:sz w:val="20"/>
          <w:szCs w:val="20"/>
          <w:color w:val="auto"/>
        </w:rPr>
      </w:pPr>
      <w:r>
        <w:rPr>
          <w:rFonts w:ascii="Arial" w:cs="Arial" w:eastAsia="Arial" w:hAnsi="Arial"/>
          <w:sz w:val="13"/>
          <w:szCs w:val="13"/>
          <w:b w:val="1"/>
          <w:bCs w:val="1"/>
          <w:color w:val="auto"/>
        </w:rPr>
        <w:t>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ind w:left="100" w:hanging="92"/>
        <w:spacing w:after="0"/>
        <w:tabs>
          <w:tab w:leader="none" w:pos="100" w:val="left"/>
        </w:tabs>
        <w:numPr>
          <w:ilvl w:val="0"/>
          <w:numId w:val="3"/>
        </w:numPr>
        <w:rPr>
          <w:rFonts w:ascii="Arial" w:cs="Arial" w:eastAsia="Arial" w:hAnsi="Arial"/>
          <w:sz w:val="9"/>
          <w:szCs w:val="9"/>
          <w:color w:val="auto"/>
        </w:rPr>
      </w:pPr>
      <w:r>
        <w:rPr>
          <w:rFonts w:ascii="Arial" w:cs="Arial" w:eastAsia="Arial" w:hAnsi="Arial"/>
          <w:sz w:val="14"/>
          <w:szCs w:val="14"/>
          <w:color w:val="auto"/>
        </w:rPr>
        <w:t>Certain columns and rows may not add due to rounding.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jc w:val="center"/>
              <w:ind w:right="48"/>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310"/>
        </w:trPr>
        <w:tc>
          <w:tcPr>
            <w:tcW w:w="380" w:type="dxa"/>
            <w:vAlign w:val="bottom"/>
          </w:tcPr>
          <w:p>
            <w:pPr>
              <w:jc w:val="center"/>
              <w:ind w:right="48"/>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07"/>
        </w:trPr>
        <w:tc>
          <w:tcPr>
            <w:tcW w:w="38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87"/>
        </w:trPr>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520" w:type="dxa"/>
            <w:vAlign w:val="bottom"/>
          </w:tcPr>
          <w:p>
            <w:pPr>
              <w:jc w:val="right"/>
              <w:spacing w:after="0"/>
              <w:rPr>
                <w:sz w:val="20"/>
                <w:szCs w:val="20"/>
                <w:color w:val="auto"/>
              </w:rPr>
            </w:pPr>
            <w:r>
              <w:rPr>
                <w:rFonts w:ascii="Arial" w:cs="Arial" w:eastAsia="Arial" w:hAnsi="Arial"/>
                <w:sz w:val="14"/>
                <w:szCs w:val="14"/>
                <w:color w:val="auto"/>
              </w:rPr>
              <w:t>3,572</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3,497</w:t>
            </w:r>
          </w:p>
        </w:tc>
        <w:tc>
          <w:tcPr>
            <w:tcW w:w="8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24"/>
                <w:szCs w:val="24"/>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   $</w:t>
            </w:r>
          </w:p>
        </w:tc>
        <w:tc>
          <w:tcPr>
            <w:tcW w:w="520" w:type="dxa"/>
            <w:vAlign w:val="bottom"/>
          </w:tcPr>
          <w:p>
            <w:pPr>
              <w:jc w:val="right"/>
              <w:spacing w:after="0"/>
              <w:rPr>
                <w:sz w:val="20"/>
                <w:szCs w:val="20"/>
                <w:color w:val="auto"/>
              </w:rPr>
            </w:pPr>
            <w:r>
              <w:rPr>
                <w:rFonts w:ascii="Arial" w:cs="Arial" w:eastAsia="Arial" w:hAnsi="Arial"/>
                <w:sz w:val="14"/>
                <w:szCs w:val="14"/>
                <w:color w:val="auto"/>
              </w:rPr>
              <w:t>3,715</w:t>
            </w:r>
          </w:p>
        </w:tc>
      </w:tr>
      <w:tr>
        <w:trPr>
          <w:trHeight w:val="207"/>
        </w:trPr>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w:t>
            </w:r>
          </w:p>
        </w:tc>
      </w:tr>
      <w:tr>
        <w:trPr>
          <w:trHeight w:val="192"/>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2,953</w:t>
            </w:r>
          </w:p>
        </w:tc>
      </w:tr>
      <w:tr>
        <w:trPr>
          <w:trHeight w:val="315"/>
        </w:trPr>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385"/>
        </w:trPr>
        <w:tc>
          <w:tcPr>
            <w:tcW w:w="380" w:type="dxa"/>
            <w:vAlign w:val="bottom"/>
          </w:tcPr>
          <w:p>
            <w:pPr>
              <w:spacing w:after="0"/>
              <w:rPr>
                <w:sz w:val="24"/>
                <w:szCs w:val="2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w:t>
            </w:r>
          </w:p>
        </w:tc>
      </w:tr>
      <w:tr>
        <w:trPr>
          <w:trHeight w:val="25"/>
        </w:trPr>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444"/>
        </w:trPr>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3,361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-1562735</wp:posOffset>
            </wp:positionV>
            <wp:extent cx="7115175"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9685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-911225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-577215</wp:posOffset>
            </wp:positionV>
            <wp:extent cx="711517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58293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-1236980</wp:posOffset>
            </wp:positionV>
            <wp:extent cx="7115175"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97485"/>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4600" w:space="720"/>
            <w:col w:w="5900"/>
          </w:cols>
          <w:pgMar w:left="320" w:top="85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854" w:right="359" w:bottom="1440" w:gutter="0" w:footer="0" w:header="0"/>
          <w:type w:val="continuous"/>
        </w:sectPr>
      </w:pPr>
    </w:p>
    <w:bookmarkStart w:id="7" w:name="page8"/>
    <w:bookmarkEnd w:id="7"/>
    <w:p>
      <w:pPr>
        <w:ind w:left="396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3"/>
                <w:szCs w:val="13"/>
                <w:b w:val="1"/>
                <w:bCs w:val="1"/>
                <w:color w:val="auto"/>
              </w:rPr>
              <w:t>Three Months Ended</w:t>
            </w:r>
          </w:p>
        </w:tc>
        <w:tc>
          <w:tcPr>
            <w:tcW w:w="2240" w:type="dxa"/>
            <w:vAlign w:val="bottom"/>
            <w:tcBorders>
              <w:bottom w:val="single" w:sz="8" w:color="auto"/>
            </w:tcBorders>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224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March 31, 2025</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021"/>
              <w:spacing w:after="0"/>
              <w:rPr>
                <w:sz w:val="20"/>
                <w:szCs w:val="20"/>
                <w:color w:val="auto"/>
              </w:rPr>
            </w:pPr>
            <w:r>
              <w:rPr>
                <w:rFonts w:ascii="Arial" w:cs="Arial" w:eastAsia="Arial" w:hAnsi="Arial"/>
                <w:sz w:val="13"/>
                <w:szCs w:val="13"/>
                <w:b w:val="1"/>
                <w:bCs w:val="1"/>
                <w:color w:val="auto"/>
              </w:rPr>
              <w:t>March 31, 2024</w:t>
            </w:r>
          </w:p>
        </w:tc>
      </w:tr>
      <w:tr>
        <w:trPr>
          <w:trHeight w:val="185"/>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2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7"/>
        </w:trPr>
        <w:tc>
          <w:tcPr>
            <w:tcW w:w="4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stockholders</w:t>
            </w:r>
          </w:p>
        </w:tc>
        <w:tc>
          <w:tcPr>
            <w:tcW w:w="2240" w:type="dxa"/>
            <w:vAlign w:val="bottom"/>
            <w:shd w:val="clear" w:color="auto" w:fill="CCEEFF"/>
          </w:tcPr>
          <w:p>
            <w:pPr>
              <w:jc w:val="right"/>
              <w:ind w:right="20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2,980</w:t>
            </w:r>
          </w:p>
        </w:tc>
      </w:tr>
      <w:tr>
        <w:trPr>
          <w:trHeight w:val="215"/>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Adjustments(a)</w:t>
            </w:r>
          </w:p>
        </w:tc>
        <w:tc>
          <w:tcPr>
            <w:tcW w:w="2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5"/>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w:t>
            </w:r>
          </w:p>
        </w:tc>
        <w:tc>
          <w:tcPr>
            <w:tcW w:w="2240" w:type="dxa"/>
            <w:vAlign w:val="bottom"/>
            <w:tcBorders>
              <w:bottom w:val="single" w:sz="8" w:color="auto"/>
            </w:tcBorders>
            <w:shd w:val="clear" w:color="auto" w:fill="CCEEFF"/>
          </w:tcPr>
          <w:p>
            <w:pPr>
              <w:jc w:val="right"/>
              <w:ind w:right="20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3,361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2,970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9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2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1,155</w:t>
            </w:r>
          </w:p>
        </w:tc>
      </w:tr>
      <w:tr>
        <w:trPr>
          <w:trHeight w:val="108"/>
        </w:trPr>
        <w:tc>
          <w:tcPr>
            <w:tcW w:w="49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 earnings per common share</w:t>
            </w:r>
          </w:p>
        </w:tc>
        <w:tc>
          <w:tcPr>
            <w:tcW w:w="2240" w:type="dxa"/>
            <w:vAlign w:val="bottom"/>
            <w:shd w:val="clear" w:color="auto" w:fill="CCEEFF"/>
          </w:tcPr>
          <w:p>
            <w:pPr>
              <w:jc w:val="right"/>
              <w:ind w:right="20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w:t>
            </w:r>
          </w:p>
        </w:tc>
      </w:tr>
      <w:tr>
        <w:trPr>
          <w:trHeight w:val="201"/>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2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7"/>
        </w:trPr>
        <w:tc>
          <w:tcPr>
            <w:tcW w:w="4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 – diluted</w:t>
            </w:r>
          </w:p>
        </w:tc>
        <w:tc>
          <w:tcPr>
            <w:tcW w:w="2240" w:type="dxa"/>
            <w:vAlign w:val="bottom"/>
            <w:shd w:val="clear" w:color="auto" w:fill="CCEEFF"/>
          </w:tcPr>
          <w:p>
            <w:pPr>
              <w:jc w:val="right"/>
              <w:ind w:right="20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3,361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2,970</w:t>
            </w:r>
          </w:p>
        </w:tc>
      </w:tr>
      <w:tr>
        <w:trPr>
          <w:trHeight w:val="108"/>
        </w:trPr>
        <w:tc>
          <w:tcPr>
            <w:tcW w:w="49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 – diluted</w:t>
            </w:r>
          </w:p>
        </w:tc>
        <w:tc>
          <w:tcPr>
            <w:tcW w:w="2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1,162</w:t>
            </w:r>
          </w:p>
        </w:tc>
      </w:tr>
      <w:tr>
        <w:trPr>
          <w:trHeight w:val="108"/>
        </w:trPr>
        <w:tc>
          <w:tcPr>
            <w:tcW w:w="49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earnings per common share</w:t>
            </w:r>
          </w:p>
        </w:tc>
        <w:tc>
          <w:tcPr>
            <w:tcW w:w="2240" w:type="dxa"/>
            <w:vAlign w:val="bottom"/>
            <w:shd w:val="clear" w:color="auto" w:fill="CCEEFF"/>
          </w:tcPr>
          <w:p>
            <w:pPr>
              <w:jc w:val="right"/>
              <w:ind w:right="20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w:t>
            </w:r>
          </w:p>
        </w:tc>
      </w:tr>
      <w:tr>
        <w:trPr>
          <w:trHeight w:val="215"/>
        </w:trPr>
        <w:tc>
          <w:tcPr>
            <w:tcW w:w="4940" w:type="dxa"/>
            <w:vAlign w:val="bottom"/>
          </w:tcPr>
          <w:p>
            <w:pPr>
              <w:ind w:left="140"/>
              <w:spacing w:after="0"/>
              <w:rPr>
                <w:sz w:val="20"/>
                <w:szCs w:val="20"/>
                <w:color w:val="auto"/>
              </w:rPr>
            </w:pPr>
            <w:r>
              <w:rPr>
                <w:rFonts w:ascii="Arial" w:cs="Arial" w:eastAsia="Arial" w:hAnsi="Arial"/>
                <w:sz w:val="14"/>
                <w:szCs w:val="14"/>
                <w:color w:val="auto"/>
              </w:rPr>
              <w:t>Potentially dilutive securities(b)</w:t>
            </w:r>
          </w:p>
        </w:tc>
        <w:tc>
          <w:tcPr>
            <w:tcW w:w="22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40" w:type="dxa"/>
            <w:vAlign w:val="bottom"/>
          </w:tcPr>
          <w:p>
            <w:pPr>
              <w:jc w:val="right"/>
              <w:ind w:right="1"/>
              <w:spacing w:after="0"/>
              <w:rPr>
                <w:sz w:val="20"/>
                <w:szCs w:val="20"/>
                <w:color w:val="auto"/>
              </w:rPr>
            </w:pPr>
            <w:r>
              <w:rPr>
                <w:rFonts w:ascii="Arial" w:cs="Arial" w:eastAsia="Arial" w:hAnsi="Arial"/>
                <w:sz w:val="16"/>
                <w:szCs w:val="16"/>
                <w:color w:val="auto"/>
              </w:rPr>
              <w:t>17</w:t>
            </w:r>
          </w:p>
        </w:tc>
      </w:tr>
    </w:tbl>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60" w:hanging="332"/>
        <w:spacing w:after="0" w:line="261" w:lineRule="auto"/>
        <w:tabs>
          <w:tab w:leader="none" w:pos="34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a $593 million return from the preferred shareholders related to the redemption of Cruise preferred shares from noncontrolling interest holders in the three months ended March 31, 2025 and an insignificant amount in participating securities income from a subsidiary for the three months ended March 31, 2025 and 2024.</w:t>
      </w:r>
    </w:p>
    <w:p>
      <w:pPr>
        <w:ind w:left="360" w:hanging="332"/>
        <w:spacing w:after="0" w:line="284" w:lineRule="auto"/>
        <w:tabs>
          <w:tab w:leader="none" w:pos="347"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Performance Stock Units (PSUs) and Restricted Stock Units (RSUs) at March 31, 2025 and 2024, were excluded from the computation of diluted earnings per share (EPS) because the securities would have had an antidilutive effect.</w:t>
      </w:r>
    </w:p>
    <w:p>
      <w:pPr>
        <w:spacing w:after="0" w:line="200" w:lineRule="exact"/>
        <w:rPr>
          <w:sz w:val="20"/>
          <w:szCs w:val="20"/>
          <w:color w:val="auto"/>
        </w:rPr>
      </w:pPr>
    </w:p>
    <w:p>
      <w:pPr>
        <w:spacing w:after="0" w:line="359"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00" w:top="854" w:right="339" w:bottom="1440" w:gutter="0" w:footer="0" w:header="0"/>
        </w:sectPr>
      </w:pPr>
    </w:p>
    <w:bookmarkStart w:id="8" w:name="page9"/>
    <w:bookmarkEnd w:id="8"/>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March 31, 2025</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December 31, 2024</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Combined</w:t>
            </w: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66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4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19,872</w:t>
            </w:r>
          </w:p>
        </w:tc>
        <w:tc>
          <w:tcPr>
            <w:tcW w:w="0" w:type="dxa"/>
            <w:vAlign w:val="bottom"/>
          </w:tcPr>
          <w:p>
            <w:pPr>
              <w:spacing w:after="0"/>
              <w:rPr>
                <w:sz w:val="1"/>
                <w:szCs w:val="1"/>
                <w:color w:val="auto"/>
              </w:rPr>
            </w:pPr>
          </w:p>
        </w:tc>
      </w:tr>
      <w:tr>
        <w:trPr>
          <w:trHeight w:val="171"/>
        </w:trPr>
        <w:tc>
          <w:tcPr>
            <w:tcW w:w="184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7,265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7,265</w:t>
            </w: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Accounts and notes</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 net(a)</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12,827</w:t>
            </w:r>
          </w:p>
        </w:tc>
        <w:tc>
          <w:tcPr>
            <w:tcW w:w="0" w:type="dxa"/>
            <w:vAlign w:val="bottom"/>
          </w:tcPr>
          <w:p>
            <w:pPr>
              <w:spacing w:after="0"/>
              <w:rPr>
                <w:sz w:val="1"/>
                <w:szCs w:val="1"/>
                <w:color w:val="auto"/>
              </w:rPr>
            </w:pPr>
          </w:p>
        </w:tc>
      </w:tr>
      <w:tr>
        <w:trPr>
          <w:trHeight w:val="122"/>
        </w:trPr>
        <w:tc>
          <w:tcPr>
            <w:tcW w:w="1840" w:type="dxa"/>
            <w:vAlign w:val="bottom"/>
          </w:tcPr>
          <w:p>
            <w:pPr>
              <w:ind w:left="140"/>
              <w:spacing w:after="0" w:line="122" w:lineRule="exact"/>
              <w:rPr>
                <w:sz w:val="20"/>
                <w:szCs w:val="20"/>
                <w:color w:val="auto"/>
              </w:rPr>
            </w:pPr>
            <w:r>
              <w:rPr>
                <w:rFonts w:ascii="Arial" w:cs="Arial" w:eastAsia="Arial" w:hAnsi="Arial"/>
                <w:sz w:val="13"/>
                <w:szCs w:val="13"/>
                <w:color w:val="auto"/>
              </w:rPr>
              <w:t>GM Financial receivables,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140"/>
              <w:spacing w:after="0"/>
              <w:rPr>
                <w:sz w:val="20"/>
                <w:szCs w:val="20"/>
                <w:color w:val="auto"/>
              </w:rPr>
            </w:pPr>
            <w:r>
              <w:rPr>
                <w:rFonts w:ascii="Arial" w:cs="Arial" w:eastAsia="Arial" w:hAnsi="Arial"/>
                <w:sz w:val="13"/>
                <w:szCs w:val="13"/>
                <w:color w:val="auto"/>
              </w:rPr>
              <w:t>net(d)</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44,779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44,517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46,760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46,362</w:t>
            </w:r>
          </w:p>
        </w:tc>
        <w:tc>
          <w:tcPr>
            <w:tcW w:w="0" w:type="dxa"/>
            <w:vAlign w:val="bottom"/>
          </w:tcPr>
          <w:p>
            <w:pPr>
              <w:spacing w:after="0"/>
              <w:rPr>
                <w:sz w:val="1"/>
                <w:szCs w:val="1"/>
                <w:color w:val="auto"/>
              </w:rPr>
            </w:pPr>
          </w:p>
        </w:tc>
      </w:tr>
      <w:tr>
        <w:trPr>
          <w:trHeight w:val="183"/>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14,564</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4,815</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7,811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2,816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4,799</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7,655</w:t>
            </w: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59,924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50,618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58,640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108,545</w:t>
            </w: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40" w:type="dxa"/>
            <w:vAlign w:val="bottom"/>
            <w:shd w:val="clear" w:color="auto" w:fill="CCEEFF"/>
          </w:tcPr>
          <w:p>
            <w:pPr>
              <w:ind w:left="140"/>
              <w:spacing w:after="0" w:line="123" w:lineRule="exact"/>
              <w:rPr>
                <w:sz w:val="20"/>
                <w:szCs w:val="20"/>
                <w:color w:val="auto"/>
              </w:rPr>
            </w:pPr>
            <w:r>
              <w:rPr>
                <w:rFonts w:ascii="Arial" w:cs="Arial" w:eastAsia="Arial" w:hAnsi="Arial"/>
                <w:sz w:val="13"/>
                <w:szCs w:val="13"/>
                <w:color w:val="auto"/>
              </w:rPr>
              <w:t>GM Financial receivables,</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net(c)</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46,534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46,750</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46,474</w:t>
            </w:r>
          </w:p>
        </w:tc>
        <w:tc>
          <w:tcPr>
            <w:tcW w:w="0" w:type="dxa"/>
            <w:vAlign w:val="bottom"/>
          </w:tcPr>
          <w:p>
            <w:pPr>
              <w:spacing w:after="0"/>
              <w:rPr>
                <w:sz w:val="1"/>
                <w:szCs w:val="1"/>
                <w:color w:val="auto"/>
              </w:rPr>
            </w:pPr>
          </w:p>
        </w:tc>
      </w:tr>
      <w:tr>
        <w:trPr>
          <w:trHeight w:val="121"/>
        </w:trPr>
        <w:tc>
          <w:tcPr>
            <w:tcW w:w="1840" w:type="dxa"/>
            <w:vAlign w:val="bottom"/>
          </w:tcPr>
          <w:p>
            <w:pPr>
              <w:ind w:left="140"/>
              <w:spacing w:after="0" w:line="122" w:lineRule="exact"/>
              <w:rPr>
                <w:sz w:val="20"/>
                <w:szCs w:val="20"/>
                <w:color w:val="auto"/>
              </w:rPr>
            </w:pPr>
            <w:r>
              <w:rPr>
                <w:rFonts w:ascii="Arial" w:cs="Arial" w:eastAsia="Arial" w:hAnsi="Arial"/>
                <w:sz w:val="13"/>
                <w:szCs w:val="13"/>
                <w:color w:val="auto"/>
              </w:rPr>
              <w:t>Equity in net assets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1,226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5,896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1,206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7,102</w:t>
            </w:r>
          </w:p>
        </w:tc>
        <w:tc>
          <w:tcPr>
            <w:tcW w:w="0" w:type="dxa"/>
            <w:vAlign w:val="bottom"/>
          </w:tcPr>
          <w:p>
            <w:pPr>
              <w:spacing w:after="0"/>
              <w:rPr>
                <w:sz w:val="1"/>
                <w:szCs w:val="1"/>
                <w:color w:val="auto"/>
              </w:rPr>
            </w:pPr>
          </w:p>
        </w:tc>
      </w:tr>
      <w:tr>
        <w:trPr>
          <w:trHeight w:val="183"/>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51,729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51,904</w:t>
            </w:r>
          </w:p>
        </w:tc>
        <w:tc>
          <w:tcPr>
            <w:tcW w:w="0" w:type="dxa"/>
            <w:vAlign w:val="bottom"/>
          </w:tcPr>
          <w:p>
            <w:pPr>
              <w:spacing w:after="0"/>
              <w:rPr>
                <w:sz w:val="1"/>
                <w:szCs w:val="1"/>
                <w:color w:val="auto"/>
              </w:rPr>
            </w:pPr>
          </w:p>
        </w:tc>
      </w:tr>
      <w:tr>
        <w:trPr>
          <w:trHeight w:val="122"/>
        </w:trPr>
        <w:tc>
          <w:tcPr>
            <w:tcW w:w="1840" w:type="dxa"/>
            <w:vAlign w:val="bottom"/>
          </w:tcPr>
          <w:p>
            <w:pPr>
              <w:ind w:left="140"/>
              <w:spacing w:after="0" w:line="122" w:lineRule="exact"/>
              <w:rPr>
                <w:sz w:val="20"/>
                <w:szCs w:val="20"/>
                <w:color w:val="auto"/>
              </w:rPr>
            </w:pPr>
            <w:r>
              <w:rPr>
                <w:rFonts w:ascii="Arial" w:cs="Arial" w:eastAsia="Arial" w:hAnsi="Arial"/>
                <w:sz w:val="13"/>
                <w:szCs w:val="13"/>
                <w:color w:val="auto"/>
              </w:rPr>
              <w:t>Goodwill and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300"/>
              <w:spacing w:after="0"/>
              <w:rPr>
                <w:sz w:val="20"/>
                <w:szCs w:val="20"/>
                <w:color w:val="auto"/>
              </w:rPr>
            </w:pPr>
            <w:r>
              <w:rPr>
                <w:rFonts w:ascii="Arial" w:cs="Arial" w:eastAsia="Arial" w:hAnsi="Arial"/>
                <w:sz w:val="13"/>
                <w:szCs w:val="13"/>
                <w:color w:val="auto"/>
              </w:rPr>
              <w:t>assets, net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2,642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4,551</w:t>
            </w:r>
          </w:p>
        </w:tc>
        <w:tc>
          <w:tcPr>
            <w:tcW w:w="0" w:type="dxa"/>
            <w:vAlign w:val="bottom"/>
          </w:tcPr>
          <w:p>
            <w:pPr>
              <w:spacing w:after="0"/>
              <w:rPr>
                <w:sz w:val="1"/>
                <w:szCs w:val="1"/>
                <w:color w:val="auto"/>
              </w:rPr>
            </w:pPr>
          </w:p>
        </w:tc>
      </w:tr>
      <w:tr>
        <w:trPr>
          <w:trHeight w:val="129"/>
        </w:trPr>
        <w:tc>
          <w:tcPr>
            <w:tcW w:w="18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Equipment on operating</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leases, net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31,586</w:t>
            </w:r>
          </w:p>
        </w:tc>
        <w:tc>
          <w:tcPr>
            <w:tcW w:w="0" w:type="dxa"/>
            <w:vAlign w:val="bottom"/>
          </w:tcPr>
          <w:p>
            <w:pPr>
              <w:spacing w:after="0"/>
              <w:rPr>
                <w:sz w:val="1"/>
                <w:szCs w:val="1"/>
                <w:color w:val="auto"/>
              </w:rPr>
            </w:pPr>
          </w:p>
        </w:tc>
      </w:tr>
      <w:tr>
        <w:trPr>
          <w:trHeight w:val="171"/>
        </w:trPr>
        <w:tc>
          <w:tcPr>
            <w:tcW w:w="184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22,931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(1,697)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21,234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21,149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(1,795)</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21,254</w:t>
            </w:r>
          </w:p>
        </w:tc>
        <w:tc>
          <w:tcPr>
            <w:tcW w:w="0" w:type="dxa"/>
            <w:vAlign w:val="bottom"/>
          </w:tcPr>
          <w:p>
            <w:pPr>
              <w:spacing w:after="0"/>
              <w:rPr>
                <w:sz w:val="1"/>
                <w:szCs w:val="1"/>
                <w:color w:val="auto"/>
              </w:rPr>
            </w:pPr>
          </w:p>
        </w:tc>
      </w:tr>
      <w:tr>
        <w:trPr>
          <w:trHeight w:val="180"/>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assets(b)</w:t>
            </w: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1,384</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9,340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0" w:type="dxa"/>
            <w:vAlign w:val="bottom"/>
          </w:tcPr>
          <w:p>
            <w:pPr>
              <w:spacing w:after="0"/>
              <w:rPr>
                <w:sz w:val="1"/>
                <w:szCs w:val="1"/>
                <w:color w:val="auto"/>
              </w:rPr>
            </w:pPr>
          </w:p>
        </w:tc>
      </w:tr>
      <w:tr>
        <w:trPr>
          <w:trHeight w:val="164"/>
        </w:trPr>
        <w:tc>
          <w:tcPr>
            <w:tcW w:w="1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assets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93,270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81,132</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172,099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90,756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80,516</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171,216</w:t>
            </w:r>
          </w:p>
        </w:tc>
        <w:tc>
          <w:tcPr>
            <w:tcW w:w="0" w:type="dxa"/>
            <w:vAlign w:val="bottom"/>
          </w:tcPr>
          <w:p>
            <w:pPr>
              <w:spacing w:after="0"/>
              <w:rPr>
                <w:sz w:val="1"/>
                <w:szCs w:val="1"/>
                <w:color w:val="auto"/>
              </w:rPr>
            </w:pPr>
          </w:p>
        </w:tc>
      </w:tr>
      <w:tr>
        <w:trPr>
          <w:trHeight w:val="199"/>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145,030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141,056</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282,104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141,374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139,156</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279,761</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w w:val="99"/>
              </w:rPr>
              <w:t>Accounts payable (principally</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trade)(a)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25,446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25,680</w:t>
            </w:r>
          </w:p>
        </w:tc>
        <w:tc>
          <w:tcPr>
            <w:tcW w:w="0" w:type="dxa"/>
            <w:vAlign w:val="bottom"/>
          </w:tcPr>
          <w:p>
            <w:pPr>
              <w:spacing w:after="0"/>
              <w:rPr>
                <w:sz w:val="1"/>
                <w:szCs w:val="1"/>
                <w:color w:val="auto"/>
              </w:rPr>
            </w:pPr>
          </w:p>
        </w:tc>
      </w:tr>
      <w:tr>
        <w:trPr>
          <w:trHeight w:val="122"/>
        </w:trPr>
        <w:tc>
          <w:tcPr>
            <w:tcW w:w="1840" w:type="dxa"/>
            <w:vAlign w:val="bottom"/>
          </w:tcPr>
          <w:p>
            <w:pPr>
              <w:ind w:left="140"/>
              <w:spacing w:after="0" w:line="122" w:lineRule="exact"/>
              <w:rPr>
                <w:sz w:val="20"/>
                <w:szCs w:val="20"/>
                <w:color w:val="auto"/>
              </w:rPr>
            </w:pPr>
            <w:r>
              <w:rPr>
                <w:rFonts w:ascii="Arial" w:cs="Arial" w:eastAsia="Arial" w:hAnsi="Arial"/>
                <w:sz w:val="13"/>
                <w:szCs w:val="13"/>
                <w:color w:val="auto"/>
              </w:rPr>
              <w:t>Short-term debt and current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840" w:type="dxa"/>
            <w:vAlign w:val="bottom"/>
          </w:tcPr>
          <w:p>
            <w:pPr>
              <w:ind w:left="300"/>
              <w:spacing w:after="0"/>
              <w:rPr>
                <w:sz w:val="20"/>
                <w:szCs w:val="20"/>
                <w:color w:val="auto"/>
              </w:rPr>
            </w:pPr>
            <w:r>
              <w:rPr>
                <w:rFonts w:ascii="Arial" w:cs="Arial" w:eastAsia="Arial" w:hAnsi="Arial"/>
                <w:sz w:val="13"/>
                <w:szCs w:val="13"/>
                <w:color w:val="auto"/>
              </w:rPr>
              <w:t>portion of long-term debt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Automotive(a)(d)</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w:t>
            </w:r>
          </w:p>
        </w:tc>
        <w:tc>
          <w:tcPr>
            <w:tcW w:w="0" w:type="dxa"/>
            <w:vAlign w:val="bottom"/>
          </w:tcPr>
          <w:p>
            <w:pPr>
              <w:spacing w:after="0"/>
              <w:rPr>
                <w:sz w:val="1"/>
                <w:szCs w:val="1"/>
                <w:color w:val="auto"/>
              </w:rPr>
            </w:pPr>
          </w:p>
        </w:tc>
      </w:tr>
      <w:tr>
        <w:trPr>
          <w:trHeight w:val="171"/>
        </w:trPr>
        <w:tc>
          <w:tcPr>
            <w:tcW w:w="1840" w:type="dxa"/>
            <w:vAlign w:val="bottom"/>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33,768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33,768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37,291</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37,291</w:t>
            </w:r>
          </w:p>
        </w:tc>
        <w:tc>
          <w:tcPr>
            <w:tcW w:w="0" w:type="dxa"/>
            <w:vAlign w:val="bottom"/>
          </w:tcPr>
          <w:p>
            <w:pPr>
              <w:spacing w:after="0"/>
              <w:rPr>
                <w:sz w:val="1"/>
                <w:szCs w:val="1"/>
                <w:color w:val="auto"/>
              </w:rPr>
            </w:pPr>
          </w:p>
        </w:tc>
      </w:tr>
      <w:tr>
        <w:trPr>
          <w:trHeight w:val="180"/>
        </w:trPr>
        <w:tc>
          <w:tcPr>
            <w:tcW w:w="1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Cruise(d)</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Accrued liabilities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22,863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4,735</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27,865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24,949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5,661</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31,154</w:t>
            </w: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52,808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43,666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96,265</w:t>
            </w: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300"/>
              <w:spacing w:after="0"/>
              <w:rPr>
                <w:sz w:val="20"/>
                <w:szCs w:val="20"/>
                <w:color w:val="auto"/>
              </w:rPr>
            </w:pPr>
            <w:r>
              <w:rPr>
                <w:rFonts w:ascii="Arial" w:cs="Arial" w:eastAsia="Arial" w:hAnsi="Arial"/>
                <w:sz w:val="13"/>
                <w:szCs w:val="13"/>
                <w:color w:val="auto"/>
              </w:rPr>
              <w:t>Automotive(b)</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13,436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13,474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13,288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2,397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13,327</w:t>
            </w:r>
          </w:p>
        </w:tc>
        <w:tc>
          <w:tcPr>
            <w:tcW w:w="0" w:type="dxa"/>
            <w:vAlign w:val="bottom"/>
          </w:tcPr>
          <w:p>
            <w:pPr>
              <w:spacing w:after="0"/>
              <w:rPr>
                <w:sz w:val="1"/>
                <w:szCs w:val="1"/>
                <w:color w:val="auto"/>
              </w:rPr>
            </w:pPr>
          </w:p>
        </w:tc>
      </w:tr>
      <w:tr>
        <w:trPr>
          <w:trHeight w:val="180"/>
        </w:trPr>
        <w:tc>
          <w:tcPr>
            <w:tcW w:w="1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83,270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76,973</w:t>
            </w:r>
          </w:p>
        </w:tc>
        <w:tc>
          <w:tcPr>
            <w:tcW w:w="0" w:type="dxa"/>
            <w:vAlign w:val="bottom"/>
          </w:tcPr>
          <w:p>
            <w:pPr>
              <w:spacing w:after="0"/>
              <w:rPr>
                <w:sz w:val="1"/>
                <w:szCs w:val="1"/>
                <w:color w:val="auto"/>
              </w:rPr>
            </w:pPr>
          </w:p>
        </w:tc>
      </w:tr>
      <w:tr>
        <w:trPr>
          <w:trHeight w:val="171"/>
        </w:trPr>
        <w:tc>
          <w:tcPr>
            <w:tcW w:w="1840" w:type="dxa"/>
            <w:vAlign w:val="bottom"/>
          </w:tcPr>
          <w:p>
            <w:pPr>
              <w:ind w:left="300"/>
              <w:spacing w:after="0"/>
              <w:rPr>
                <w:sz w:val="20"/>
                <w:szCs w:val="20"/>
                <w:color w:val="auto"/>
              </w:rPr>
            </w:pPr>
            <w:r>
              <w:rPr>
                <w:rFonts w:ascii="Arial" w:cs="Arial" w:eastAsia="Arial" w:hAnsi="Arial"/>
                <w:sz w:val="13"/>
                <w:szCs w:val="13"/>
                <w:color w:val="auto"/>
              </w:rPr>
              <w:t>Cruise(c)</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Postretirement benefits other</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pensions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w:t>
            </w:r>
          </w:p>
        </w:tc>
        <w:tc>
          <w:tcPr>
            <w:tcW w:w="0" w:type="dxa"/>
            <w:vAlign w:val="bottom"/>
          </w:tcPr>
          <w:p>
            <w:pPr>
              <w:spacing w:after="0"/>
              <w:rPr>
                <w:sz w:val="1"/>
                <w:szCs w:val="1"/>
                <w:color w:val="auto"/>
              </w:rPr>
            </w:pPr>
          </w:p>
        </w:tc>
      </w:tr>
      <w:tr>
        <w:trPr>
          <w:trHeight w:val="171"/>
        </w:trPr>
        <w:tc>
          <w:tcPr>
            <w:tcW w:w="1840" w:type="dxa"/>
            <w:vAlign w:val="bottom"/>
          </w:tcPr>
          <w:p>
            <w:pPr>
              <w:ind w:left="140"/>
              <w:spacing w:after="0"/>
              <w:rPr>
                <w:sz w:val="20"/>
                <w:szCs w:val="20"/>
                <w:color w:val="auto"/>
              </w:rPr>
            </w:pPr>
            <w:r>
              <w:rPr>
                <w:rFonts w:ascii="Arial" w:cs="Arial" w:eastAsia="Arial" w:hAnsi="Arial"/>
                <w:sz w:val="13"/>
                <w:szCs w:val="13"/>
                <w:color w:val="auto"/>
              </w:rPr>
              <w:t>Pensions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5,772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5,779</w:t>
            </w:r>
          </w:p>
        </w:tc>
        <w:tc>
          <w:tcPr>
            <w:tcW w:w="0" w:type="dxa"/>
            <w:vAlign w:val="bottom"/>
          </w:tcPr>
          <w:p>
            <w:pPr>
              <w:spacing w:after="0"/>
              <w:rPr>
                <w:sz w:val="1"/>
                <w:szCs w:val="1"/>
                <w:color w:val="auto"/>
              </w:rPr>
            </w:pPr>
          </w:p>
        </w:tc>
      </w:tr>
      <w:tr>
        <w:trPr>
          <w:trHeight w:val="180"/>
        </w:trPr>
        <w:tc>
          <w:tcPr>
            <w:tcW w:w="1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14,635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17,836</w:t>
            </w:r>
          </w:p>
        </w:tc>
        <w:tc>
          <w:tcPr>
            <w:tcW w:w="0" w:type="dxa"/>
            <w:vAlign w:val="bottom"/>
          </w:tcPr>
          <w:p>
            <w:pPr>
              <w:spacing w:after="0"/>
              <w:rPr>
                <w:sz w:val="1"/>
                <w:szCs w:val="1"/>
                <w:color w:val="auto"/>
              </w:rPr>
            </w:pPr>
          </w:p>
        </w:tc>
      </w:tr>
      <w:tr>
        <w:trPr>
          <w:trHeight w:val="164"/>
        </w:trPr>
        <w:tc>
          <w:tcPr>
            <w:tcW w:w="18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liabilities</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38,287</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2,732</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86,319</w:t>
            </w:r>
          </w:p>
        </w:tc>
        <w:tc>
          <w:tcPr>
            <w:tcW w:w="10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(2,408)</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124,931</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37,686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2,970</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79,885</w:t>
            </w: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(2,635)</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117,906</w:t>
            </w: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125,325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215,678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90,494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123,551</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214,171</w:t>
            </w: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40" w:type="dxa"/>
            <w:vAlign w:val="bottom"/>
            <w:shd w:val="clear" w:color="auto" w:fill="CCEEFF"/>
          </w:tcPr>
          <w:p>
            <w:pPr>
              <w:ind w:left="100"/>
              <w:spacing w:after="0" w:line="123" w:lineRule="exact"/>
              <w:rPr>
                <w:sz w:val="20"/>
                <w:szCs w:val="20"/>
                <w:color w:val="auto"/>
              </w:rPr>
            </w:pPr>
            <w:r>
              <w:rPr>
                <w:rFonts w:ascii="Arial" w:cs="Arial" w:eastAsia="Arial" w:hAnsi="Arial"/>
                <w:sz w:val="13"/>
                <w:szCs w:val="13"/>
                <w:color w:val="auto"/>
              </w:rPr>
              <w:t>Common stock, $0.01 par</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value</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1840" w:type="dxa"/>
            <w:vAlign w:val="bottom"/>
          </w:tcPr>
          <w:p>
            <w:pPr>
              <w:ind w:left="100"/>
              <w:spacing w:after="0"/>
              <w:rPr>
                <w:sz w:val="20"/>
                <w:szCs w:val="20"/>
                <w:color w:val="auto"/>
              </w:rPr>
            </w:pPr>
            <w:r>
              <w:rPr>
                <w:rFonts w:ascii="Arial" w:cs="Arial" w:eastAsia="Arial" w:hAnsi="Arial"/>
                <w:sz w:val="13"/>
                <w:szCs w:val="13"/>
                <w:color w:val="auto"/>
              </w:rPr>
              <w:t>Additional paid-in capital(e)</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18,603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1,196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20,345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19,632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1,196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20,843</w:t>
            </w:r>
          </w:p>
        </w:tc>
        <w:tc>
          <w:tcPr>
            <w:tcW w:w="0" w:type="dxa"/>
            <w:vAlign w:val="bottom"/>
          </w:tcPr>
          <w:p>
            <w:pPr>
              <w:spacing w:after="0"/>
              <w:rPr>
                <w:sz w:val="1"/>
                <w:szCs w:val="1"/>
                <w:color w:val="auto"/>
              </w:rPr>
            </w:pPr>
          </w:p>
        </w:tc>
      </w:tr>
      <w:tr>
        <w:trPr>
          <w:trHeight w:val="180"/>
        </w:trPr>
        <w:tc>
          <w:tcPr>
            <w:tcW w:w="1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(5,330)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40,203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53,472</w:t>
            </w:r>
          </w:p>
        </w:tc>
        <w:tc>
          <w:tcPr>
            <w:tcW w:w="0" w:type="dxa"/>
            <w:vAlign w:val="bottom"/>
          </w:tcPr>
          <w:p>
            <w:pPr>
              <w:spacing w:after="0"/>
              <w:rPr>
                <w:sz w:val="1"/>
                <w:szCs w:val="1"/>
                <w:color w:val="auto"/>
              </w:rPr>
            </w:pPr>
          </w:p>
        </w:tc>
      </w:tr>
      <w:tr>
        <w:trPr>
          <w:trHeight w:val="122"/>
        </w:trPr>
        <w:tc>
          <w:tcPr>
            <w:tcW w:w="1840" w:type="dxa"/>
            <w:vAlign w:val="bottom"/>
          </w:tcPr>
          <w:p>
            <w:pPr>
              <w:ind w:left="100"/>
              <w:spacing w:after="0" w:line="122" w:lineRule="exact"/>
              <w:rPr>
                <w:sz w:val="20"/>
                <w:szCs w:val="20"/>
                <w:color w:val="auto"/>
              </w:rPr>
            </w:pPr>
            <w:r>
              <w:rPr>
                <w:rFonts w:ascii="Arial" w:cs="Arial" w:eastAsia="Arial" w:hAnsi="Arial"/>
                <w:sz w:val="13"/>
                <w:szCs w:val="13"/>
                <w:color w:val="auto"/>
              </w:rPr>
              <w:t>Accumulated other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180"/>
              <w:spacing w:after="0"/>
              <w:rPr>
                <w:sz w:val="20"/>
                <w:szCs w:val="20"/>
                <w:color w:val="auto"/>
              </w:rPr>
            </w:pPr>
            <w:r>
              <w:rPr>
                <w:rFonts w:ascii="Arial" w:cs="Arial" w:eastAsia="Arial" w:hAnsi="Arial"/>
                <w:sz w:val="13"/>
                <w:szCs w:val="13"/>
                <w:color w:val="auto"/>
              </w:rPr>
              <w:t>comprehensive loss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(9,587)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(1,534)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(11,122)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(1,506)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(11,253)</w:t>
            </w:r>
          </w:p>
        </w:tc>
        <w:tc>
          <w:tcPr>
            <w:tcW w:w="0" w:type="dxa"/>
            <w:vAlign w:val="bottom"/>
          </w:tcPr>
          <w:p>
            <w:pPr>
              <w:spacing w:after="0"/>
              <w:rPr>
                <w:sz w:val="1"/>
                <w:szCs w:val="1"/>
                <w:color w:val="auto"/>
              </w:rPr>
            </w:pPr>
          </w:p>
        </w:tc>
      </w:tr>
      <w:tr>
        <w:trPr>
          <w:trHeight w:val="176"/>
        </w:trPr>
        <w:tc>
          <w:tcPr>
            <w:tcW w:w="1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53,424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(3,613)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15,731</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50,100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15,606</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63,072</w:t>
            </w:r>
          </w:p>
        </w:tc>
        <w:tc>
          <w:tcPr>
            <w:tcW w:w="0" w:type="dxa"/>
            <w:vAlign w:val="bottom"/>
          </w:tcPr>
          <w:p>
            <w:pPr>
              <w:spacing w:after="0"/>
              <w:rPr>
                <w:sz w:val="1"/>
                <w:szCs w:val="1"/>
                <w:color w:val="auto"/>
              </w:rPr>
            </w:pPr>
          </w:p>
        </w:tc>
      </w:tr>
      <w:tr>
        <w:trPr>
          <w:trHeight w:val="171"/>
        </w:trPr>
        <w:tc>
          <w:tcPr>
            <w:tcW w:w="1840" w:type="dxa"/>
            <w:vAlign w:val="bottom"/>
          </w:tcPr>
          <w:p>
            <w:pPr>
              <w:ind w:left="100"/>
              <w:spacing w:after="0"/>
              <w:rPr>
                <w:sz w:val="20"/>
                <w:szCs w:val="20"/>
                <w:color w:val="auto"/>
              </w:rPr>
            </w:pPr>
            <w:r>
              <w:rPr>
                <w:rFonts w:ascii="Arial" w:cs="Arial" w:eastAsia="Arial" w:hAnsi="Arial"/>
                <w:sz w:val="13"/>
                <w:szCs w:val="13"/>
                <w:color w:val="auto"/>
              </w:rPr>
              <w:t>Noncontrolling interests(e)</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2,518</w:t>
            </w:r>
          </w:p>
        </w:tc>
        <w:tc>
          <w:tcPr>
            <w:tcW w:w="0" w:type="dxa"/>
            <w:vAlign w:val="bottom"/>
          </w:tcPr>
          <w:p>
            <w:pPr>
              <w:spacing w:after="0"/>
              <w:rPr>
                <w:sz w:val="1"/>
                <w:szCs w:val="1"/>
                <w:color w:val="auto"/>
              </w:rPr>
            </w:pPr>
          </w:p>
        </w:tc>
      </w:tr>
      <w:tr>
        <w:trPr>
          <w:trHeight w:val="170"/>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54,308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(3,613)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15,731</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66,427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50,880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15,606</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65,590</w:t>
            </w:r>
          </w:p>
        </w:tc>
        <w:tc>
          <w:tcPr>
            <w:tcW w:w="0" w:type="dxa"/>
            <w:vAlign w:val="bottom"/>
          </w:tcPr>
          <w:p>
            <w:pPr>
              <w:spacing w:after="0"/>
              <w:rPr>
                <w:sz w:val="1"/>
                <w:szCs w:val="1"/>
                <w:color w:val="auto"/>
              </w:rPr>
            </w:pPr>
          </w:p>
        </w:tc>
      </w:tr>
      <w:tr>
        <w:trPr>
          <w:trHeight w:val="173"/>
        </w:trPr>
        <w:tc>
          <w:tcPr>
            <w:tcW w:w="184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145,030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141,056</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(4,232)</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282,104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141,374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2,948</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139,156</w:t>
            </w:r>
          </w:p>
        </w:tc>
        <w:tc>
          <w:tcPr>
            <w:tcW w:w="80" w:type="dxa"/>
            <w:vAlign w:val="bottom"/>
          </w:tcPr>
          <w:p>
            <w:pPr>
              <w:spacing w:after="0"/>
              <w:rPr>
                <w:sz w:val="15"/>
                <w:szCs w:val="15"/>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(3,717)</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279,761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right="160" w:hanging="332"/>
        <w:spacing w:after="0" w:line="246" w:lineRule="auto"/>
        <w:tabs>
          <w:tab w:leader="none" w:pos="337" w:val="left"/>
        </w:tabs>
        <w:numPr>
          <w:ilvl w:val="0"/>
          <w:numId w:val="5"/>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$0.6 billion due from Automotive; and Automotive accounts receivable of $0.9 billion primarily due from GM Financial and Cruise at March 31, 2025; and GM Financial accounts and notes receivable of $0.5 billion due from Automotive; and Automotive accounts receivable of $0.2 billion primarily due from GM Financial and Cruise at December 31, 2024.</w:t>
      </w:r>
    </w:p>
    <w:p>
      <w:pPr>
        <w:ind w:left="340" w:hanging="332"/>
        <w:spacing w:after="0" w:line="243" w:lineRule="auto"/>
        <w:tabs>
          <w:tab w:leader="none" w:pos="337" w:val="left"/>
        </w:tabs>
        <w:numPr>
          <w:ilvl w:val="0"/>
          <w:numId w:val="5"/>
        </w:numPr>
        <w:rPr>
          <w:rFonts w:ascii="Arial" w:cs="Arial" w:eastAsia="Arial" w:hAnsi="Arial"/>
          <w:sz w:val="11"/>
          <w:szCs w:val="11"/>
          <w:color w:val="auto"/>
        </w:rPr>
      </w:pPr>
      <w:r>
        <w:rPr>
          <w:rFonts w:ascii="Arial" w:cs="Arial" w:eastAsia="Arial" w:hAnsi="Arial"/>
          <w:sz w:val="11"/>
          <w:szCs w:val="11"/>
          <w:color w:val="auto"/>
        </w:rPr>
        <w:t>Eliminations primarily related to convertible note issued by Cruise to Automotive and deferral agreement between Cruise and Automotive as regards to engineering, capital spending, restructuring and other costs incurred by Automotive on behalf of Cruise resulting in a long-term payable for Cruise offset by a long-term receivable for Automotive.</w:t>
      </w:r>
    </w:p>
    <w:p>
      <w:pPr>
        <w:ind w:left="320" w:hanging="312"/>
        <w:spacing w:after="0"/>
        <w:tabs>
          <w:tab w:leader="none" w:pos="320" w:val="left"/>
        </w:tabs>
        <w:numPr>
          <w:ilvl w:val="0"/>
          <w:numId w:val="5"/>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Cruise to GM Financial at December 31, 2024.</w:t>
      </w:r>
    </w:p>
    <w:p>
      <w:pPr>
        <w:spacing w:after="0" w:line="5" w:lineRule="exact"/>
        <w:rPr>
          <w:rFonts w:ascii="Arial" w:cs="Arial" w:eastAsia="Arial" w:hAnsi="Arial"/>
          <w:sz w:val="11"/>
          <w:szCs w:val="11"/>
          <w:color w:val="auto"/>
        </w:rPr>
      </w:pPr>
    </w:p>
    <w:p>
      <w:pPr>
        <w:ind w:left="320" w:hanging="312"/>
        <w:spacing w:after="0"/>
        <w:tabs>
          <w:tab w:leader="none" w:pos="320" w:val="left"/>
        </w:tabs>
        <w:numPr>
          <w:ilvl w:val="0"/>
          <w:numId w:val="5"/>
        </w:numPr>
        <w:rPr>
          <w:rFonts w:ascii="Arial" w:cs="Arial" w:eastAsia="Arial" w:hAnsi="Arial"/>
          <w:sz w:val="11"/>
          <w:szCs w:val="11"/>
          <w:color w:val="auto"/>
        </w:rPr>
      </w:pPr>
      <w:r>
        <w:rPr>
          <w:rFonts w:ascii="Arial" w:cs="Arial" w:eastAsia="Arial" w:hAnsi="Arial"/>
          <w:sz w:val="11"/>
          <w:szCs w:val="11"/>
          <w:color w:val="auto"/>
        </w:rPr>
        <w:t>Eliminations primarily related to GM Financial accounts receivables due from Automotive and Cruise.</w:t>
      </w:r>
    </w:p>
    <w:p>
      <w:pPr>
        <w:spacing w:after="0" w:line="8" w:lineRule="exact"/>
        <w:rPr>
          <w:rFonts w:ascii="Arial" w:cs="Arial" w:eastAsia="Arial" w:hAnsi="Arial"/>
          <w:sz w:val="11"/>
          <w:szCs w:val="11"/>
          <w:color w:val="auto"/>
        </w:rPr>
      </w:pPr>
    </w:p>
    <w:p>
      <w:pPr>
        <w:ind w:left="320" w:hanging="312"/>
        <w:spacing w:after="0"/>
        <w:tabs>
          <w:tab w:leader="none" w:pos="320" w:val="left"/>
        </w:tabs>
        <w:numPr>
          <w:ilvl w:val="0"/>
          <w:numId w:val="5"/>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54" w:right="339" w:bottom="1440" w:gutter="0" w:footer="0" w:header="0"/>
          <w:type w:val="continuous"/>
        </w:sectPr>
      </w:pPr>
    </w:p>
    <w:bookmarkStart w:id="9" w:name="page10"/>
    <w:bookmarkEnd w:id="9"/>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Three Months Ended March 31, 2025</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280"/>
              <w:spacing w:after="0"/>
              <w:rPr>
                <w:sz w:val="20"/>
                <w:szCs w:val="20"/>
                <w:color w:val="auto"/>
              </w:rPr>
            </w:pPr>
            <w:r>
              <w:rPr>
                <w:rFonts w:ascii="Arial" w:cs="Arial" w:eastAsia="Arial" w:hAnsi="Arial"/>
                <w:sz w:val="13"/>
                <w:szCs w:val="13"/>
                <w:b w:val="1"/>
                <w:bCs w:val="1"/>
                <w:color w:val="auto"/>
              </w:rPr>
              <w:t>Three Months Ended March 31, 2024</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98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Combined</w:t>
            </w: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98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8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Cash flows from operating</w:t>
            </w: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w:t>
            </w:r>
          </w:p>
        </w:tc>
        <w:tc>
          <w:tcPr>
            <w:tcW w:w="0" w:type="dxa"/>
            <w:vAlign w:val="bottom"/>
          </w:tcPr>
          <w:p>
            <w:pPr>
              <w:spacing w:after="0"/>
              <w:rPr>
                <w:sz w:val="1"/>
                <w:szCs w:val="1"/>
                <w:color w:val="auto"/>
              </w:rPr>
            </w:pPr>
          </w:p>
        </w:tc>
      </w:tr>
      <w:tr>
        <w:trPr>
          <w:trHeight w:val="122"/>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Depreciation and impairment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300"/>
              <w:spacing w:after="0" w:line="122" w:lineRule="exact"/>
              <w:rPr>
                <w:sz w:val="20"/>
                <w:szCs w:val="20"/>
                <w:color w:val="auto"/>
              </w:rPr>
            </w:pPr>
            <w:r>
              <w:rPr>
                <w:rFonts w:ascii="Arial" w:cs="Arial" w:eastAsia="Arial" w:hAnsi="Arial"/>
                <w:sz w:val="13"/>
                <w:szCs w:val="13"/>
                <w:color w:val="auto"/>
              </w:rPr>
              <w:t>Equipment on operating</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leases, net</w:t>
            </w: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1,203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1,243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1,243</w:t>
            </w: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Depreciation, amortization and</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impairment charges on</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Property, net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0" w:type="dxa"/>
            <w:vAlign w:val="bottom"/>
          </w:tcPr>
          <w:p>
            <w:pPr>
              <w:spacing w:after="0"/>
              <w:rPr>
                <w:sz w:val="1"/>
                <w:szCs w:val="1"/>
                <w:color w:val="auto"/>
              </w:rPr>
            </w:pPr>
          </w:p>
        </w:tc>
      </w:tr>
      <w:tr>
        <w:trPr>
          <w:trHeight w:val="122"/>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Foreign currency</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80" w:type="dxa"/>
            <w:vAlign w:val="bottom"/>
          </w:tcPr>
          <w:p>
            <w:pPr>
              <w:ind w:left="300"/>
              <w:spacing w:after="0" w:line="122" w:lineRule="exact"/>
              <w:rPr>
                <w:sz w:val="20"/>
                <w:szCs w:val="20"/>
                <w:color w:val="auto"/>
              </w:rPr>
            </w:pPr>
            <w:r>
              <w:rPr>
                <w:rFonts w:ascii="Arial" w:cs="Arial" w:eastAsia="Arial" w:hAnsi="Arial"/>
                <w:sz w:val="13"/>
                <w:szCs w:val="13"/>
                <w:color w:val="auto"/>
              </w:rPr>
              <w:t>remeasurement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transaction (gains) losses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29"/>
        </w:trPr>
        <w:tc>
          <w:tcPr>
            <w:tcW w:w="19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Undistributed earnings of</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nonconsolidated affiliates,</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21"/>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Pension contributions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OPEB payments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Pension and OPEB income, net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22"/>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Provision (benefit) for deferred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taxes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Change in other operating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assets and liabilities(a)(c)</w:t>
            </w: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(2,463)</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0" w:type="dxa"/>
            <w:vAlign w:val="bottom"/>
          </w:tcPr>
          <w:p>
            <w:pPr>
              <w:spacing w:after="0"/>
              <w:rPr>
                <w:sz w:val="1"/>
                <w:szCs w:val="1"/>
                <w:color w:val="auto"/>
              </w:rPr>
            </w:pPr>
          </w:p>
        </w:tc>
      </w:tr>
      <w:tr>
        <w:trPr>
          <w:trHeight w:val="102"/>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operating activities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1,877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1,601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(1,333)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3,152</w:t>
            </w: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investing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80" w:type="dxa"/>
            <w:vAlign w:val="bottom"/>
          </w:tcPr>
          <w:p>
            <w:pPr>
              <w:ind w:left="1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(2,783)</w:t>
            </w:r>
          </w:p>
        </w:tc>
        <w:tc>
          <w:tcPr>
            <w:tcW w:w="0" w:type="dxa"/>
            <w:vAlign w:val="bottom"/>
          </w:tcPr>
          <w:p>
            <w:pPr>
              <w:spacing w:after="0"/>
              <w:rPr>
                <w:sz w:val="1"/>
                <w:szCs w:val="1"/>
                <w:color w:val="auto"/>
              </w:rPr>
            </w:pPr>
          </w:p>
        </w:tc>
      </w:tr>
      <w:tr>
        <w:trPr>
          <w:trHeight w:val="126"/>
        </w:trPr>
        <w:tc>
          <w:tcPr>
            <w:tcW w:w="198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Available-for-sale marketable</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 acquisitions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22"/>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Available-for-sale marketable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securities, liquidations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745</w:t>
            </w: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Purchases of finance</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receivables(a)(b)</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(9,668)</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(7,932)</w:t>
            </w:r>
          </w:p>
        </w:tc>
        <w:tc>
          <w:tcPr>
            <w:tcW w:w="0" w:type="dxa"/>
            <w:vAlign w:val="bottom"/>
          </w:tcPr>
          <w:p>
            <w:pPr>
              <w:spacing w:after="0"/>
              <w:rPr>
                <w:sz w:val="1"/>
                <w:szCs w:val="1"/>
                <w:color w:val="auto"/>
              </w:rPr>
            </w:pPr>
          </w:p>
        </w:tc>
      </w:tr>
      <w:tr>
        <w:trPr>
          <w:trHeight w:val="121"/>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Principal collections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300"/>
              <w:spacing w:after="0" w:line="122" w:lineRule="exact"/>
              <w:rPr>
                <w:sz w:val="20"/>
                <w:szCs w:val="20"/>
                <w:color w:val="auto"/>
              </w:rPr>
            </w:pPr>
            <w:r>
              <w:rPr>
                <w:rFonts w:ascii="Arial" w:cs="Arial" w:eastAsia="Arial" w:hAnsi="Arial"/>
                <w:sz w:val="13"/>
                <w:szCs w:val="13"/>
                <w:color w:val="auto"/>
              </w:rPr>
              <w:t>recoveries on finance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receivables(a)</w:t>
            </w: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11,642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7,650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7,651</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leased vehicles</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(3,436)</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(3,436)</w:t>
            </w:r>
          </w:p>
        </w:tc>
        <w:tc>
          <w:tcPr>
            <w:tcW w:w="0" w:type="dxa"/>
            <w:vAlign w:val="bottom"/>
          </w:tcPr>
          <w:p>
            <w:pPr>
              <w:spacing w:after="0"/>
              <w:rPr>
                <w:sz w:val="1"/>
                <w:szCs w:val="1"/>
                <w:color w:val="auto"/>
              </w:rPr>
            </w:pPr>
          </w:p>
        </w:tc>
      </w:tr>
      <w:tr>
        <w:trPr>
          <w:trHeight w:val="121"/>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Proceeds from termination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leased vehicles</w:t>
            </w: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2,529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3,085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3,085</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investing activities(b)</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01"/>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investing activities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(1,626)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(3,914)</w:t>
            </w:r>
          </w:p>
        </w:tc>
        <w:tc>
          <w:tcPr>
            <w:tcW w:w="0" w:type="dxa"/>
            <w:vAlign w:val="bottom"/>
          </w:tcPr>
          <w:p>
            <w:pPr>
              <w:spacing w:after="0"/>
              <w:rPr>
                <w:sz w:val="1"/>
                <w:szCs w:val="1"/>
                <w:color w:val="auto"/>
              </w:rPr>
            </w:pPr>
          </w:p>
        </w:tc>
      </w:tr>
      <w:tr>
        <w:trPr>
          <w:trHeight w:val="129"/>
        </w:trPr>
        <w:tc>
          <w:tcPr>
            <w:tcW w:w="1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financing</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Net increase (decrease) in</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short-term debt(d)</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9"/>
              </w:rPr>
              <w:t>Proceeds from issuance of debt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8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(original maturities greater</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three months)(b)</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16,896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14,307</w:t>
            </w:r>
          </w:p>
        </w:tc>
        <w:tc>
          <w:tcPr>
            <w:tcW w:w="0" w:type="dxa"/>
            <w:vAlign w:val="bottom"/>
          </w:tcPr>
          <w:p>
            <w:pPr>
              <w:spacing w:after="0"/>
              <w:rPr>
                <w:sz w:val="1"/>
                <w:szCs w:val="1"/>
                <w:color w:val="auto"/>
              </w:rPr>
            </w:pPr>
          </w:p>
        </w:tc>
      </w:tr>
      <w:tr>
        <w:trPr>
          <w:trHeight w:val="122"/>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Payments on debt (original</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80" w:type="dxa"/>
            <w:vAlign w:val="bottom"/>
          </w:tcPr>
          <w:p>
            <w:pPr>
              <w:ind w:left="300"/>
              <w:spacing w:after="0" w:line="122" w:lineRule="exact"/>
              <w:rPr>
                <w:sz w:val="20"/>
                <w:szCs w:val="20"/>
                <w:color w:val="auto"/>
              </w:rPr>
            </w:pPr>
            <w:r>
              <w:rPr>
                <w:rFonts w:ascii="Arial" w:cs="Arial" w:eastAsia="Arial" w:hAnsi="Arial"/>
                <w:sz w:val="13"/>
                <w:szCs w:val="13"/>
                <w:color w:val="auto"/>
              </w:rPr>
              <w:t>maturities greater than three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months)</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(15,175)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(15,216)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(13,088)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(13,140)</w:t>
            </w: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Payment to purchase common</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21"/>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rPr>
              <w:t>Issuance (redemption)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subsidiary stock</w:t>
            </w:r>
          </w:p>
        </w:tc>
        <w:tc>
          <w:tcPr>
            <w:tcW w:w="1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paid(c)</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71"/>
        </w:trPr>
        <w:tc>
          <w:tcPr>
            <w:tcW w:w="1980" w:type="dxa"/>
            <w:vAlign w:val="bottom"/>
          </w:tcPr>
          <w:p>
            <w:pPr>
              <w:ind w:left="140"/>
              <w:spacing w:after="0"/>
              <w:rPr>
                <w:sz w:val="20"/>
                <w:szCs w:val="20"/>
                <w:color w:val="auto"/>
              </w:rPr>
            </w:pPr>
            <w:r>
              <w:rPr>
                <w:rFonts w:ascii="Arial" w:cs="Arial" w:eastAsia="Arial" w:hAnsi="Arial"/>
                <w:sz w:val="13"/>
                <w:szCs w:val="13"/>
                <w:color w:val="auto"/>
              </w:rPr>
              <w:t>Other financing activities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06"/>
        </w:trPr>
        <w:tc>
          <w:tcPr>
            <w:tcW w:w="198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cash provided by (used in)</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financing activities</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21"/>
        </w:trPr>
        <w:tc>
          <w:tcPr>
            <w:tcW w:w="1980" w:type="dxa"/>
            <w:vAlign w:val="bottom"/>
          </w:tcPr>
          <w:p>
            <w:pPr>
              <w:ind w:left="140"/>
              <w:spacing w:after="0" w:line="122" w:lineRule="exact"/>
              <w:rPr>
                <w:sz w:val="20"/>
                <w:szCs w:val="20"/>
                <w:color w:val="auto"/>
              </w:rPr>
            </w:pPr>
            <w:r>
              <w:rPr>
                <w:rFonts w:ascii="Arial" w:cs="Arial" w:eastAsia="Arial" w:hAnsi="Arial"/>
                <w:sz w:val="13"/>
                <w:szCs w:val="13"/>
                <w:color w:val="auto"/>
                <w:w w:val="97"/>
              </w:rPr>
              <w:t>Effect of exchange rate changes</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300"/>
              <w:spacing w:after="0" w:line="122" w:lineRule="exact"/>
              <w:rPr>
                <w:sz w:val="20"/>
                <w:szCs w:val="20"/>
                <w:color w:val="auto"/>
              </w:rPr>
            </w:pPr>
            <w:r>
              <w:rPr>
                <w:rFonts w:ascii="Arial" w:cs="Arial" w:eastAsia="Arial" w:hAnsi="Arial"/>
                <w:sz w:val="13"/>
                <w:szCs w:val="13"/>
                <w:color w:val="auto"/>
              </w:rPr>
              <w:t>on cash, cash equivalents</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300"/>
              <w:spacing w:after="0"/>
              <w:rPr>
                <w:sz w:val="20"/>
                <w:szCs w:val="20"/>
                <w:color w:val="auto"/>
              </w:rPr>
            </w:pPr>
            <w:r>
              <w:rPr>
                <w:rFonts w:ascii="Arial" w:cs="Arial" w:eastAsia="Arial" w:hAnsi="Arial"/>
                <w:sz w:val="13"/>
                <w:szCs w:val="13"/>
                <w:color w:val="auto"/>
              </w:rPr>
              <w:t>and restricted cash</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08"/>
        </w:trPr>
        <w:tc>
          <w:tcPr>
            <w:tcW w:w="1980" w:type="dxa"/>
            <w:vAlign w:val="bottom"/>
            <w:tcBorders>
              <w:top w:val="single" w:sz="8" w:color="CCEEFF"/>
            </w:tcBorders>
            <w:shd w:val="clear" w:color="auto" w:fill="CCEEFF"/>
          </w:tcPr>
          <w:p>
            <w:pPr>
              <w:ind w:left="140"/>
              <w:spacing w:after="0" w:line="108" w:lineRule="exact"/>
              <w:rPr>
                <w:sz w:val="20"/>
                <w:szCs w:val="20"/>
                <w:color w:val="auto"/>
              </w:rPr>
            </w:pPr>
            <w:r>
              <w:rPr>
                <w:rFonts w:ascii="Arial" w:cs="Arial" w:eastAsia="Arial" w:hAnsi="Arial"/>
                <w:sz w:val="12"/>
                <w:szCs w:val="12"/>
                <w:color w:val="auto"/>
              </w:rPr>
              <w:t>Net increase (decrease) in cash,</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8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cash equivalents and</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restricted cash</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21"/>
        </w:trPr>
        <w:tc>
          <w:tcPr>
            <w:tcW w:w="1980" w:type="dxa"/>
            <w:vAlign w:val="bottom"/>
          </w:tcPr>
          <w:p>
            <w:pPr>
              <w:ind w:left="20"/>
              <w:spacing w:after="0" w:line="122" w:lineRule="exact"/>
              <w:rPr>
                <w:sz w:val="20"/>
                <w:szCs w:val="20"/>
                <w:color w:val="auto"/>
              </w:rPr>
            </w:pPr>
            <w:r>
              <w:rPr>
                <w:rFonts w:ascii="Arial" w:cs="Arial" w:eastAsia="Arial" w:hAnsi="Arial"/>
                <w:sz w:val="13"/>
                <w:szCs w:val="13"/>
                <w:color w:val="auto"/>
              </w:rPr>
              <w:t>Cash, cash equivalents and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80" w:type="dxa"/>
            <w:vAlign w:val="bottom"/>
          </w:tcPr>
          <w:p>
            <w:pPr>
              <w:ind w:left="180"/>
              <w:spacing w:after="0" w:line="122" w:lineRule="exact"/>
              <w:rPr>
                <w:sz w:val="20"/>
                <w:szCs w:val="20"/>
                <w:color w:val="auto"/>
              </w:rPr>
            </w:pPr>
            <w:r>
              <w:rPr>
                <w:rFonts w:ascii="Arial" w:cs="Arial" w:eastAsia="Arial" w:hAnsi="Arial"/>
                <w:sz w:val="13"/>
                <w:szCs w:val="13"/>
                <w:color w:val="auto"/>
              </w:rPr>
              <w:t>restricted cash at beginning of</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80" w:type="dxa"/>
            <w:vAlign w:val="bottom"/>
          </w:tcPr>
          <w:p>
            <w:pPr>
              <w:ind w:left="180"/>
              <w:spacing w:after="0"/>
              <w:rPr>
                <w:sz w:val="20"/>
                <w:szCs w:val="20"/>
                <w:color w:val="auto"/>
              </w:rPr>
            </w:pPr>
            <w:r>
              <w:rPr>
                <w:rFonts w:ascii="Arial" w:cs="Arial" w:eastAsia="Arial" w:hAnsi="Arial"/>
                <w:sz w:val="13"/>
                <w:szCs w:val="13"/>
                <w:color w:val="auto"/>
              </w:rPr>
              <w:t>period</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14,561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8,081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22,964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12,310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8,249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21,917</w:t>
            </w:r>
          </w:p>
        </w:tc>
        <w:tc>
          <w:tcPr>
            <w:tcW w:w="0" w:type="dxa"/>
            <w:vAlign w:val="bottom"/>
          </w:tcPr>
          <w:p>
            <w:pPr>
              <w:spacing w:after="0"/>
              <w:rPr>
                <w:sz w:val="1"/>
                <w:szCs w:val="1"/>
                <w:color w:val="auto"/>
              </w:rPr>
            </w:pPr>
          </w:p>
        </w:tc>
      </w:tr>
      <w:tr>
        <w:trPr>
          <w:trHeight w:val="108"/>
        </w:trPr>
        <w:tc>
          <w:tcPr>
            <w:tcW w:w="198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Cash, cash equivalents and</w:t>
            </w: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restricted cash at end of</w:t>
            </w:r>
          </w:p>
        </w:tc>
        <w:tc>
          <w:tcPr>
            <w:tcW w:w="18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12,209</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11,714</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24,042</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12,005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8,646</w:t>
            </w: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21,378</w:t>
            </w:r>
          </w:p>
        </w:tc>
        <w:tc>
          <w:tcPr>
            <w:tcW w:w="0" w:type="dxa"/>
            <w:vAlign w:val="bottom"/>
          </w:tcPr>
          <w:p>
            <w:pPr>
              <w:spacing w:after="0"/>
              <w:rPr>
                <w:sz w:val="1"/>
                <w:szCs w:val="1"/>
                <w:color w:val="auto"/>
              </w:rPr>
            </w:pPr>
          </w:p>
        </w:tc>
      </w:tr>
      <w:tr>
        <w:trPr>
          <w:trHeight w:val="182"/>
        </w:trPr>
        <w:tc>
          <w:tcPr>
            <w:tcW w:w="1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period</w:t>
            </w:r>
          </w:p>
        </w:tc>
        <w:tc>
          <w:tcPr>
            <w:tcW w:w="1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right="20" w:hanging="332"/>
        <w:spacing w:after="0" w:line="246" w:lineRule="auto"/>
        <w:tabs>
          <w:tab w:leader="none" w:pos="337"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eliminations of $2.6 billion and $0.9 billion in the three months ended March 31, 2025 and 2024 primarily driven by purchases/collections of wholesale finance receivables resulting from vehicles sold by GM to dealers that have arranged their inventory floor plan financing through GM Financial.</w:t>
      </w:r>
    </w:p>
    <w:p>
      <w:pPr>
        <w:ind w:left="320" w:hanging="312"/>
        <w:spacing w:after="0"/>
        <w:tabs>
          <w:tab w:leader="none" w:pos="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Eliminations include intercompany funding activity from Automotive and GM Financial to Cruise in the three months ended March 31, 2025.</w:t>
      </w:r>
    </w:p>
    <w:p>
      <w:pPr>
        <w:spacing w:after="0" w:line="5" w:lineRule="exact"/>
        <w:rPr>
          <w:rFonts w:ascii="Arial" w:cs="Arial" w:eastAsia="Arial" w:hAnsi="Arial"/>
          <w:sz w:val="11"/>
          <w:szCs w:val="11"/>
          <w:color w:val="auto"/>
        </w:rPr>
      </w:pPr>
    </w:p>
    <w:p>
      <w:pPr>
        <w:ind w:left="320" w:hanging="312"/>
        <w:spacing w:after="0"/>
        <w:tabs>
          <w:tab w:leader="none" w:pos="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three months ended March 31, 2025 and 2024.</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54" w:right="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10"/>
                <w:szCs w:val="10"/>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2025</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44,020</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1,705</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1,816</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2,934</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2024</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43,014</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2,631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2,728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2,783</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Automotive China joint ventures (Automotive China JVs) equity income (loss) of $45 million and $(106) million in the three months ended March 31, 2025 and 2024.</w:t>
      </w:r>
    </w:p>
    <w:p>
      <w:pPr>
        <w:jc w:val="both"/>
        <w:ind w:left="340" w:hanging="332"/>
        <w:spacing w:after="0" w:line="242" w:lineRule="auto"/>
        <w:tabs>
          <w:tab w:leader="none" w:pos="332" w:val="left"/>
        </w:tabs>
        <w:numPr>
          <w:ilvl w:val="0"/>
          <w:numId w:val="7"/>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an equally owned joint venture with LG Energy Solution, are presented in Automotive and other cost of sales as this entity is integral to the operations of our business by providing battery cells for our electric vehicles (EVs). Equity earnings related to Ultium Cells Holdings LLC were $241 million and $156 million in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5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61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attributable to stockholders to EBIT-adjusted and segment profit (loss)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tcBorders>
              <w:bottom w:val="single" w:sz="8" w:color="auto"/>
            </w:tcBorders>
          </w:tcPr>
          <w:p>
            <w:pPr>
              <w:spacing w:after="0"/>
              <w:rPr>
                <w:sz w:val="17"/>
                <w:szCs w:val="17"/>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24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March 31, 2025</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1100"/>
              <w:spacing w:after="0"/>
              <w:rPr>
                <w:sz w:val="20"/>
                <w:szCs w:val="20"/>
                <w:color w:val="auto"/>
              </w:rPr>
            </w:pPr>
            <w:r>
              <w:rPr>
                <w:rFonts w:ascii="Arial" w:cs="Arial" w:eastAsia="Arial" w:hAnsi="Arial"/>
                <w:sz w:val="14"/>
                <w:szCs w:val="14"/>
                <w:b w:val="1"/>
                <w:bCs w:val="1"/>
                <w:color w:val="auto"/>
              </w:rPr>
              <w:t>March 31, 2024</w:t>
            </w: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2440" w:type="dxa"/>
            <w:vAlign w:val="bottom"/>
            <w:shd w:val="clear" w:color="auto" w:fill="CCEEFF"/>
          </w:tcPr>
          <w:p>
            <w:pPr>
              <w:jc w:val="right"/>
              <w:ind w:right="226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w:t>
            </w: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762</w:t>
            </w: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2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2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215"/>
        </w:trPr>
        <w:tc>
          <w:tcPr>
            <w:tcW w:w="4400" w:type="dxa"/>
            <w:vAlign w:val="bottom"/>
          </w:tcPr>
          <w:p>
            <w:pPr>
              <w:ind w:left="140"/>
              <w:spacing w:after="0"/>
              <w:rPr>
                <w:sz w:val="20"/>
                <w:szCs w:val="20"/>
                <w:color w:val="auto"/>
              </w:rPr>
            </w:pPr>
            <w:r>
              <w:rPr>
                <w:rFonts w:ascii="Arial" w:cs="Arial" w:eastAsia="Arial" w:hAnsi="Arial"/>
                <w:sz w:val="16"/>
                <w:szCs w:val="16"/>
                <w:color w:val="auto"/>
              </w:rPr>
              <w:t>Headquarters relocation(b)</w:t>
            </w:r>
          </w:p>
        </w:tc>
        <w:tc>
          <w:tcPr>
            <w:tcW w:w="2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Buick dealer strategy(c)</w:t>
            </w:r>
          </w:p>
        </w:tc>
        <w:tc>
          <w:tcPr>
            <w:tcW w:w="2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adjustments</w:t>
            </w:r>
          </w:p>
        </w:tc>
        <w:tc>
          <w:tcPr>
            <w:tcW w:w="2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EBIT-adjusted</w:t>
            </w:r>
          </w:p>
        </w:tc>
        <w:tc>
          <w:tcPr>
            <w:tcW w:w="2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w:t>
            </w:r>
          </w:p>
        </w:tc>
      </w:tr>
      <w:tr>
        <w:trPr>
          <w:trHeight w:val="195"/>
        </w:trPr>
        <w:tc>
          <w:tcPr>
            <w:tcW w:w="4400" w:type="dxa"/>
            <w:vAlign w:val="bottom"/>
          </w:tcPr>
          <w:p>
            <w:pPr>
              <w:ind w:left="20"/>
              <w:spacing w:after="0"/>
              <w:rPr>
                <w:sz w:val="20"/>
                <w:szCs w:val="20"/>
                <w:color w:val="auto"/>
              </w:rPr>
            </w:pPr>
            <w:r>
              <w:rPr>
                <w:rFonts w:ascii="Arial" w:cs="Arial" w:eastAsia="Arial" w:hAnsi="Arial"/>
                <w:sz w:val="16"/>
                <w:szCs w:val="16"/>
                <w:color w:val="auto"/>
              </w:rPr>
              <w:t>Operating segments</w:t>
            </w:r>
          </w:p>
        </w:tc>
        <w:tc>
          <w:tcPr>
            <w:tcW w:w="2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17"/>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North America (GMNA)</w:t>
            </w:r>
          </w:p>
        </w:tc>
        <w:tc>
          <w:tcPr>
            <w:tcW w:w="2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r>
      <w:tr>
        <w:trPr>
          <w:trHeight w:val="215"/>
        </w:trPr>
        <w:tc>
          <w:tcPr>
            <w:tcW w:w="4400" w:type="dxa"/>
            <w:vAlign w:val="bottom"/>
          </w:tcPr>
          <w:p>
            <w:pPr>
              <w:ind w:left="140"/>
              <w:spacing w:after="0"/>
              <w:rPr>
                <w:sz w:val="20"/>
                <w:szCs w:val="20"/>
                <w:color w:val="auto"/>
              </w:rPr>
            </w:pPr>
            <w:r>
              <w:rPr>
                <w:rFonts w:ascii="Arial" w:cs="Arial" w:eastAsia="Arial" w:hAnsi="Arial"/>
                <w:sz w:val="16"/>
                <w:szCs w:val="16"/>
                <w:color w:val="auto"/>
              </w:rPr>
              <w:t>GM International (GMI)</w:t>
            </w:r>
          </w:p>
        </w:tc>
        <w:tc>
          <w:tcPr>
            <w:tcW w:w="2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Cruise</w:t>
            </w:r>
          </w:p>
        </w:tc>
        <w:tc>
          <w:tcPr>
            <w:tcW w:w="2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15"/>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Financial(d)</w:t>
            </w:r>
          </w:p>
        </w:tc>
        <w:tc>
          <w:tcPr>
            <w:tcW w:w="2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segments</w:t>
            </w:r>
          </w:p>
        </w:tc>
        <w:tc>
          <w:tcPr>
            <w:tcW w:w="2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w:t>
            </w:r>
          </w:p>
        </w:tc>
      </w:tr>
      <w:tr>
        <w:trPr>
          <w:trHeight w:val="215"/>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eliminations(e)</w:t>
            </w:r>
          </w:p>
        </w:tc>
        <w:tc>
          <w:tcPr>
            <w:tcW w:w="2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3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w:t>
            </w:r>
          </w:p>
        </w:tc>
        <w:tc>
          <w:tcPr>
            <w:tcW w:w="2440" w:type="dxa"/>
            <w:vAlign w:val="bottom"/>
            <w:tcBorders>
              <w:bottom w:val="single" w:sz="8" w:color="auto"/>
            </w:tcBorders>
            <w:shd w:val="clear" w:color="auto" w:fill="CCEEFF"/>
          </w:tcPr>
          <w:p>
            <w:pPr>
              <w:jc w:val="right"/>
              <w:ind w:right="22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of net loss attributable to noncontrolling interests.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GM headquarters relocation, primarily consisting of accelerated depreciation.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340" w:right="20" w:hanging="332"/>
        <w:spacing w:after="0" w:line="264"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legacy costs from the Opel/Vauxhall Business (primarily pension costs), corporate expenditures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61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per common share to EPS-diluted-adjusted (dollars in millions, except per share amounts):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3"/>
                <w:szCs w:val="13"/>
                <w:b w:val="1"/>
                <w:bCs w:val="1"/>
                <w:color w:val="auto"/>
                <w:w w:val="96"/>
              </w:rPr>
              <w:t>Three Months Ended</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1"/>
        </w:trPr>
        <w:tc>
          <w:tcPr>
            <w:tcW w:w="39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3"/>
                <w:szCs w:val="13"/>
                <w:b w:val="1"/>
                <w:bCs w:val="1"/>
                <w:color w:val="auto"/>
              </w:rPr>
              <w:t>March 31, 2025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rPr>
              <w:t>March 31, 2024</w:t>
            </w:r>
          </w:p>
        </w:tc>
        <w:tc>
          <w:tcPr>
            <w:tcW w:w="1260" w:type="dxa"/>
            <w:vAlign w:val="bottom"/>
            <w:tcBorders>
              <w:bottom w:val="single" w:sz="8" w:color="auto"/>
            </w:tcBorders>
          </w:tcPr>
          <w:p>
            <w:pPr>
              <w:spacing w:after="0"/>
              <w:rPr>
                <w:sz w:val="14"/>
                <w:szCs w:val="14"/>
                <w:color w:val="auto"/>
              </w:rPr>
            </w:pPr>
          </w:p>
        </w:tc>
      </w:tr>
      <w:tr>
        <w:trPr>
          <w:trHeight w:val="169"/>
        </w:trPr>
        <w:tc>
          <w:tcPr>
            <w:tcW w:w="39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Amount</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Amount</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Per Share</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1180" w:type="dxa"/>
            <w:vAlign w:val="bottom"/>
            <w:shd w:val="clear" w:color="auto" w:fill="CCEEFF"/>
          </w:tcPr>
          <w:p>
            <w:pPr>
              <w:jc w:val="right"/>
              <w:ind w:right="985"/>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3,361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5"/>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ind w:left="22"/>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w:t>
            </w: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Adjustments(a)</w:t>
            </w:r>
          </w:p>
        </w:tc>
        <w:tc>
          <w:tcPr>
            <w:tcW w:w="118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center"/>
              <w:ind w:left="22"/>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0.08</w:t>
            </w: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on adjustments(b)</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Return from preferred shareholders(c)</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center"/>
              <w:ind w:left="2"/>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3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EPS-diluted-adjusted</w:t>
            </w:r>
          </w:p>
        </w:tc>
        <w:tc>
          <w:tcPr>
            <w:tcW w:w="1180" w:type="dxa"/>
            <w:vAlign w:val="bottom"/>
            <w:tcBorders>
              <w:top w:val="single" w:sz="8" w:color="auto"/>
              <w:bottom w:val="single" w:sz="8" w:color="auto"/>
            </w:tcBorders>
            <w:shd w:val="clear" w:color="auto" w:fill="CCEEFF"/>
          </w:tcPr>
          <w:p>
            <w:pPr>
              <w:jc w:val="right"/>
              <w:ind w:right="985"/>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85"/>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center"/>
              <w:ind w:left="22"/>
              <w:spacing w:after="0"/>
              <w:rPr>
                <w:sz w:val="20"/>
                <w:szCs w:val="20"/>
                <w:color w:val="auto"/>
              </w:rPr>
            </w:pPr>
            <w:r>
              <w:rPr>
                <w:rFonts w:ascii="Arial" w:cs="Arial" w:eastAsia="Arial" w:hAnsi="Arial"/>
                <w:sz w:val="16"/>
                <w:szCs w:val="16"/>
                <w:color w:val="auto"/>
              </w:rPr>
              <w:t>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5" w:lineRule="exact"/>
        <w:rPr>
          <w:rFonts w:ascii="Arial" w:cs="Arial" w:eastAsia="Arial" w:hAnsi="Arial"/>
          <w:sz w:val="14"/>
          <w:szCs w:val="14"/>
          <w:color w:val="auto"/>
        </w:rPr>
      </w:pPr>
    </w:p>
    <w:p>
      <w:pPr>
        <w:ind w:left="340" w:hanging="332"/>
        <w:spacing w:after="0" w:line="269"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4"/>
          <w:szCs w:val="14"/>
          <w:color w:val="auto"/>
        </w:rPr>
        <w:t>This adjustment consists of a return from the preferred shareholders related to the redemption of Cruise preferred shares from noncontrolling interest holders in the three months ended March 31, 2025.</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to ETR-adjusted (dollars in millions):</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5"/>
          </w:tcPr>
          <w:p>
            <w:pPr>
              <w:ind w:left="10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March 31, 2025</w:t>
            </w: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March 31, 2024</w:t>
            </w: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tcPr>
          <w:p>
            <w:pPr>
              <w:jc w:val="center"/>
              <w:ind w:right="260"/>
              <w:spacing w:after="0" w:line="104" w:lineRule="exact"/>
              <w:rPr>
                <w:sz w:val="20"/>
                <w:szCs w:val="20"/>
                <w:color w:val="auto"/>
              </w:rPr>
            </w:pPr>
            <w:r>
              <w:rPr>
                <w:rFonts w:ascii="Arial" w:cs="Arial" w:eastAsia="Arial" w:hAnsi="Arial"/>
                <w:sz w:val="11"/>
                <w:szCs w:val="11"/>
                <w:b w:val="1"/>
                <w:bCs w:val="1"/>
                <w:color w:val="auto"/>
                <w:w w:val="97"/>
              </w:rPr>
              <w:t>Income before income</w:t>
            </w:r>
          </w:p>
        </w:tc>
        <w:tc>
          <w:tcPr>
            <w:tcW w:w="140" w:type="dxa"/>
            <w:vAlign w:val="bottom"/>
          </w:tcPr>
          <w:p>
            <w:pPr>
              <w:spacing w:after="0"/>
              <w:rPr>
                <w:sz w:val="9"/>
                <w:szCs w:val="9"/>
                <w:color w:val="auto"/>
              </w:rPr>
            </w:pPr>
          </w:p>
        </w:tc>
        <w:tc>
          <w:tcPr>
            <w:tcW w:w="1300" w:type="dxa"/>
            <w:vAlign w:val="bottom"/>
          </w:tcPr>
          <w:p>
            <w:pPr>
              <w:jc w:val="right"/>
              <w:ind w:right="151"/>
              <w:spacing w:after="0" w:line="104" w:lineRule="exact"/>
              <w:rPr>
                <w:sz w:val="20"/>
                <w:szCs w:val="20"/>
                <w:color w:val="auto"/>
              </w:rPr>
            </w:pPr>
            <w:r>
              <w:rPr>
                <w:rFonts w:ascii="Arial" w:cs="Arial" w:eastAsia="Arial" w:hAnsi="Arial"/>
                <w:sz w:val="11"/>
                <w:szCs w:val="11"/>
                <w:b w:val="1"/>
                <w:bCs w:val="1"/>
                <w:color w:val="auto"/>
              </w:rPr>
              <w:t>Income tax expense</w:t>
            </w:r>
          </w:p>
        </w:tc>
        <w:tc>
          <w:tcPr>
            <w:tcW w:w="100" w:type="dxa"/>
            <w:vAlign w:val="bottom"/>
          </w:tcPr>
          <w:p>
            <w:pPr>
              <w:spacing w:after="0"/>
              <w:rPr>
                <w:sz w:val="9"/>
                <w:szCs w:val="9"/>
                <w:color w:val="auto"/>
              </w:rPr>
            </w:pPr>
          </w:p>
        </w:tc>
        <w:tc>
          <w:tcPr>
            <w:tcW w:w="170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Effective tax rate</w:t>
            </w:r>
          </w:p>
        </w:tc>
        <w:tc>
          <w:tcPr>
            <w:tcW w:w="120" w:type="dxa"/>
            <w:vAlign w:val="bottom"/>
          </w:tcPr>
          <w:p>
            <w:pPr>
              <w:spacing w:after="0"/>
              <w:rPr>
                <w:sz w:val="9"/>
                <w:szCs w:val="9"/>
                <w:color w:val="auto"/>
              </w:rPr>
            </w:pPr>
          </w:p>
        </w:tc>
        <w:tc>
          <w:tcPr>
            <w:tcW w:w="1440" w:type="dxa"/>
            <w:vAlign w:val="bottom"/>
            <w:gridSpan w:val="2"/>
          </w:tcPr>
          <w:p>
            <w:pPr>
              <w:jc w:val="center"/>
              <w:ind w:right="240"/>
              <w:spacing w:after="0" w:line="104" w:lineRule="exact"/>
              <w:rPr>
                <w:sz w:val="20"/>
                <w:szCs w:val="20"/>
                <w:color w:val="auto"/>
              </w:rPr>
            </w:pPr>
            <w:r>
              <w:rPr>
                <w:rFonts w:ascii="Arial" w:cs="Arial" w:eastAsia="Arial" w:hAnsi="Arial"/>
                <w:sz w:val="11"/>
                <w:szCs w:val="11"/>
                <w:b w:val="1"/>
                <w:bCs w:val="1"/>
                <w:color w:val="auto"/>
                <w:w w:val="99"/>
              </w:rPr>
              <w:t>Income before income</w:t>
            </w:r>
          </w:p>
        </w:tc>
        <w:tc>
          <w:tcPr>
            <w:tcW w:w="160" w:type="dxa"/>
            <w:vAlign w:val="bottom"/>
          </w:tcPr>
          <w:p>
            <w:pPr>
              <w:spacing w:after="0"/>
              <w:rPr>
                <w:sz w:val="9"/>
                <w:szCs w:val="9"/>
                <w:color w:val="auto"/>
              </w:rPr>
            </w:pPr>
          </w:p>
        </w:tc>
        <w:tc>
          <w:tcPr>
            <w:tcW w:w="1300" w:type="dxa"/>
            <w:vAlign w:val="bottom"/>
          </w:tcPr>
          <w:p>
            <w:pPr>
              <w:jc w:val="right"/>
              <w:ind w:right="151"/>
              <w:spacing w:after="0" w:line="104" w:lineRule="exact"/>
              <w:rPr>
                <w:sz w:val="20"/>
                <w:szCs w:val="20"/>
                <w:color w:val="auto"/>
              </w:rPr>
            </w:pPr>
            <w:r>
              <w:rPr>
                <w:rFonts w:ascii="Arial" w:cs="Arial" w:eastAsia="Arial" w:hAnsi="Arial"/>
                <w:sz w:val="11"/>
                <w:szCs w:val="11"/>
                <w:b w:val="1"/>
                <w:bCs w:val="1"/>
                <w:color w:val="auto"/>
              </w:rPr>
              <w:t>Income tax expense</w:t>
            </w:r>
          </w:p>
        </w:tc>
        <w:tc>
          <w:tcPr>
            <w:tcW w:w="100" w:type="dxa"/>
            <w:vAlign w:val="bottom"/>
          </w:tcPr>
          <w:p>
            <w:pPr>
              <w:spacing w:after="0"/>
              <w:rPr>
                <w:sz w:val="9"/>
                <w:szCs w:val="9"/>
                <w:color w:val="auto"/>
              </w:rPr>
            </w:pPr>
          </w:p>
        </w:tc>
        <w:tc>
          <w:tcPr>
            <w:tcW w:w="1580" w:type="dxa"/>
            <w:vAlign w:val="bottom"/>
            <w:vMerge w:val="restart"/>
          </w:tcPr>
          <w:p>
            <w:pPr>
              <w:jc w:val="right"/>
              <w:ind w:right="293"/>
              <w:spacing w:after="0"/>
              <w:rPr>
                <w:sz w:val="20"/>
                <w:szCs w:val="20"/>
                <w:color w:val="auto"/>
              </w:rPr>
            </w:pPr>
            <w:r>
              <w:rPr>
                <w:rFonts w:ascii="Arial" w:cs="Arial" w:eastAsia="Arial" w:hAnsi="Arial"/>
                <w:sz w:val="11"/>
                <w:szCs w:val="11"/>
                <w:b w:val="1"/>
                <w:bCs w:val="1"/>
                <w:color w:val="auto"/>
              </w:rPr>
              <w:t>Effective tax rate</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taxes</w:t>
            </w:r>
          </w:p>
        </w:tc>
        <w:tc>
          <w:tcPr>
            <w:tcW w:w="140" w:type="dxa"/>
            <w:vAlign w:val="bottom"/>
          </w:tcPr>
          <w:p>
            <w:pPr>
              <w:spacing w:after="0"/>
              <w:rPr>
                <w:sz w:val="13"/>
                <w:szCs w:val="13"/>
                <w:color w:val="auto"/>
              </w:rPr>
            </w:pPr>
          </w:p>
        </w:tc>
        <w:tc>
          <w:tcPr>
            <w:tcW w:w="1300" w:type="dxa"/>
            <w:vAlign w:val="bottom"/>
          </w:tcPr>
          <w:p>
            <w:pPr>
              <w:jc w:val="right"/>
              <w:ind w:right="451"/>
              <w:spacing w:after="0"/>
              <w:rPr>
                <w:sz w:val="20"/>
                <w:szCs w:val="20"/>
                <w:color w:val="auto"/>
              </w:rPr>
            </w:pPr>
            <w:r>
              <w:rPr>
                <w:rFonts w:ascii="Arial" w:cs="Arial" w:eastAsia="Arial" w:hAnsi="Arial"/>
                <w:sz w:val="11"/>
                <w:szCs w:val="11"/>
                <w:b w:val="1"/>
                <w:bCs w:val="1"/>
                <w:color w:val="auto"/>
              </w:rPr>
              <w:t>(benefit)</w:t>
            </w:r>
          </w:p>
        </w:tc>
        <w:tc>
          <w:tcPr>
            <w:tcW w:w="10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taxes</w:t>
            </w:r>
          </w:p>
        </w:tc>
        <w:tc>
          <w:tcPr>
            <w:tcW w:w="160" w:type="dxa"/>
            <w:vAlign w:val="bottom"/>
          </w:tcPr>
          <w:p>
            <w:pPr>
              <w:spacing w:after="0"/>
              <w:rPr>
                <w:sz w:val="13"/>
                <w:szCs w:val="13"/>
                <w:color w:val="auto"/>
              </w:rPr>
            </w:pPr>
          </w:p>
        </w:tc>
        <w:tc>
          <w:tcPr>
            <w:tcW w:w="1300" w:type="dxa"/>
            <w:vAlign w:val="bottom"/>
          </w:tcPr>
          <w:p>
            <w:pPr>
              <w:jc w:val="right"/>
              <w:ind w:right="451"/>
              <w:spacing w:after="0"/>
              <w:rPr>
                <w:sz w:val="20"/>
                <w:szCs w:val="20"/>
                <w:color w:val="auto"/>
              </w:rPr>
            </w:pPr>
            <w:r>
              <w:rPr>
                <w:rFonts w:ascii="Arial" w:cs="Arial" w:eastAsia="Arial" w:hAnsi="Arial"/>
                <w:sz w:val="11"/>
                <w:szCs w:val="11"/>
                <w:b w:val="1"/>
                <w:bCs w:val="1"/>
                <w:color w:val="auto"/>
              </w:rPr>
              <w:t>(benefit)</w:t>
            </w:r>
          </w:p>
        </w:tc>
        <w:tc>
          <w:tcPr>
            <w:tcW w:w="1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3,572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719</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3,715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762</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215"/>
        </w:trPr>
        <w:tc>
          <w:tcPr>
            <w:tcW w:w="1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Adjustments(a)</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ETR-adjusted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3,598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725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3,811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786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340" w:hanging="332"/>
        <w:spacing w:after="0" w:line="272"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84" w:lineRule="exact"/>
        <w:rPr>
          <w:sz w:val="20"/>
          <w:szCs w:val="20"/>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900"/>
              <w:spacing w:after="0"/>
              <w:rPr>
                <w:sz w:val="20"/>
                <w:szCs w:val="20"/>
                <w:color w:val="auto"/>
              </w:rPr>
            </w:pPr>
            <w:r>
              <w:rPr>
                <w:rFonts w:ascii="Arial" w:cs="Arial" w:eastAsia="Arial" w:hAnsi="Arial"/>
                <w:sz w:val="13"/>
                <w:szCs w:val="13"/>
                <w:b w:val="1"/>
                <w:bCs w:val="1"/>
                <w:color w:val="auto"/>
              </w:rPr>
              <w:t>Four Quarters Ended</w:t>
            </w:r>
          </w:p>
        </w:tc>
      </w:tr>
      <w:tr>
        <w:trPr>
          <w:trHeight w:val="17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2025</w:t>
            </w:r>
          </w:p>
        </w:tc>
        <w:tc>
          <w:tcPr>
            <w:tcW w:w="280" w:type="dxa"/>
            <w:vAlign w:val="bottom"/>
          </w:tcPr>
          <w:p>
            <w:pPr>
              <w:spacing w:after="0"/>
              <w:rPr>
                <w:sz w:val="14"/>
                <w:szCs w:val="14"/>
                <w:color w:val="auto"/>
              </w:rPr>
            </w:pPr>
          </w:p>
        </w:tc>
        <w:tc>
          <w:tcPr>
            <w:tcW w:w="1480" w:type="dxa"/>
            <w:vAlign w:val="bottom"/>
          </w:tcPr>
          <w:p>
            <w:pPr>
              <w:ind w:left="160"/>
              <w:spacing w:after="0"/>
              <w:rPr>
                <w:sz w:val="20"/>
                <w:szCs w:val="20"/>
                <w:color w:val="auto"/>
              </w:rPr>
            </w:pPr>
            <w:r>
              <w:rPr>
                <w:rFonts w:ascii="Arial" w:cs="Arial" w:eastAsia="Arial" w:hAnsi="Arial"/>
                <w:sz w:val="13"/>
                <w:szCs w:val="13"/>
                <w:b w:val="1"/>
                <w:bCs w:val="1"/>
                <w:color w:val="auto"/>
              </w:rPr>
              <w:t>March 31, 2024</w:t>
            </w:r>
          </w:p>
        </w:tc>
      </w:tr>
      <w:tr>
        <w:trPr>
          <w:trHeight w:val="211"/>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10.7</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6"/>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ind w:left="960"/>
              <w:spacing w:after="0"/>
              <w:rPr>
                <w:sz w:val="20"/>
                <w:szCs w:val="20"/>
                <w:color w:val="auto"/>
              </w:rPr>
            </w:pPr>
            <w:r>
              <w:rPr>
                <w:rFonts w:ascii="Arial" w:cs="Arial" w:eastAsia="Arial" w:hAnsi="Arial"/>
                <w:sz w:val="16"/>
                <w:szCs w:val="16"/>
                <w:color w:val="auto"/>
              </w:rPr>
              <w:t>71.1</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15.1 %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equity of noncontrolling interests where the corresponding earnings (loss) are included in Net income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61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Four Quarters Ended</w:t>
            </w:r>
          </w:p>
        </w:tc>
      </w:tr>
      <w:tr>
        <w:trPr>
          <w:trHeight w:val="196"/>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2025</w:t>
            </w:r>
          </w:p>
        </w:tc>
        <w:tc>
          <w:tcPr>
            <w:tcW w:w="240" w:type="dxa"/>
            <w:vAlign w:val="bottom"/>
          </w:tcPr>
          <w:p>
            <w:pPr>
              <w:spacing w:after="0"/>
              <w:rPr>
                <w:sz w:val="17"/>
                <w:szCs w:val="17"/>
                <w:color w:val="auto"/>
              </w:rPr>
            </w:pPr>
          </w:p>
        </w:tc>
        <w:tc>
          <w:tcPr>
            <w:tcW w:w="1520" w:type="dxa"/>
            <w:vAlign w:val="bottom"/>
          </w:tcPr>
          <w:p>
            <w:pPr>
              <w:jc w:val="right"/>
              <w:ind w:right="280"/>
              <w:spacing w:after="0"/>
              <w:rPr>
                <w:sz w:val="20"/>
                <w:szCs w:val="20"/>
                <w:color w:val="auto"/>
              </w:rPr>
            </w:pPr>
            <w:r>
              <w:rPr>
                <w:rFonts w:ascii="Arial" w:cs="Arial" w:eastAsia="Arial" w:hAnsi="Arial"/>
                <w:sz w:val="14"/>
                <w:szCs w:val="14"/>
                <w:b w:val="1"/>
                <w:bCs w:val="1"/>
                <w:color w:val="auto"/>
              </w:rPr>
              <w:t>March 31, 2024</w:t>
            </w:r>
          </w:p>
        </w:tc>
      </w:tr>
      <w:tr>
        <w:trPr>
          <w:trHeight w:val="210"/>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12.4</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71.1</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24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8.7</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and other net income tax asset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(21.6)</w:t>
            </w: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74.5</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automotive cash provided by operating activities to adjusted automotive free cash flow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tcBorders>
              <w:bottom w:val="single" w:sz="8" w:color="auto"/>
            </w:tcBorders>
          </w:tcPr>
          <w:p>
            <w:pPr>
              <w:spacing w:after="0"/>
              <w:rPr>
                <w:sz w:val="17"/>
                <w:szCs w:val="17"/>
                <w:color w:val="auto"/>
              </w:rPr>
            </w:pPr>
          </w:p>
        </w:tc>
      </w:tr>
      <w:tr>
        <w:trPr>
          <w:trHeight w:val="196"/>
        </w:trPr>
        <w:tc>
          <w:tcPr>
            <w:tcW w:w="526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March 31, 2025</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b w:val="1"/>
                <w:bCs w:val="1"/>
                <w:color w:val="auto"/>
              </w:rPr>
              <w:t>March 31, 2024</w:t>
            </w: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2140" w:type="dxa"/>
            <w:vAlign w:val="bottom"/>
            <w:shd w:val="clear" w:color="auto" w:fill="CCEEFF"/>
          </w:tcPr>
          <w:p>
            <w:pPr>
              <w:jc w:val="right"/>
              <w:ind w:right="19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2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(2,728)</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Buick dealer strategy</w:t>
            </w:r>
          </w:p>
        </w:tc>
        <w:tc>
          <w:tcPr>
            <w:tcW w:w="2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Add: Restructuring actions</w:t>
            </w:r>
          </w:p>
        </w:tc>
        <w:tc>
          <w:tcPr>
            <w:tcW w:w="2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GMI plant wind down</w:t>
            </w:r>
          </w:p>
        </w:tc>
        <w:tc>
          <w:tcPr>
            <w:tcW w:w="2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Add: Employee separation costs</w:t>
            </w:r>
          </w:p>
        </w:tc>
        <w:tc>
          <w:tcPr>
            <w:tcW w:w="2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5"/>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w:t>
            </w:r>
          </w:p>
        </w:tc>
        <w:tc>
          <w:tcPr>
            <w:tcW w:w="2140" w:type="dxa"/>
            <w:vAlign w:val="bottom"/>
            <w:tcBorders>
              <w:top w:val="single" w:sz="8" w:color="auto"/>
              <w:bottom w:val="single" w:sz="8" w:color="auto"/>
            </w:tcBorders>
            <w:shd w:val="clear" w:color="auto" w:fill="CCEEFF"/>
          </w:tcPr>
          <w:p>
            <w:pPr>
              <w:jc w:val="right"/>
              <w:ind w:right="196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three months ended March 31, 2025, 24.5% of GM's wholesale vehicle sales volume was generated outside the U.S. The following table summarizes wholesale vehicle sales by our Automotive segments (vehicles in thousands):</w:t>
      </w:r>
    </w:p>
    <w:p>
      <w:pPr>
        <w:spacing w:after="0" w:line="96"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Borders>
              <w:bottom w:val="single" w:sz="8" w:color="CCEEFF"/>
            </w:tcBorders>
          </w:tcPr>
          <w:p>
            <w:pPr>
              <w:spacing w:after="0"/>
              <w:rPr>
                <w:sz w:val="17"/>
                <w:szCs w:val="17"/>
                <w:color w:val="auto"/>
              </w:rPr>
            </w:pPr>
          </w:p>
        </w:tc>
        <w:tc>
          <w:tcPr>
            <w:tcW w:w="23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b w:val="1"/>
                <w:bCs w:val="1"/>
                <w:color w:val="auto"/>
              </w:rPr>
              <w:t>March 31, 2025</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94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March 31, 2024</w:t>
            </w: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792</w:t>
            </w: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2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18"/>
                <w:szCs w:val="18"/>
                <w:color w:val="auto"/>
              </w:rPr>
            </w:pPr>
          </w:p>
        </w:tc>
        <w:tc>
          <w:tcPr>
            <w:tcW w:w="2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w:t>
            </w:r>
          </w:p>
        </w:tc>
      </w:tr>
      <w:tr>
        <w:trPr>
          <w:trHeight w:val="23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0"/>
                <w:szCs w:val="20"/>
                <w:color w:val="auto"/>
              </w:rPr>
            </w:pPr>
          </w:p>
        </w:tc>
        <w:tc>
          <w:tcPr>
            <w:tcW w:w="2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sales of courtesy transportation vehicles (i.e., vehicles previously used by dealers that were sold to the end consumer).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2025</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2024</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Industry</w:t>
            </w: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rPr>
              <w:t>GM</w:t>
            </w: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Market Share</w:t>
            </w: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Industry</w:t>
            </w:r>
          </w:p>
        </w:tc>
        <w:tc>
          <w:tcPr>
            <w:tcW w:w="1240" w:type="dxa"/>
            <w:vAlign w:val="bottom"/>
            <w:gridSpan w:val="2"/>
          </w:tcPr>
          <w:p>
            <w:pPr>
              <w:ind w:left="460"/>
              <w:spacing w:after="0"/>
              <w:rPr>
                <w:sz w:val="20"/>
                <w:szCs w:val="20"/>
                <w:color w:val="auto"/>
              </w:rPr>
            </w:pPr>
            <w:r>
              <w:rPr>
                <w:rFonts w:ascii="Arial" w:cs="Arial" w:eastAsia="Arial" w:hAnsi="Arial"/>
                <w:sz w:val="14"/>
                <w:szCs w:val="14"/>
                <w:b w:val="1"/>
                <w:bCs w:val="1"/>
                <w:color w:val="auto"/>
              </w:rPr>
              <w:t>GM</w:t>
            </w:r>
          </w:p>
        </w:tc>
        <w:tc>
          <w:tcPr>
            <w:tcW w:w="1380" w:type="dxa"/>
            <w:vAlign w:val="bottom"/>
          </w:tcPr>
          <w:p>
            <w:pPr>
              <w:jc w:val="right"/>
              <w:ind w:right="168"/>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4,028</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15.4 %</w:t>
            </w:r>
          </w:p>
        </w:tc>
        <w:tc>
          <w:tcPr>
            <w:tcW w:w="0" w:type="dxa"/>
            <w:vAlign w:val="bottom"/>
          </w:tcPr>
          <w:p>
            <w:pPr>
              <w:spacing w:after="0"/>
              <w:rPr>
                <w:sz w:val="1"/>
                <w:szCs w:val="1"/>
                <w:color w:val="auto"/>
              </w:rPr>
            </w:pPr>
          </w:p>
        </w:tc>
      </w:tr>
      <w:tr>
        <w:trPr>
          <w:trHeight w:val="19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940</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13.4 %</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12.9 %</w:t>
            </w: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4,968</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4,744</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81"/>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Asia/Pacific, Middle East and Africa</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5,821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19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5,602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5,501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Asia/Pacific, Middle East and Africa</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11,422</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11,156</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82"/>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19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396</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7.3 %</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0" w:type="dxa"/>
            <w:vAlign w:val="bottom"/>
          </w:tcPr>
          <w:p>
            <w:pPr>
              <w:spacing w:after="0"/>
              <w:rPr>
                <w:sz w:val="1"/>
                <w:szCs w:val="1"/>
                <w:color w:val="auto"/>
              </w:rPr>
            </w:pPr>
          </w:p>
        </w:tc>
      </w:tr>
      <w:tr>
        <w:trPr>
          <w:trHeight w:val="192"/>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17,338</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1,449</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8.4 %</w:t>
            </w:r>
          </w:p>
        </w:tc>
        <w:tc>
          <w:tcPr>
            <w:tcW w:w="1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16,723</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4,369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21,497</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1,449</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6.7 %</w:t>
            </w:r>
          </w:p>
        </w:tc>
        <w:tc>
          <w:tcPr>
            <w:tcW w:w="1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21,092</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4"/>
                <w:szCs w:val="14"/>
                <w:color w:val="auto"/>
              </w:rPr>
              <w:t>Cars</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31.1 %</w:t>
            </w:r>
          </w:p>
        </w:tc>
        <w:tc>
          <w:tcPr>
            <w:tcW w:w="0" w:type="dxa"/>
            <w:vAlign w:val="bottom"/>
          </w:tcPr>
          <w:p>
            <w:pPr>
              <w:spacing w:after="0"/>
              <w:rPr>
                <w:sz w:val="1"/>
                <w:szCs w:val="1"/>
                <w:color w:val="auto"/>
              </w:rPr>
            </w:pPr>
          </w:p>
        </w:tc>
      </w:tr>
      <w:tr>
        <w:trPr>
          <w:trHeight w:val="19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2,206</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4,028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693</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15.4 %</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3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5,821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5,655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Cuba, Iran, North Korea, Syria and certain regions of Ukraine are subject to broad economic sanctions. Accordingly, these countries are excluded from industry sales data and corresponding calculation of market share.</w:t>
      </w:r>
    </w:p>
    <w:p>
      <w:pPr>
        <w:spacing w:after="0" w:line="289" w:lineRule="exact"/>
        <w:rPr>
          <w:sz w:val="20"/>
          <w:szCs w:val="20"/>
          <w:color w:val="auto"/>
        </w:rPr>
      </w:pPr>
    </w:p>
    <w:p>
      <w:pPr>
        <w:jc w:val="both"/>
        <w:ind w:right="20" w:firstLine="162"/>
        <w:spacing w:after="0" w:line="266"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60" w:type="dxa"/>
            <w:vAlign w:val="bottom"/>
          </w:tcPr>
          <w:p>
            <w:pPr>
              <w:spacing w:after="0"/>
              <w:rPr>
                <w:sz w:val="17"/>
                <w:szCs w:val="17"/>
                <w:color w:val="auto"/>
              </w:rPr>
            </w:pPr>
          </w:p>
        </w:tc>
        <w:tc>
          <w:tcPr>
            <w:tcW w:w="4080" w:type="dxa"/>
            <w:vAlign w:val="bottom"/>
            <w:tcBorders>
              <w:bottom w:val="single" w:sz="8" w:color="auto"/>
            </w:tcBorders>
            <w:gridSpan w:val="3"/>
          </w:tcPr>
          <w:p>
            <w:pPr>
              <w:jc w:val="right"/>
              <w:ind w:right="124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160" w:type="dxa"/>
            <w:vAlign w:val="bottom"/>
          </w:tcPr>
          <w:p>
            <w:pPr>
              <w:spacing w:after="0"/>
              <w:rPr>
                <w:sz w:val="17"/>
                <w:szCs w:val="17"/>
                <w:color w:val="auto"/>
              </w:rPr>
            </w:pPr>
          </w:p>
        </w:tc>
        <w:tc>
          <w:tcPr>
            <w:tcW w:w="2100" w:type="dxa"/>
            <w:vAlign w:val="bottom"/>
            <w:gridSpan w:val="2"/>
          </w:tcPr>
          <w:p>
            <w:pPr>
              <w:ind w:left="480"/>
              <w:spacing w:after="0"/>
              <w:rPr>
                <w:sz w:val="20"/>
                <w:szCs w:val="20"/>
                <w:color w:val="auto"/>
              </w:rPr>
            </w:pPr>
            <w:r>
              <w:rPr>
                <w:rFonts w:ascii="Arial" w:cs="Arial" w:eastAsia="Arial" w:hAnsi="Arial"/>
                <w:sz w:val="14"/>
                <w:szCs w:val="14"/>
                <w:b w:val="1"/>
                <w:bCs w:val="1"/>
                <w:color w:val="auto"/>
              </w:rPr>
              <w:t>March 31, 2025</w:t>
            </w:r>
          </w:p>
        </w:tc>
        <w:tc>
          <w:tcPr>
            <w:tcW w:w="1980" w:type="dxa"/>
            <w:vAlign w:val="bottom"/>
          </w:tcPr>
          <w:p>
            <w:pPr>
              <w:jc w:val="right"/>
              <w:ind w:right="401"/>
              <w:spacing w:after="0"/>
              <w:rPr>
                <w:sz w:val="20"/>
                <w:szCs w:val="20"/>
                <w:color w:val="auto"/>
              </w:rPr>
            </w:pPr>
            <w:r>
              <w:rPr>
                <w:rFonts w:ascii="Arial" w:cs="Arial" w:eastAsia="Arial" w:hAnsi="Arial"/>
                <w:sz w:val="14"/>
                <w:szCs w:val="14"/>
                <w:b w:val="1"/>
                <w:bCs w:val="1"/>
                <w:color w:val="auto"/>
              </w:rPr>
              <w:t>March 31, 2024</w:t>
            </w:r>
          </w:p>
        </w:tc>
      </w:tr>
      <w:tr>
        <w:trPr>
          <w:trHeight w:val="210"/>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98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172</w:t>
            </w:r>
          </w:p>
        </w:tc>
        <w:tc>
          <w:tcPr>
            <w:tcW w:w="1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141</w:t>
            </w:r>
          </w:p>
        </w:tc>
      </w:tr>
      <w:tr>
        <w:trPr>
          <w:trHeight w:val="215"/>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68</w:t>
            </w:r>
          </w:p>
        </w:tc>
      </w:tr>
      <w:tr>
        <w:trPr>
          <w:trHeight w:val="23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fleet sales</w:t>
            </w:r>
          </w:p>
        </w:tc>
        <w:tc>
          <w:tcPr>
            <w:tcW w:w="19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Fleet sales as a percentage of total vehicle sales</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r>
      <w:tr>
        <w:trPr>
          <w:trHeight w:val="148"/>
        </w:trPr>
        <w:tc>
          <w:tcPr>
            <w:tcW w:w="7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 capacity two-shift utilization</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109.5 %</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2025-04-29T06:40:56Z</dcterms:created>
  <dcterms:modified xsi:type="dcterms:W3CDTF">2025-04-29T06:40:56Z</dcterms:modified>
</cp:coreProperties>
</file>