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807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079740"/>
                    </a:xfrm>
                    <a:prstGeom prst="rect">
                      <a:avLst/>
                    </a:prstGeom>
                    <a:noFill/>
                  </pic:spPr>
                </pic:pic>
              </a:graphicData>
            </a:graphic>
          </wp:anchor>
        </w:drawing>
      </w:r>
    </w:p>
    <w:p>
      <w:pPr>
        <w:spacing w:after="0" w:line="108" w:lineRule="exact"/>
        <w:rPr>
          <w:sz w:val="24"/>
          <w:szCs w:val="24"/>
          <w:color w:val="auto"/>
        </w:rPr>
      </w:pPr>
    </w:p>
    <w:p>
      <w:pPr>
        <w:sectPr>
          <w:pgSz w:w="11900" w:h="16936" w:orient="portrait"/>
          <w:cols w:equalWidth="0" w:num="2">
            <w:col w:w="2320" w:space="400"/>
            <w:col w:w="880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040"/>
        <w:spacing w:after="0" w:line="31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06/30/2013</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7"/>
          <w:szCs w:val="17"/>
          <w:color w:val="0000FF"/>
        </w:rPr>
        <w:t>Senior Vice President</w:t>
      </w:r>
    </w:p>
    <w:p>
      <w:pPr>
        <w:spacing w:after="0" w:line="445" w:lineRule="exact"/>
        <w:rPr>
          <w:sz w:val="24"/>
          <w:szCs w:val="24"/>
          <w:color w:val="auto"/>
        </w:rPr>
      </w:pPr>
    </w:p>
    <w:p>
      <w:pPr>
        <w:sectPr>
          <w:pgSz w:w="11900" w:h="16936" w:orient="portrait"/>
          <w:cols w:equalWidth="0" w:num="3">
            <w:col w:w="3360" w:space="720"/>
            <w:col w:w="3257" w:space="720"/>
            <w:col w:w="3463"/>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0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20" w:type="dxa"/>
            <w:vAlign w:val="bottom"/>
            <w:tcBorders>
              <w:bottom w:val="single" w:sz="8" w:color="2C2C2C"/>
            </w:tcBorders>
            <w:gridSpan w:val="7"/>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8"/>
              </w:rPr>
              <w:t>10,619</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7"/>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92,254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4,252</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88,002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6,367</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81,635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5,622</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7"/>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87,257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2,598</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84,659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3,024</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81,635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3"/>
              </w:rPr>
              <w:t>4,326</w:t>
            </w:r>
            <w:r>
              <w:rPr>
                <w:rFonts w:ascii="Arial" w:cs="Arial" w:eastAsia="Arial" w:hAnsi="Arial"/>
                <w:sz w:val="21"/>
                <w:szCs w:val="21"/>
                <w:color w:val="008000"/>
                <w:w w:val="83"/>
                <w:vertAlign w:val="superscript"/>
              </w:rPr>
              <w:t>(5)</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7"/>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85,961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1,999</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83,962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06/30/2013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2,327</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81,635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59"/>
              <w:spacing w:after="0" w:line="132"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center"/>
              <w:ind w:right="299"/>
              <w:spacing w:after="0" w:line="132"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8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10,619</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12"/>
                <w:szCs w:val="12"/>
                <w:color w:val="auto"/>
              </w:rPr>
            </w:pPr>
          </w:p>
        </w:tc>
        <w:tc>
          <w:tcPr>
            <w:tcW w:w="760" w:type="dxa"/>
            <w:vAlign w:val="bottom"/>
            <w:gridSpan w:val="2"/>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60" w:type="dxa"/>
            <w:vAlign w:val="bottom"/>
          </w:tcPr>
          <w:p>
            <w:pPr>
              <w:jc w:val="center"/>
              <w:spacing w:after="0" w:line="141" w:lineRule="exact"/>
              <w:rPr>
                <w:sz w:val="20"/>
                <w:szCs w:val="20"/>
                <w:color w:val="auto"/>
              </w:rPr>
            </w:pPr>
            <w:r>
              <w:rPr>
                <w:rFonts w:ascii="Arial" w:cs="Arial" w:eastAsia="Arial" w:hAnsi="Arial"/>
                <w:sz w:val="13"/>
                <w:szCs w:val="13"/>
                <w:color w:val="0000FF"/>
                <w:w w:val="90"/>
              </w:rPr>
              <w:t>10,619</w:t>
            </w:r>
          </w:p>
        </w:tc>
        <w:tc>
          <w:tcPr>
            <w:tcW w:w="820" w:type="dxa"/>
            <w:vAlign w:val="bottom"/>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21,237</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8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5,622</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6"/>
                <w:szCs w:val="6"/>
                <w:color w:val="auto"/>
              </w:rPr>
            </w:pPr>
          </w:p>
        </w:tc>
        <w:tc>
          <w:tcPr>
            <w:tcW w:w="4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5,622</w:t>
            </w:r>
          </w:p>
        </w:tc>
        <w:tc>
          <w:tcPr>
            <w:tcW w:w="820" w:type="dxa"/>
            <w:vAlign w:val="bottom"/>
            <w:vMerge w:val="restart"/>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8"/>
              <w:spacing w:after="0" w:line="141" w:lineRule="exact"/>
              <w:rPr>
                <w:sz w:val="20"/>
                <w:szCs w:val="20"/>
                <w:color w:val="auto"/>
              </w:rPr>
            </w:pPr>
            <w:r>
              <w:rPr>
                <w:rFonts w:ascii="Arial" w:cs="Arial" w:eastAsia="Arial" w:hAnsi="Arial"/>
                <w:sz w:val="13"/>
                <w:szCs w:val="13"/>
                <w:color w:val="0000FF"/>
                <w:w w:val="92"/>
              </w:rPr>
              <w:t>5,621</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8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4,326</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6"/>
                <w:szCs w:val="6"/>
                <w:color w:val="auto"/>
              </w:rPr>
            </w:pPr>
          </w:p>
        </w:tc>
        <w:tc>
          <w:tcPr>
            <w:tcW w:w="4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4,326</w:t>
            </w:r>
          </w:p>
        </w:tc>
        <w:tc>
          <w:tcPr>
            <w:tcW w:w="820" w:type="dxa"/>
            <w:vAlign w:val="bottom"/>
            <w:vMerge w:val="restart"/>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8"/>
              <w:spacing w:after="0" w:line="141"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21,347</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Pr>
          <w:p>
            <w:pPr>
              <w:jc w:val="center"/>
              <w:ind w:left="101"/>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12"/>
                <w:szCs w:val="12"/>
                <w:color w:val="auto"/>
              </w:rPr>
            </w:pPr>
          </w:p>
        </w:tc>
        <w:tc>
          <w:tcPr>
            <w:tcW w:w="760" w:type="dxa"/>
            <w:vAlign w:val="bottom"/>
            <w:gridSpan w:val="2"/>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tcPr>
          <w:p>
            <w:pPr>
              <w:jc w:val="right"/>
              <w:ind w:right="20"/>
              <w:spacing w:after="0" w:line="141" w:lineRule="exact"/>
              <w:rPr>
                <w:sz w:val="20"/>
                <w:szCs w:val="20"/>
                <w:color w:val="auto"/>
              </w:rPr>
            </w:pPr>
            <w:r>
              <w:rPr>
                <w:rFonts w:ascii="Arial" w:cs="Arial" w:eastAsia="Arial" w:hAnsi="Arial"/>
                <w:sz w:val="13"/>
                <w:szCs w:val="13"/>
                <w:color w:val="0000FF"/>
              </w:rPr>
              <w:t>21,347</w:t>
            </w:r>
          </w:p>
        </w:tc>
        <w:tc>
          <w:tcPr>
            <w:tcW w:w="460" w:type="dxa"/>
            <w:vAlign w:val="bottom"/>
          </w:tcPr>
          <w:p>
            <w:pPr>
              <w:spacing w:after="0"/>
              <w:rPr>
                <w:sz w:val="12"/>
                <w:szCs w:val="12"/>
                <w:color w:val="auto"/>
              </w:rPr>
            </w:pPr>
          </w:p>
        </w:tc>
        <w:tc>
          <w:tcPr>
            <w:tcW w:w="820" w:type="dxa"/>
            <w:vAlign w:val="bottom"/>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21,347</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8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2,556</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06/30/2013</w:t>
            </w:r>
          </w:p>
        </w:tc>
        <w:tc>
          <w:tcPr>
            <w:tcW w:w="1120" w:type="dxa"/>
            <w:vAlign w:val="bottom"/>
          </w:tcPr>
          <w:p>
            <w:pPr>
              <w:spacing w:after="0"/>
              <w:rPr>
                <w:sz w:val="6"/>
                <w:szCs w:val="6"/>
                <w:color w:val="auto"/>
              </w:rPr>
            </w:pPr>
          </w:p>
        </w:tc>
        <w:tc>
          <w:tcPr>
            <w:tcW w:w="7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right"/>
              <w:ind w:right="40"/>
              <w:spacing w:after="0" w:line="141" w:lineRule="exact"/>
              <w:rPr>
                <w:sz w:val="20"/>
                <w:szCs w:val="20"/>
                <w:color w:val="auto"/>
              </w:rPr>
            </w:pPr>
            <w:r>
              <w:rPr>
                <w:rFonts w:ascii="Arial" w:cs="Arial" w:eastAsia="Arial" w:hAnsi="Arial"/>
                <w:sz w:val="13"/>
                <w:szCs w:val="13"/>
                <w:color w:val="0000FF"/>
              </w:rPr>
              <w:t>2,556</w:t>
            </w:r>
          </w:p>
        </w:tc>
        <w:tc>
          <w:tcPr>
            <w:tcW w:w="460" w:type="dxa"/>
            <w:vAlign w:val="bottom"/>
          </w:tcPr>
          <w:p>
            <w:pPr>
              <w:spacing w:after="0"/>
              <w:rPr>
                <w:sz w:val="6"/>
                <w:szCs w:val="6"/>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8"/>
              <w:spacing w:after="0" w:line="141" w:lineRule="exact"/>
              <w:rPr>
                <w:sz w:val="20"/>
                <w:szCs w:val="20"/>
                <w:color w:val="auto"/>
              </w:rPr>
            </w:pPr>
            <w:r>
              <w:rPr>
                <w:rFonts w:ascii="Arial" w:cs="Arial" w:eastAsia="Arial" w:hAnsi="Arial"/>
                <w:sz w:val="13"/>
                <w:szCs w:val="13"/>
                <w:color w:val="0000FF"/>
                <w:w w:val="92"/>
              </w:rPr>
              <w:t>2,556</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6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2012 pursuant to the Company's Salary Stock Plan (the "GMSSP") and vested upon grant. The portion of this award currently payable was settled on June 30, 2013 in cash, less a portion withheld for taxes.</w:t>
      </w:r>
    </w:p>
    <w:p>
      <w:pPr>
        <w:spacing w:after="0" w:line="21" w:lineRule="exact"/>
        <w:rPr>
          <w:rFonts w:ascii="Arial" w:cs="Arial" w:eastAsia="Arial" w:hAnsi="Arial"/>
          <w:sz w:val="13"/>
          <w:szCs w:val="13"/>
          <w:color w:val="008000"/>
        </w:rPr>
      </w:pPr>
    </w:p>
    <w:p>
      <w:pPr>
        <w:jc w:val="both"/>
        <w:ind w:left="40" w:right="200" w:firstLine="5"/>
        <w:spacing w:after="0" w:line="268"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As recently amended, the GMSSP gives the employee the option of having a settlement made by delivery of the Stock or of cash in an amount equal to the fair market value of the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$33.26. The employee opted to have these settlements made by delivery of cash.</w:t>
      </w:r>
    </w:p>
    <w:p>
      <w:pPr>
        <w:spacing w:after="0" w:line="17"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2011.</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8" w:lineRule="exact"/>
        <w:rPr>
          <w:rFonts w:ascii="Arial" w:cs="Arial" w:eastAsia="Arial" w:hAnsi="Arial"/>
          <w:sz w:val="13"/>
          <w:szCs w:val="13"/>
          <w:color w:val="008000"/>
        </w:rPr>
      </w:pPr>
    </w:p>
    <w:p>
      <w:pPr>
        <w:ind w:left="40" w:right="180" w:firstLine="5"/>
        <w:spacing w:after="0" w:line="276"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4,327 SSUs, of which 1,442 SSUs were scheduled to be payable on June 30, 2013.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12,981 SSUs granted on June 30, 2010 of which 4,326 SSUs became payable on June 30, 2013.</w:t>
      </w:r>
    </w:p>
    <w:p>
      <w:pPr>
        <w:sectPr>
          <w:pgSz w:w="11900" w:h="16936" w:orient="portrait"/>
          <w:cols w:equalWidth="0" w:num="1">
            <w:col w:w="11520"/>
          </w:cols>
          <w:pgMar w:left="240" w:top="224" w:right="139" w:bottom="0" w:gutter="0" w:footer="0" w:header="0"/>
          <w:type w:val="continuous"/>
        </w:sectPr>
      </w:pPr>
    </w:p>
    <w:bookmarkStart w:id="1" w:name="page2"/>
    <w:bookmarkEnd w:id="1"/>
    <w:p>
      <w:pPr>
        <w:ind w:left="140" w:hanging="135"/>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8" w:lineRule="exact"/>
        <w:rPr>
          <w:rFonts w:ascii="Arial" w:cs="Arial" w:eastAsia="Arial" w:hAnsi="Arial"/>
          <w:sz w:val="13"/>
          <w:szCs w:val="13"/>
          <w:color w:val="008000"/>
        </w:rPr>
      </w:pPr>
    </w:p>
    <w:p>
      <w:pPr>
        <w:ind w:left="140" w:hanging="135"/>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2013 and will be settled in three equal, annual installments beginning June 30, 2014.</w:t>
      </w:r>
    </w:p>
    <w:p>
      <w:pPr>
        <w:spacing w:after="0" w:line="48" w:lineRule="exact"/>
        <w:rPr>
          <w:rFonts w:ascii="Arial" w:cs="Arial" w:eastAsia="Arial" w:hAnsi="Arial"/>
          <w:sz w:val="13"/>
          <w:szCs w:val="13"/>
          <w:color w:val="008000"/>
        </w:rPr>
      </w:pPr>
    </w:p>
    <w:p>
      <w:pPr>
        <w:ind w:firstLine="5"/>
        <w:spacing w:after="0" w:line="258"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2013 and will be treated as if they were granted on March 31, 2013 (i.e., granted nunc pro tunc), so that they will be settled in three equal, annual installments beginning March 31, 2014.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07/02/2013</w:t>
            </w:r>
          </w:p>
        </w:tc>
        <w:tc>
          <w:tcPr>
            <w:tcW w:w="0" w:type="dxa"/>
            <w:vAlign w:val="bottom"/>
          </w:tcPr>
          <w:p>
            <w:pPr>
              <w:spacing w:after="0"/>
              <w:rPr>
                <w:sz w:val="1"/>
                <w:szCs w:val="1"/>
                <w:color w:val="auto"/>
              </w:rPr>
            </w:pPr>
          </w:p>
        </w:tc>
      </w:tr>
      <w:tr>
        <w:trPr>
          <w:trHeight w:val="86"/>
        </w:trPr>
        <w:tc>
          <w:tcPr>
            <w:tcW w:w="1240" w:type="dxa"/>
            <w:vAlign w:val="bottom"/>
            <w:vMerge w:val="restart"/>
          </w:tcPr>
          <w:p>
            <w:pPr>
              <w:spacing w:after="0" w:line="191" w:lineRule="exact"/>
              <w:rPr>
                <w:sz w:val="20"/>
                <w:szCs w:val="20"/>
                <w:color w:val="auto"/>
              </w:rPr>
            </w:pPr>
            <w:r>
              <w:rPr>
                <w:rFonts w:ascii="Arial" w:cs="Arial" w:eastAsia="Arial" w:hAnsi="Arial"/>
                <w:sz w:val="17"/>
                <w:szCs w:val="17"/>
                <w:color w:val="0000FF"/>
                <w:w w:val="93"/>
              </w:rPr>
              <w:t>fact for Ms. Barra</w:t>
            </w:r>
          </w:p>
        </w:tc>
        <w:tc>
          <w:tcPr>
            <w:tcW w:w="9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200" w:firstLine="5"/>
        <w:spacing w:after="0" w:line="316" w:lineRule="auto"/>
        <w:tabs>
          <w:tab w:leader="none" w:pos="139"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280" w:top="17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2019-12-18T15:52:36Z</dcterms:created>
  <dcterms:modified xsi:type="dcterms:W3CDTF">2019-12-18T15:52:36Z</dcterms:modified>
</cp:coreProperties>
</file>