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669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6697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DeLuca James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09/30/2015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23"/>
          </w:cols>
          <w:pgMar w:left="240" w:top="226" w:right="17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760" w:type="dxa"/>
            <w:vAlign w:val="bottom"/>
            <w:gridSpan w:val="7"/>
          </w:tcPr>
          <w:p>
            <w:pPr>
              <w:jc w:val="right"/>
              <w:ind w:right="109"/>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7"/>
          </w:tcPr>
          <w:p>
            <w:pPr>
              <w:ind w:left="38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180" w:type="dxa"/>
            <w:vAlign w:val="bottom"/>
            <w:gridSpan w:val="6"/>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0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505"/>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jc w:val="center"/>
              <w:ind w:right="254"/>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93"/>
              </w:rPr>
              <w:t>195</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10,348</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93"/>
              </w:rPr>
              <w:t>102</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29.74</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10,246</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79"/>
              </w:rPr>
              <w:t>93</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29.74</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10,153</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93"/>
              </w:rPr>
              <w:t>305</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10,458</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93"/>
              </w:rPr>
              <w:t>160</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29.74</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10,298</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93"/>
              </w:rPr>
              <w:t>145</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29.74</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10,153</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jc w:val="center"/>
              <w:ind w:left="83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0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gridSpan w:val="2"/>
          </w:tcPr>
          <w:p>
            <w:pPr>
              <w:jc w:val="center"/>
              <w:ind w:right="214"/>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jc w:val="center"/>
              <w:ind w:right="214"/>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center"/>
              <w:ind w:right="7"/>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jc w:val="center"/>
              <w:ind w:right="274"/>
              <w:spacing w:after="0"/>
              <w:rPr>
                <w:sz w:val="20"/>
                <w:szCs w:val="20"/>
                <w:color w:val="auto"/>
              </w:rPr>
            </w:pPr>
            <w:r>
              <w:rPr>
                <w:rFonts w:ascii="Arial" w:cs="Arial" w:eastAsia="Arial" w:hAnsi="Arial"/>
                <w:sz w:val="12"/>
                <w:szCs w:val="12"/>
                <w:b w:val="1"/>
                <w:bCs w:val="1"/>
                <w:color w:val="auto"/>
                <w:w w:val="99"/>
              </w:rPr>
              <w:t>Shares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(4)</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195</w:t>
            </w:r>
          </w:p>
        </w:tc>
        <w:tc>
          <w:tcPr>
            <w:tcW w:w="220" w:type="dxa"/>
            <w:vAlign w:val="bottom"/>
          </w:tcPr>
          <w:p>
            <w:pPr>
              <w:spacing w:after="0"/>
              <w:rPr>
                <w:sz w:val="16"/>
                <w:szCs w:val="16"/>
                <w:color w:val="auto"/>
              </w:rPr>
            </w:pPr>
          </w:p>
        </w:tc>
        <w:tc>
          <w:tcPr>
            <w:tcW w:w="500" w:type="dxa"/>
            <w:vAlign w:val="bottom"/>
            <w:vMerge w:val="restart"/>
          </w:tcPr>
          <w:p>
            <w:pPr>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09/30/2015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0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195</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vMerge w:val="restart"/>
          </w:tcPr>
          <w:p>
            <w:pPr>
              <w:jc w:val="right"/>
              <w:ind w:right="118"/>
              <w:spacing w:after="0" w:line="146" w:lineRule="exact"/>
              <w:rPr>
                <w:sz w:val="20"/>
                <w:szCs w:val="20"/>
                <w:color w:val="auto"/>
              </w:rPr>
            </w:pPr>
            <w:r>
              <w:rPr>
                <w:rFonts w:ascii="Arial" w:cs="Arial" w:eastAsia="Arial" w:hAnsi="Arial"/>
                <w:sz w:val="14"/>
                <w:szCs w:val="14"/>
                <w:color w:val="0000FF"/>
              </w:rPr>
              <w:t>194</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(1)(2)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(4)</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305</w:t>
            </w:r>
          </w:p>
        </w:tc>
        <w:tc>
          <w:tcPr>
            <w:tcW w:w="220" w:type="dxa"/>
            <w:vAlign w:val="bottom"/>
          </w:tcPr>
          <w:p>
            <w:pPr>
              <w:spacing w:after="0"/>
              <w:rPr>
                <w:sz w:val="16"/>
                <w:szCs w:val="16"/>
                <w:color w:val="auto"/>
              </w:rPr>
            </w:pPr>
          </w:p>
        </w:tc>
        <w:tc>
          <w:tcPr>
            <w:tcW w:w="500" w:type="dxa"/>
            <w:vAlign w:val="bottom"/>
            <w:vMerge w:val="restart"/>
          </w:tcPr>
          <w:p>
            <w:pPr>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09/30/2015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0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305</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vMerge w:val="restart"/>
          </w:tcPr>
          <w:p>
            <w:pPr>
              <w:jc w:val="right"/>
              <w:ind w:right="178"/>
              <w:spacing w:after="0" w:line="146" w:lineRule="exact"/>
              <w:rPr>
                <w:sz w:val="20"/>
                <w:szCs w:val="20"/>
                <w:color w:val="auto"/>
              </w:rPr>
            </w:pPr>
            <w:r>
              <w:rPr>
                <w:rFonts w:ascii="Arial" w:cs="Arial" w:eastAsia="Arial" w:hAnsi="Arial"/>
                <w:sz w:val="14"/>
                <w:szCs w:val="14"/>
                <w:color w:val="0000FF"/>
              </w:rPr>
              <w:t>0</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(2)(3)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1" w:lineRule="exact"/>
        <w:rPr>
          <w:sz w:val="24"/>
          <w:szCs w:val="24"/>
          <w:color w:val="auto"/>
        </w:rPr>
      </w:pPr>
    </w:p>
    <w:p>
      <w:pPr>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September 30, 2013 pursuant to the Company's Salary Stock Plan (the "GMSSP") and vested upon grant. The portion of this award currently payable was settled on September 30, 2015 in cash, less a portion withheld for taxes.</w:t>
      </w:r>
    </w:p>
    <w:p>
      <w:pPr>
        <w:ind w:left="40" w:right="12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Common Stock. Grants of SSUs are fully vested when made and will be settled in three equal, annual installments beginning one year after the date of grant. The GMSSP gives the Reporting Person the option of having a settlement made by delivery of shares of the Common Stock or by the delivery of cash in an amount equal to the fair market value of the Common Stock as of the applicable anniversary date of the SSU's grant. Under the GMSSP, the fair value of the Common Stock is the average of the high and low trading prices for the Common Stock as reported on the New York Stock Exchange, on which it is listed, on the date of the transaction, which was $29.74.</w:t>
      </w:r>
    </w:p>
    <w:p>
      <w:pPr>
        <w:spacing w:after="0" w:line="8" w:lineRule="exact"/>
        <w:rPr>
          <w:rFonts w:ascii="Arial" w:cs="Arial" w:eastAsia="Arial" w:hAnsi="Arial"/>
          <w:sz w:val="12"/>
          <w:szCs w:val="12"/>
          <w:color w:val="008000"/>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September 30, 2012 pursuant to the GMSSP. The portion of this award currently payable was settled on September 30, 2015 in cash, less a portion withheld for taxes.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Mr.</w:t>
      </w:r>
      <w:r>
        <w:rPr>
          <w:sz w:val="20"/>
          <w:szCs w:val="20"/>
          <w:color w:val="auto"/>
        </w:rPr>
        <w:tab/>
      </w:r>
      <w:r>
        <w:rPr>
          <w:rFonts w:ascii="Arial" w:cs="Arial" w:eastAsia="Arial" w:hAnsi="Arial"/>
          <w:sz w:val="15"/>
          <w:szCs w:val="15"/>
          <w:color w:val="0000FF"/>
        </w:rPr>
        <w:t>10/02/2015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DeLuca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524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5242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98560"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2019-12-08T21:53:42Z</dcterms:created>
  <dcterms:modified xsi:type="dcterms:W3CDTF">2019-12-08T21:53:42Z</dcterms:modified>
</cp:coreProperties>
</file>