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438"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spacing w:after="0" w:line="207" w:lineRule="exact"/>
        <w:tabs>
          <w:tab w:leader="none" w:pos="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October 31, 2011, the number of shares outstanding of common stock was 1,564,561,877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700" w:type="dxa"/>
            <w:vAlign w:val="bottom"/>
            <w:gridSpan w:val="13"/>
            <w:vMerge w:val="restart"/>
          </w:tcPr>
          <w:p>
            <w:pPr>
              <w:jc w:val="center"/>
              <w:ind w:right="314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700" w:type="dxa"/>
            <w:vAlign w:val="bottom"/>
            <w:gridSpan w:val="13"/>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280" w:type="dxa"/>
            <w:vAlign w:val="bottom"/>
            <w:tcBorders>
              <w:bottom w:val="single" w:sz="8" w:color="0000EE"/>
            </w:tcBorders>
            <w:gridSpan w:val="23"/>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Financial Statements</w:t>
              </w:r>
            </w:hyperlink>
          </w:p>
        </w:tc>
        <w:tc>
          <w:tcPr>
            <w:tcW w:w="860" w:type="dxa"/>
            <w:vAlign w:val="bottom"/>
            <w:gridSpan w:val="9"/>
          </w:tcPr>
          <w:p>
            <w:pPr>
              <w:spacing w:after="0"/>
              <w:rPr>
                <w:sz w:val="17"/>
                <w:szCs w:val="17"/>
                <w:color w:val="auto"/>
              </w:rPr>
            </w:pPr>
          </w:p>
        </w:tc>
        <w:tc>
          <w:tcPr>
            <w:tcW w:w="2360" w:type="dxa"/>
            <w:vAlign w:val="bottom"/>
            <w:tcBorders>
              <w:top w:val="single" w:sz="8" w:color="0000EE"/>
            </w:tcBorders>
            <w:gridSpan w:val="11"/>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Income Statements (Unaudited)</w:t>
              </w:r>
            </w:hyperlink>
          </w:p>
        </w:tc>
        <w:tc>
          <w:tcPr>
            <w:tcW w:w="57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40" w:type="dxa"/>
            <w:vAlign w:val="bottom"/>
            <w:gridSpan w:val="44"/>
          </w:tcPr>
          <w:p>
            <w:pPr>
              <w:spacing w:after="0" w:line="196" w:lineRule="exact"/>
              <w:rPr>
                <w:sz w:val="20"/>
                <w:szCs w:val="20"/>
                <w:color w:val="auto"/>
              </w:rPr>
            </w:pPr>
            <w:r>
              <w:rPr>
                <w:rFonts w:ascii="Arial" w:cs="Arial" w:eastAsia="Arial" w:hAnsi="Arial"/>
                <w:sz w:val="18"/>
                <w:szCs w:val="18"/>
                <w:color w:val="0000EE"/>
              </w:rPr>
              <w:t>Condensed Consolidated Balance Sheets (Unaudited)</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40" w:type="dxa"/>
            <w:vAlign w:val="bottom"/>
            <w:gridSpan w:val="4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40" w:type="dxa"/>
            <w:vAlign w:val="bottom"/>
            <w:gridSpan w:val="4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5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22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tcBorders>
              <w:top w:val="single" w:sz="8" w:color="0000EE"/>
            </w:tcBorders>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1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Nature of Operations</w:t>
              </w:r>
            </w:hyperlink>
          </w:p>
        </w:tc>
        <w:tc>
          <w:tcPr>
            <w:tcW w:w="1280" w:type="dxa"/>
            <w:vAlign w:val="bottom"/>
            <w:tcBorders>
              <w:top w:val="single" w:sz="8" w:color="0000EE"/>
            </w:tcBorders>
            <w:gridSpan w:val="14"/>
          </w:tcPr>
          <w:p>
            <w:pPr>
              <w:spacing w:after="0"/>
              <w:rPr>
                <w:sz w:val="17"/>
                <w:szCs w:val="17"/>
                <w:color w:val="auto"/>
              </w:rPr>
            </w:pPr>
          </w:p>
        </w:tc>
        <w:tc>
          <w:tcPr>
            <w:tcW w:w="584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620" w:type="dxa"/>
            <w:vAlign w:val="bottom"/>
            <w:gridSpan w:val="4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Basis of Presentation and Recent Accounting Standards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286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Acquisition and Disposals of Businesses</w:t>
              </w:r>
            </w:hyperlink>
          </w:p>
        </w:tc>
        <w:tc>
          <w:tcPr>
            <w:tcW w:w="1060" w:type="dxa"/>
            <w:vAlign w:val="bottom"/>
            <w:tcBorders>
              <w:top w:val="single" w:sz="8" w:color="0000EE"/>
            </w:tcBorders>
            <w:gridSpan w:val="9"/>
          </w:tcPr>
          <w:p>
            <w:pPr>
              <w:spacing w:after="0"/>
              <w:rPr>
                <w:sz w:val="17"/>
                <w:szCs w:val="17"/>
                <w:color w:val="auto"/>
              </w:rPr>
            </w:pPr>
          </w:p>
        </w:tc>
        <w:tc>
          <w:tcPr>
            <w:tcW w:w="47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Marketable Securities</w:t>
              </w:r>
            </w:hyperlink>
          </w:p>
        </w:tc>
        <w:tc>
          <w:tcPr>
            <w:tcW w:w="7060" w:type="dxa"/>
            <w:vAlign w:val="bottom"/>
            <w:gridSpan w:val="2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17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Finance Receivables, net</w:t>
              </w:r>
            </w:hyperlink>
          </w:p>
        </w:tc>
        <w:tc>
          <w:tcPr>
            <w:tcW w:w="6860" w:type="dxa"/>
            <w:vAlign w:val="bottom"/>
            <w:gridSpan w:val="2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10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Securitizations</w:t>
              </w:r>
            </w:hyperlink>
          </w:p>
        </w:tc>
        <w:tc>
          <w:tcPr>
            <w:tcW w:w="7560" w:type="dxa"/>
            <w:vAlign w:val="bottom"/>
            <w:gridSpan w:val="3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Inventories</w:t>
              </w:r>
            </w:hyperlink>
          </w:p>
        </w:tc>
        <w:tc>
          <w:tcPr>
            <w:tcW w:w="7820" w:type="dxa"/>
            <w:vAlign w:val="bottom"/>
            <w:gridSpan w:val="3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62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Equity in Net Assets of Nonconsolidated Affiliates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Goodwill</w:t>
              </w:r>
            </w:hyperlink>
          </w:p>
        </w:tc>
        <w:tc>
          <w:tcPr>
            <w:tcW w:w="2900" w:type="dxa"/>
            <w:vAlign w:val="bottom"/>
            <w:tcBorders>
              <w:top w:val="single" w:sz="8" w:color="0000EE"/>
            </w:tcBorders>
            <w:gridSpan w:val="30"/>
          </w:tcPr>
          <w:p>
            <w:pPr>
              <w:spacing w:after="0"/>
              <w:rPr>
                <w:sz w:val="17"/>
                <w:szCs w:val="17"/>
                <w:color w:val="auto"/>
              </w:rPr>
            </w:pPr>
          </w:p>
        </w:tc>
        <w:tc>
          <w:tcPr>
            <w:tcW w:w="50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862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Intangible Assets, net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8620" w:type="dxa"/>
            <w:vAlign w:val="bottom"/>
            <w:gridSpan w:val="4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Variable Interest Entities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22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Depreciation and Amortization</w:t>
              </w:r>
            </w:hyperlink>
          </w:p>
        </w:tc>
        <w:tc>
          <w:tcPr>
            <w:tcW w:w="642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Debt</w:t>
              </w:r>
            </w:hyperlink>
          </w:p>
        </w:tc>
        <w:tc>
          <w:tcPr>
            <w:tcW w:w="8260" w:type="dxa"/>
            <w:vAlign w:val="bottom"/>
            <w:gridSpan w:val="3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19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Product Warranty Liability</w:t>
              </w:r>
            </w:hyperlink>
          </w:p>
        </w:tc>
        <w:tc>
          <w:tcPr>
            <w:tcW w:w="672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308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Pensions and Other Postretirement Benefits</w:t>
              </w:r>
            </w:hyperlink>
          </w:p>
        </w:tc>
        <w:tc>
          <w:tcPr>
            <w:tcW w:w="55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862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Derivative Financial Instruments and Risk 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23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Commitments and Contingencies</w:t>
              </w:r>
            </w:hyperlink>
          </w:p>
        </w:tc>
        <w:tc>
          <w:tcPr>
            <w:tcW w:w="1580" w:type="dxa"/>
            <w:vAlign w:val="bottom"/>
            <w:tcBorders>
              <w:top w:val="single" w:sz="8" w:color="0000EE"/>
            </w:tcBorders>
            <w:gridSpan w:val="14"/>
          </w:tcPr>
          <w:p>
            <w:pPr>
              <w:spacing w:after="0"/>
              <w:rPr>
                <w:sz w:val="17"/>
                <w:szCs w:val="17"/>
                <w:color w:val="auto"/>
              </w:rPr>
            </w:pPr>
          </w:p>
        </w:tc>
        <w:tc>
          <w:tcPr>
            <w:tcW w:w="468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8620" w:type="dxa"/>
            <w:vAlign w:val="bottom"/>
            <w:gridSpan w:val="4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Income Taxes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862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Fair Value Measurements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2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Restructuring and Other Initiatives</w:t>
              </w:r>
            </w:hyperlink>
          </w:p>
        </w:tc>
        <w:tc>
          <w:tcPr>
            <w:tcW w:w="61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Impairments</w:t>
              </w:r>
            </w:hyperlink>
          </w:p>
        </w:tc>
        <w:tc>
          <w:tcPr>
            <w:tcW w:w="7720" w:type="dxa"/>
            <w:vAlign w:val="bottom"/>
            <w:gridSpan w:val="3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3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Earnings Per Share</w:t>
              </w:r>
            </w:hyperlink>
          </w:p>
        </w:tc>
        <w:tc>
          <w:tcPr>
            <w:tcW w:w="7260" w:type="dxa"/>
            <w:vAlign w:val="bottom"/>
            <w:gridSpan w:val="3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Stock Incentive Plans</w:t>
              </w:r>
            </w:hyperlink>
          </w:p>
        </w:tc>
        <w:tc>
          <w:tcPr>
            <w:tcW w:w="708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862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Transactions with Ally Financial</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1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Segment Reporting</w:t>
              </w:r>
            </w:hyperlink>
          </w:p>
        </w:tc>
        <w:tc>
          <w:tcPr>
            <w:tcW w:w="920" w:type="dxa"/>
            <w:vAlign w:val="bottom"/>
            <w:tcBorders>
              <w:top w:val="single" w:sz="8" w:color="0000EE"/>
            </w:tcBorders>
            <w:gridSpan w:val="11"/>
          </w:tcPr>
          <w:p>
            <w:pPr>
              <w:spacing w:after="0"/>
              <w:rPr>
                <w:sz w:val="17"/>
                <w:szCs w:val="17"/>
                <w:color w:val="auto"/>
              </w:rPr>
            </w:pPr>
          </w:p>
        </w:tc>
        <w:tc>
          <w:tcPr>
            <w:tcW w:w="632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40" w:type="dxa"/>
            <w:vAlign w:val="bottom"/>
            <w:gridSpan w:val="4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Quantitative and Qualitative Disclosures About Market Risk</w:t>
              </w:r>
            </w:hyperlink>
          </w:p>
        </w:tc>
        <w:tc>
          <w:tcPr>
            <w:tcW w:w="34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54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w w:val="94"/>
              </w:rPr>
            </w:pPr>
            <w:hyperlink w:anchor="page105">
              <w:r>
                <w:rPr>
                  <w:rFonts w:ascii="Arial" w:cs="Arial" w:eastAsia="Arial" w:hAnsi="Arial"/>
                  <w:sz w:val="18"/>
                  <w:szCs w:val="18"/>
                  <w:b w:val="1"/>
                  <w:bCs w:val="1"/>
                  <w:color w:val="0000EE"/>
                  <w:w w:val="94"/>
                </w:rPr>
                <w:t>Part II — Other Information</w:t>
              </w:r>
            </w:hyperlink>
          </w:p>
        </w:tc>
        <w:tc>
          <w:tcPr>
            <w:tcW w:w="33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4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Legal Proceedings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06">
              <w:r>
                <w:rPr>
                  <w:rFonts w:ascii="Arial" w:cs="Arial" w:eastAsia="Arial" w:hAnsi="Arial"/>
                  <w:sz w:val="18"/>
                  <w:szCs w:val="18"/>
                  <w:color w:val="0000EE"/>
                  <w:w w:val="87"/>
                </w:rPr>
                <w:t>Risk Factors</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40" w:type="dxa"/>
            <w:vAlign w:val="bottom"/>
            <w:gridSpan w:val="4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Exhibits</w:t>
              </w:r>
            </w:hyperlink>
          </w:p>
        </w:tc>
        <w:tc>
          <w:tcPr>
            <w:tcW w:w="520" w:type="dxa"/>
            <w:vAlign w:val="bottom"/>
            <w:tcBorders>
              <w:top w:val="single" w:sz="8" w:color="0000EE"/>
            </w:tcBorders>
            <w:gridSpan w:val="3"/>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Signature</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left="315"/>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395"/>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 and revenue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Automotive sales and revenue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36,328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34,060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111,270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Total net sales and revenue</w:t>
            </w:r>
          </w:p>
        </w:tc>
        <w:tc>
          <w:tcPr>
            <w:tcW w:w="1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36,719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34,060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112,286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98,710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Automotive cost of sales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31,734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automotive expenses, net</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34,913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32,327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106,685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93,882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 charges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1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income</w:t>
            </w:r>
          </w:p>
        </w:tc>
        <w:tc>
          <w:tcPr>
            <w:tcW w:w="1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(Note 22)</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2010</w:t>
            </w:r>
          </w:p>
        </w:tc>
      </w:tr>
      <w:tr>
        <w:trPr>
          <w:trHeight w:val="129"/>
        </w:trPr>
        <w:tc>
          <w:tcPr>
            <w:tcW w:w="20" w:type="dxa"/>
            <w:vAlign w:val="bottom"/>
          </w:tcPr>
          <w:p>
            <w:pPr>
              <w:spacing w:after="0"/>
              <w:rPr>
                <w:sz w:val="11"/>
                <w:szCs w:val="11"/>
                <w:color w:val="auto"/>
              </w:rPr>
            </w:pPr>
          </w:p>
        </w:tc>
        <w:tc>
          <w:tcPr>
            <w:tcW w:w="8260" w:type="dxa"/>
            <w:vAlign w:val="bottom"/>
            <w:tcBorders>
              <w:top w:val="single" w:sz="8" w:color="CCEEFF"/>
            </w:tcBorders>
            <w:shd w:val="clear" w:color="auto" w:fill="CCEEFF"/>
          </w:tcPr>
          <w:p>
            <w:pPr>
              <w:ind w:left="3480"/>
              <w:spacing w:after="0" w:line="129" w:lineRule="exact"/>
              <w:rPr>
                <w:sz w:val="20"/>
                <w:szCs w:val="20"/>
                <w:color w:val="auto"/>
              </w:rPr>
            </w:pPr>
            <w:r>
              <w:rPr>
                <w:rFonts w:ascii="Arial" w:cs="Arial" w:eastAsia="Arial" w:hAnsi="Arial"/>
                <w:sz w:val="14"/>
                <w:szCs w:val="14"/>
                <w:b w:val="1"/>
                <w:bCs w:val="1"/>
                <w:color w:val="auto"/>
              </w:rPr>
              <w:t>ASSETS</w:t>
            </w: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20,297</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11,680</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$332 and $252)</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10,512</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15,220</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2,834</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64,010</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7,534</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21,556</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28,605</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10,498</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3,969</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2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72,162</w:t>
            </w: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74,913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Assets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136,172</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127,966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SPEs of $8,433 and $7,156)</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Other assets (including leased assets, net transferred to SPEs of $101 and $0)</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1,005</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Assets</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12,325</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10,932</w:t>
            </w:r>
          </w:p>
        </w:tc>
        <w:tc>
          <w:tcPr>
            <w:tcW w:w="60" w:type="dxa"/>
            <w:vAlign w:val="bottom"/>
            <w:shd w:val="clear" w:color="auto" w:fill="CCEEFF"/>
          </w:tcPr>
          <w:p>
            <w:pPr>
              <w:spacing w:after="0"/>
              <w:rPr>
                <w:sz w:val="12"/>
                <w:szCs w:val="12"/>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148,497</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60" w:type="dxa"/>
            <w:vAlign w:val="bottom"/>
            <w:shd w:val="clear" w:color="auto" w:fill="CCEEFF"/>
          </w:tcPr>
          <w:p>
            <w:pPr>
              <w:ind w:left="2860"/>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25,646</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260" w:type="dxa"/>
            <w:vAlign w:val="bottom"/>
          </w:tcPr>
          <w:p>
            <w:pPr>
              <w:ind w:left="200"/>
              <w:spacing w:after="0" w:line="138" w:lineRule="exact"/>
              <w:rPr>
                <w:sz w:val="20"/>
                <w:szCs w:val="20"/>
                <w:color w:val="auto"/>
              </w:rPr>
            </w:pPr>
            <w:r>
              <w:rPr>
                <w:rFonts w:ascii="Arial" w:cs="Arial" w:eastAsia="Arial" w:hAnsi="Arial"/>
                <w:sz w:val="14"/>
                <w:szCs w:val="14"/>
                <w:color w:val="auto"/>
              </w:rPr>
              <w:t>Short-term debt and current portion of long-term debt (including certain debt at</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260" w:type="dxa"/>
            <w:vAlign w:val="bottom"/>
          </w:tcPr>
          <w:p>
            <w:pPr>
              <w:ind w:left="420"/>
              <w:spacing w:after="0" w:line="159" w:lineRule="exact"/>
              <w:rPr>
                <w:sz w:val="20"/>
                <w:szCs w:val="20"/>
                <w:color w:val="auto"/>
              </w:rPr>
            </w:pPr>
            <w:r>
              <w:rPr>
                <w:rFonts w:ascii="Arial" w:cs="Arial" w:eastAsia="Arial" w:hAnsi="Arial"/>
                <w:sz w:val="14"/>
                <w:szCs w:val="14"/>
                <w:color w:val="auto"/>
              </w:rPr>
              <w:t>GM Korea of $130 and $70; Note 11)</w:t>
            </w:r>
          </w:p>
        </w:tc>
        <w:tc>
          <w:tcPr>
            <w:tcW w:w="3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1,543</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1,616</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$63 and $111; Note 11)</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24,559</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51,748</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47,157</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 Note 11)</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2,667</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Pensions</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18,684</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12,684</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2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42,877</w:t>
            </w: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47,223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Liabilities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94,625</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Securitization notes payable (Note 13)</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6,902</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2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Liabilities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8,256</w:t>
            </w: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7,359</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102,881</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101,739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Series A (276,101,695 shares issued and outstanding (each with a $25.00 liquidation preference) at September 30, 2011 and</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December 31, 2010)</w:t>
            </w: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5,536</w:t>
            </w:r>
          </w:p>
        </w:tc>
        <w:tc>
          <w:tcPr>
            <w:tcW w:w="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5,536</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8260" w:type="dxa"/>
            <w:vAlign w:val="bottom"/>
          </w:tcPr>
          <w:p>
            <w:pPr>
              <w:ind w:left="200"/>
              <w:spacing w:after="0" w:line="138" w:lineRule="exact"/>
              <w:rPr>
                <w:sz w:val="20"/>
                <w:szCs w:val="20"/>
                <w:color w:val="auto"/>
              </w:rPr>
            </w:pPr>
            <w:r>
              <w:rPr>
                <w:rFonts w:ascii="Arial" w:cs="Arial" w:eastAsia="Arial" w:hAnsi="Arial"/>
                <w:sz w:val="14"/>
                <w:szCs w:val="14"/>
                <w:color w:val="auto"/>
              </w:rPr>
              <w:t>Series B (100,000,000 shares issued and outstanding (each with a $50.00 liquidation preference) at September 30, 2011 and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260" w:type="dxa"/>
            <w:vAlign w:val="bottom"/>
          </w:tcPr>
          <w:p>
            <w:pPr>
              <w:ind w:left="420"/>
              <w:spacing w:after="0" w:line="159" w:lineRule="exact"/>
              <w:rPr>
                <w:sz w:val="20"/>
                <w:szCs w:val="20"/>
                <w:color w:val="auto"/>
              </w:rPr>
            </w:pPr>
            <w:r>
              <w:rPr>
                <w:rFonts w:ascii="Arial" w:cs="Arial" w:eastAsia="Arial" w:hAnsi="Arial"/>
                <w:sz w:val="14"/>
                <w:szCs w:val="14"/>
                <w:color w:val="auto"/>
              </w:rPr>
              <w:t>December 31, 2010)</w:t>
            </w:r>
          </w:p>
        </w:tc>
        <w:tc>
          <w:tcPr>
            <w:tcW w:w="3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4,855</w:t>
            </w: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4,855</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8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Common stock, $0.01 par value (5,000,000,000 shares authorized, 1,564,366,673 shares issued and outstanding at September 30, 2011</w:t>
            </w: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1,500,136,998 shares issued and outstanding at December 31, 2010)</w:t>
            </w: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26,330</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6,595</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1,412</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44,744</w:t>
            </w: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6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872</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45,616</w:t>
            </w:r>
          </w:p>
        </w:tc>
        <w:tc>
          <w:tcPr>
            <w:tcW w:w="8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60" w:type="dxa"/>
            <w:vAlign w:val="bottom"/>
            <w:shd w:val="clear" w:color="auto" w:fill="CCEEFF"/>
          </w:tcPr>
          <w:p>
            <w:pPr>
              <w:spacing w:after="0"/>
              <w:rPr>
                <w:sz w:val="12"/>
                <w:szCs w:val="12"/>
                <w:color w:val="auto"/>
              </w:rPr>
            </w:pPr>
          </w:p>
        </w:tc>
      </w:tr>
      <w:tr>
        <w:trPr>
          <w:trHeight w:val="156"/>
        </w:trPr>
        <w:tc>
          <w:tcPr>
            <w:tcW w:w="8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148,497</w:t>
            </w:r>
          </w:p>
        </w:tc>
        <w:tc>
          <w:tcPr>
            <w:tcW w:w="860" w:type="dxa"/>
            <w:vAlign w:val="bottom"/>
          </w:tcPr>
          <w:p>
            <w:pPr>
              <w:spacing w:after="0"/>
              <w:rPr>
                <w:sz w:val="13"/>
                <w:szCs w:val="13"/>
                <w:color w:val="auto"/>
              </w:rPr>
            </w:pP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Common Stockholders’</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Series A</w:t>
            </w: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Preferred</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Capital</w:t>
            </w: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Stock</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4"/>
              </w:rPr>
              <w:t>Surplus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2009</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$ 24,040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(4,394)</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1,588</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$21,957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5,031</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 hedging losses, net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securities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Defined benefit plans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640"/>
              <w:spacing w:after="0" w:line="149" w:lineRule="exact"/>
              <w:rPr>
                <w:sz w:val="20"/>
                <w:szCs w:val="20"/>
                <w:color w:val="auto"/>
              </w:rPr>
            </w:pPr>
            <w:r>
              <w:rPr>
                <w:rFonts w:ascii="Arial" w:cs="Arial" w:eastAsia="Arial" w:hAnsi="Arial"/>
                <w:sz w:val="14"/>
                <w:szCs w:val="14"/>
                <w:color w:val="auto"/>
              </w:rPr>
              <w:t>Net prior service cost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actuarial loss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tcPr>
          <w:p>
            <w:pPr>
              <w:ind w:left="4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(2,661)</w:t>
            </w: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(2,659)</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w w:val="94"/>
              </w:rPr>
              <w:t>Effects of adoption of amendments to ASC 810-10 regarding</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ind w:left="200"/>
              <w:spacing w:after="0" w:line="159" w:lineRule="exact"/>
              <w:rPr>
                <w:sz w:val="20"/>
                <w:szCs w:val="20"/>
                <w:color w:val="auto"/>
              </w:rPr>
            </w:pPr>
            <w:r>
              <w:rPr>
                <w:rFonts w:ascii="Arial" w:cs="Arial" w:eastAsia="Arial" w:hAnsi="Arial"/>
                <w:sz w:val="14"/>
                <w:szCs w:val="14"/>
                <w:color w:val="auto"/>
              </w:rPr>
              <w:t>variable interest entities</w:t>
            </w: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paid on Series A Preferred Stock</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Dividends declared or paid to noncontrolling interests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noncontrolling interest shares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$ 24,041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23,718</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5,536</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4,855</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w w:val="80"/>
              </w:rPr>
              <w:t>$ 24,257</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266</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1,251</w:t>
            </w: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979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0"/>
              <w:spacing w:after="0" w:line="143" w:lineRule="exact"/>
              <w:rPr>
                <w:sz w:val="20"/>
                <w:szCs w:val="20"/>
                <w:color w:val="auto"/>
              </w:rPr>
            </w:pPr>
            <w:r>
              <w:rPr>
                <w:rFonts w:ascii="Arial" w:cs="Arial" w:eastAsia="Arial" w:hAnsi="Arial"/>
                <w:sz w:val="14"/>
                <w:szCs w:val="14"/>
                <w:color w:val="auto"/>
              </w:rPr>
              <w:t>$37,159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Effect of adoption of amendments in ASU 2010-28 regarding</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goodwill impairment (Notes 2 and 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(1,466)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8,540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 hedging gains, net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 on securities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Defined benefit plans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640"/>
              <w:spacing w:after="0" w:line="149" w:lineRule="exact"/>
              <w:rPr>
                <w:sz w:val="20"/>
                <w:szCs w:val="20"/>
                <w:color w:val="auto"/>
              </w:rPr>
            </w:pPr>
            <w:r>
              <w:rPr>
                <w:rFonts w:ascii="Arial" w:cs="Arial" w:eastAsia="Arial" w:hAnsi="Arial"/>
                <w:sz w:val="14"/>
                <w:szCs w:val="14"/>
                <w:color w:val="auto"/>
              </w:rPr>
              <w:t>Net prior service credit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266</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actuarial gain</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420"/>
              <w:spacing w:after="0" w:line="149" w:lineRule="exact"/>
              <w:rPr>
                <w:sz w:val="20"/>
                <w:szCs w:val="20"/>
                <w:color w:val="auto"/>
              </w:rPr>
            </w:pPr>
            <w:r>
              <w:rPr>
                <w:rFonts w:ascii="Arial" w:cs="Arial" w:eastAsia="Arial" w:hAnsi="Arial"/>
                <w:sz w:val="14"/>
                <w:szCs w:val="14"/>
                <w:color w:val="auto"/>
              </w:rPr>
              <w:t>Sale of interest in nonconsolidated affiliate</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ind w:left="640"/>
              <w:spacing w:after="0" w:line="155"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8,699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 of noncontrolling interest shares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Pension plan stock contribution (Note 15)</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Cumulative dividends on Series A and Series B Preferred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(670)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Dividends declared or paid to noncontrolling interests</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noncontrolling interest shares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$ 26,330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6,595</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 Automotive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GM Financial</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Expenditures for property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acquisitions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(16,349)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acquisitions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liquidations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liquidations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Acquisition of companies, net of cash acquired</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 liquidations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Proceeds from sale of business units/investments, net of cash distributed</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 and marketable securities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Decrease in restricted cash and marketable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 — Automotive</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(4,962)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receivables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Principal collections and recoveries on receivables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leased vehicles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 GM Financial</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Net increase (decrease) in short-term debt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to acquire noncontrolling interest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 — Automotive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(5,688)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 — GM Financial</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(7,949)</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 — GM Financial</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transactions with Automotive</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 — GM Financial</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 — GM Financial</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 — GM Financial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 — Automotive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Net transactions with GM Financial</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 — Automotive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Cash and cash equivalents reclassified as assets held for sale — Automotive</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 — Automotive</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21,061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 — Automotive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20,297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On July 10, 2009 in connection with the 363 Sale relating to Old GM’s Chapter 11 bankruptcy proceedings, General Motors Corporation changed its name to Motors Liquidation Company, which is sometimes referred to in this Quarterly Report on Form 10-Q for the periods after July 10, 2009 as “MLC.” MLC continues to exist as a distinct legal entity for the sole purpose of liquidating its remaining assets and liabilities.</w:t>
      </w:r>
    </w:p>
    <w:p>
      <w:pPr>
        <w:spacing w:after="0" w:line="116"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We design, build and sell cars, trucks and parts worldwide. We also conduct finance operations through General Motors Financial Company, Inc. (GM Financial). These financing operations consist principally of financing automobile purchases and leases for retail customers.</w:t>
      </w:r>
    </w:p>
    <w:p>
      <w:pPr>
        <w:spacing w:after="0" w:line="85"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own a 9.9% equity interest in Ally Financial, which is accounted for as a cost method investment because we are not able to exercise significant influence. Ally Financial provides a broad range of financial services, including consumer vehicle financing, automotive dealership and other commercial financing, residential mortgage services and automobile service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17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2010 (2010 Form 10-K) as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The condensed consolidated financial statements include our accounts and those of our subsidiaries that we control due to ownership of a majority voting interest. We continually evaluate our involvement with variable interest entities (VIEs) to determine whether we have variable interests and are the primary beneficiary of the VIE. When this criteria is met, we consolidate the VIE. Our share of earnings or losses of nonconsolidated affiliates is included in our consolidated operating results using the equity method of accounting when we are able to exercise significant influence over the operating and financial decisions of the nonconsolidated affiliate. We use the cost method of accounting if we are not able to exercise significant influence over the operating and financial decisions of the nonconsolidated affiliate. All intercompany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77"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The assets and liabilities of GM Financial, our automotive finance operations, are presented on a non-classified basis. The amounts presented for GM Financial have been adjusted to include the effect of our tax attributes on GM Financial’s deferred tax positions and provision for income taxes since the date of acquisition,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Statements Conformed to Current Period Presentation</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the three and nine months ended September 30,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to conform to our current presentation. The effects of these reclassifications increased Automotive cost of sales and Interest income and other non-operating income, net by $119 million in the three months ended September 30, 2010, and decreased Automotive cost of sales and Interest income and other non-operating income, net by $68 million in the nine months ended September 30,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8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in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16" w:lineRule="exact"/>
        <w:rPr>
          <w:sz w:val="20"/>
          <w:szCs w:val="20"/>
          <w:color w:val="auto"/>
        </w:rPr>
      </w:pPr>
    </w:p>
    <w:p>
      <w:pPr>
        <w:jc w:val="both"/>
        <w:ind w:right="26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has affected results of operations in 2011 because our Venezuelan subsidiaries no longer realize gains that result from favorable foreign currency exchanges processed by CADIVI at the essential rate for the requests submitted subsequent to the devaluation date.</w:t>
      </w:r>
    </w:p>
    <w:p>
      <w:pPr>
        <w:spacing w:after="0" w:line="143"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The following tables provide financial information for our Venezuelan subsidiaries at September 30, 2011 and December 31, 2010 and for the three and nine months ended September 30, 2011 and 2010 which include amounts receivable from and payable to, and transactions with, affiliated entities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automotive assets (a)</w:t>
            </w:r>
          </w:p>
        </w:tc>
        <w:tc>
          <w:tcPr>
            <w:tcW w:w="4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 automotive liabilities (b)</w:t>
            </w:r>
          </w:p>
        </w:tc>
        <w:tc>
          <w:tcPr>
            <w:tcW w:w="464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868</w:t>
            </w:r>
          </w:p>
        </w:tc>
        <w:tc>
          <w:tcPr>
            <w:tcW w:w="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r>
      <w:tr>
        <w:trPr>
          <w:trHeight w:val="356"/>
        </w:trPr>
        <w:tc>
          <w:tcPr>
            <w:tcW w:w="3900" w:type="dxa"/>
            <w:vAlign w:val="bottom"/>
          </w:tcPr>
          <w:p>
            <w:pPr>
              <w:spacing w:after="0"/>
              <w:rPr>
                <w:sz w:val="24"/>
                <w:szCs w:val="24"/>
                <w:color w:val="auto"/>
              </w:rPr>
            </w:pPr>
          </w:p>
        </w:tc>
        <w:tc>
          <w:tcPr>
            <w:tcW w:w="4240" w:type="dxa"/>
            <w:vAlign w:val="bottom"/>
          </w:tcPr>
          <w:p>
            <w:pPr>
              <w:jc w:val="right"/>
              <w:ind w:right="229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left="266"/>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400" w:type="dxa"/>
            <w:vAlign w:val="bottom"/>
          </w:tcPr>
          <w:p>
            <w:pPr>
              <w:spacing w:after="0"/>
              <w:rPr>
                <w:sz w:val="12"/>
                <w:szCs w:val="12"/>
                <w:color w:val="auto"/>
              </w:rPr>
            </w:pPr>
          </w:p>
        </w:tc>
        <w:tc>
          <w:tcPr>
            <w:tcW w:w="40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8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347</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1,207</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$ 789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Net income attributable to stockholders (c)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8"/>
              </w:rPr>
              <w:t>$ 244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assets of $300 million and $538 million at September 30, 2011 and $393 million and $527 million at December 31, 2010.</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liabilities of $533 million and $335 million at September 30, 2011 and $661 million and $324 million at December 31, 2010.</w:t>
      </w:r>
    </w:p>
    <w:p>
      <w:pPr>
        <w:spacing w:after="0" w:line="50"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 gain of $119 million related to the devaluation of the BsF in January 2010 and gains of $82 million and $207 million due to favorable foreign currency exchanges that were processed by CADIVI in the three and nine months ended September 30, 2010. The $119 million gain on the devaluation was offset by a $144 million loss recorded in the U.S. on BsF denominated assets, which is not included in the Net income attributable to stockholders reported above. Included in the three and nine months ended September 30, 2011 are gains of $0 million and $5 million related to favorable foreign currency exchanges that were processed by CADIVI. The gains in the three and nine months ended September 30, 2011 are related to requests for foreign currency exchanges submitted to CADIVI prior to the devaluation effective January 1, 2011.</w:t>
      </w:r>
    </w:p>
    <w:p>
      <w:pPr>
        <w:spacing w:after="0" w:line="120"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The total amount pending government approval for settlement at September 30, 2011 and December 31, 2010 was BsF 2.1 billion (equivalent to $495 million) and BsF 1.9 billion (equivalent to $432 million), for which some requests have been pending from 2007. The amounts outstanding at September 30, 2011 and December 31, 2010 include payables to affiliated entities of $324 million and $263 million, each of which include dividends payable of $144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171" w:lineRule="exact"/>
        <w:rPr>
          <w:sz w:val="20"/>
          <w:szCs w:val="20"/>
          <w:color w:val="auto"/>
        </w:rPr>
      </w:pPr>
    </w:p>
    <w:p>
      <w:pPr>
        <w:ind w:right="460" w:firstLine="228"/>
        <w:spacing w:after="0" w:line="259" w:lineRule="auto"/>
        <w:rPr>
          <w:sz w:val="20"/>
          <w:szCs w:val="20"/>
          <w:color w:val="auto"/>
        </w:rPr>
      </w:pPr>
      <w:r>
        <w:rPr>
          <w:rFonts w:ascii="Arial" w:cs="Arial" w:eastAsia="Arial" w:hAnsi="Arial"/>
          <w:sz w:val="18"/>
          <w:szCs w:val="18"/>
          <w:color w:val="auto"/>
        </w:rPr>
        <w:t>The following table summarizes the amounts accrued for property expenditures at September 30, 2011 and 2010. These amounts are excluded from Expenditures for property within the investing activities section of the condensed consolidated statements of cash flows because no cash has been expended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r>
      <w:tr>
        <w:trPr>
          <w:trHeight w:val="210"/>
        </w:trPr>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expenditures for property</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Cash Flows</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The following table summarizes the amounts of common stock contributed to our U.S. hourly and salaried pension plans for the nine months ended September 30, 2011 and 2010. These amounts are excluded from the financing activities section of the condensed consolidated statements of cash flows because no cash has been expended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96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8"/>
              </w:rPr>
              <w:t>Nine Months</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8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600" w:type="dxa"/>
            <w:vAlign w:val="bottom"/>
          </w:tcPr>
          <w:p>
            <w:pPr>
              <w:spacing w:after="0"/>
              <w:rPr>
                <w:sz w:val="12"/>
                <w:szCs w:val="12"/>
                <w:color w:val="auto"/>
              </w:rPr>
            </w:pPr>
          </w:p>
        </w:tc>
        <w:tc>
          <w:tcPr>
            <w:tcW w:w="196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September</w:t>
            </w: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w:t>
            </w:r>
          </w:p>
        </w:tc>
      </w:tr>
      <w:tr>
        <w:trPr>
          <w:trHeight w:val="161"/>
        </w:trPr>
        <w:tc>
          <w:tcPr>
            <w:tcW w:w="8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4"/>
              </w:rPr>
              <w:t>30, 2011</w:t>
            </w: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4"/>
              </w:rPr>
              <w:t>30, 2010</w:t>
            </w:r>
          </w:p>
        </w:tc>
        <w:tc>
          <w:tcPr>
            <w:tcW w:w="100" w:type="dxa"/>
            <w:vAlign w:val="bottom"/>
            <w:tcBorders>
              <w:bottom w:val="single" w:sz="8" w:color="CCEEFF"/>
            </w:tcBorders>
          </w:tcPr>
          <w:p>
            <w:pPr>
              <w:spacing w:after="0"/>
              <w:rPr>
                <w:sz w:val="14"/>
                <w:szCs w:val="14"/>
                <w:color w:val="auto"/>
              </w:rPr>
            </w:pPr>
          </w:p>
        </w:tc>
      </w:tr>
      <w:tr>
        <w:trPr>
          <w:trHeight w:val="210"/>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Contribution of common stock to U.S. hourly and salaried pension plans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15 for additional information on the common stock contributed to our U.S. hourly and salaried pension plans.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Force</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On September 28, 2011 the 2011 GM-UAW Labor Agreement (Labor Agreement), which is a collectively bargained labor agreement between us and the International Union, United Automobile, Aerospace and Agriculture Implement Workers of America (UAW), was ratified. The Labor Agreement is effective for a four year term expiring in September 2015. The Labor Agreement includes lump sum payments in lieu of wage increases of $5,000 per employee in October 2011 and $1,000 per employee in June of 2012, 2013, and 2014. These lump sum payments will be amortized over the four year Labor Agreement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In September 2009 the Financial Accounting Standards Board (FASB) issued Accounting Standard Update (ASU) 2009-13, “Multiple-Deliverable Revenue Arrangements” (ASU 2009-13). ASU 2009-13 addresses the unit of accounting for multiple-element arrangements. ASU 2009-13 revises the method by which consideration is allocated among the units of accounting. Specifically, the overall consideration is allocated to each deliverable by establishing a selling price for individual deliverables based on a hierarchy of evidence, involving vendor-specific objective evidence, other third party evidence of the selling price or the reporting entity’s best estimate of the selling price of individual deliverables in the arrangement. ASU 2009-13 was effective prospectively for revenue arrangements entered into or materially modified in fiscal years beginning on or after June 15, 2010. The adoption of ASU 2009-13 did not have a material effect on the condensed consolidated financial statements.</w:t>
      </w:r>
    </w:p>
    <w:p>
      <w:pPr>
        <w:spacing w:after="0" w:line="118"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In December 2010 the FASB issued ASU 2010-28, “Intangibles — Goodwill and Other: When to Perform Step 2 of the Goodwill Impairment Test for Reporting Units with Zero or Negative Carrying Amounts” (ASU 2010-28). The amendments in ASU 2010-28 modify Step 1 of the goodwill impairment test for reporting units with zero or negative carrying amounts. For those reporting units, an entity is required to perform Step 2 of the goodwill impairment test if it is more likely than not that a goodwill impairment exists. Any resulting goodwill impairment is recorded as a cumulative-effect adjustment to beginning Retained earnings at the date of adoption with future impairments recorded to earnings. Refer to Note 9 for additional information on the adoption of ASU 2010-28 and its effect on the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In May 2011 the FASB issued ASU 2011-04, “Fair Value Measurement: Amendments to Achieve Common Fair Value Measurement and Disclosure Requirements in U.S. GAAP and IFRSs” (ASU 2011-04). Key provisions of the amendments in ASU 2011-04 include: (1) a prohibition on grouping financial instruments for purposes of determining fair value, except in limited cases; (2) an extension of the prohibition against the use of a blockage factor to all fair value measurements; and (3) a requirement that for recurring Level 3 fair value measurements, entities disclose quantitative information about unobservable inputs, a description of the valuation process used and qualitative details about the sensitivity of the measurements. For items not carried at fair value but for which fair value is disclosed, entities will be required to disclose the level within the fair value hierarchy that applies to the fair value measurement disclosed. This ASU is effective for interim and annual periods beginning after December 15, 2011. The adoption of ASU 2011-04 is not expected to have a significant effect on our fair value measurements utilized and the related disclosures within the condensed consolidated financial statements.</w:t>
      </w:r>
    </w:p>
    <w:p>
      <w:pPr>
        <w:spacing w:after="0" w:line="118"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In September 2011 the FASB issued ASU 2011-08, “Testing Goodwill for Impairment” (ASU 2011-08). Under the revised guidance, entities testing for goodwill impairment have an option of performing a qualitative assessment before calculating the fair value for the reporting unit, i.e., Step 1 of the goodwill impairment test. If an entity determines, on a basis of qualitative factors, that the fair value of the reporting unit is more likely than not less than the carrying amount, the first step of the two-step impairment test would be required. If it is not more likely than not that the fair value of the reporting unit is less than the carrying value, then goodwill is not considered to be impaired. ASU 2011-08 does not change how goodwill is calculated or assigned to reporting units, nor does it revise the requirement to test goodwill at least annually for impairment. This ASU is effective for interim and annual periods beginning after December 15, 2011 with early adoption permitted. We adopted ASU 2011-08 effective October 1, 2011. The adoption of this ASU is not expected to have a significant effect on the conclusion reached during our annual or interim goodwill impairment assessments.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right="2240" w:firstLine="2247"/>
        <w:spacing w:after="0" w:line="430" w:lineRule="auto"/>
        <w:rPr>
          <w:sz w:val="20"/>
          <w:szCs w:val="20"/>
          <w:color w:val="auto"/>
        </w:rPr>
      </w:pPr>
      <w:r>
        <w:rPr>
          <w:rFonts w:ascii="Arial" w:cs="Arial" w:eastAsia="Arial" w:hAnsi="Arial"/>
          <w:sz w:val="18"/>
          <w:szCs w:val="18"/>
          <w:b w:val="1"/>
          <w:bCs w:val="1"/>
          <w:color w:val="auto"/>
        </w:rPr>
        <w:t>NOTES TO CONDENSED CONSOLIDATED FINANCIAL STATEMENTS — (Continued) Note 3. Acquisition and Disposals of Businesses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177"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In March 2011 we completed the acquisition of an additional 6.9% interest in GM Korea Company, formerly GM Daewoo Auto &amp; Technology Co. (GM Korea) for a cash purchase price of $100 million. The transaction was accounted for as an equity transaction as we retain the controlling financial interest in GM Korea. As a result of this transaction we reduced our equity attributable to Noncontrolling interests by $134 million and our Accumulated other comprehensive income by $7 million, and increased our Capital surplus by $41 million. After completing this transaction, we now own 77.0% of the outstanding shares of GM Korea.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Sale</w:t>
      </w:r>
    </w:p>
    <w:p>
      <w:pPr>
        <w:spacing w:after="0" w:line="177"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In February 2010 we completed the sale of Saab Automobile AB (Saab) and in May 2010 we completed the sale of Saab Automobile GB to Spyker Cars NV. Of the negotiated cash purchase price of $74 million, we received $50 million at closing and received the remaining $24 million in July 2010. We also received preference shares in Saab with a face value of $326 million and an estimated fair value that is insignificant and received $114 million as repayment of the debtor-in-possession financing that we provided to Saab during 2009. In the three months ended March 31, 2010 we recorded a gain of $123 million in Interest income and other non-operating income,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 Financial</w:t>
      </w:r>
    </w:p>
    <w:p>
      <w:pPr>
        <w:spacing w:after="0" w:line="177"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In October 2010 we acquired 100% of the outstanding equity interests of GM Financial (formerly AmeriCredit Corp.), an automotive finance company, for cash of $3.5 billion. The results of GM Financial are included in our results beginning October 1, 2010. The following table summarizes the actual amounts of revenue and earnings of GM Financial included in our condensed consolidated financial statements for the three and nine months ended September 30, 2011 and the supplemental pro forma revenue and earnings of the combined entity for the three and nine months ended September 30, 2010 as if the acquisition had occurred on January 1, 2010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GM Financial Amounts</w:t>
            </w: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Included In Results For</w:t>
            </w:r>
          </w:p>
        </w:tc>
        <w:tc>
          <w:tcPr>
            <w:tcW w:w="62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Pro Forma-Combined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9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5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8"/>
              </w:rPr>
              <w:t>Ended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80" w:type="dxa"/>
            <w:vAlign w:val="bottom"/>
          </w:tcPr>
          <w:p>
            <w:pPr>
              <w:spacing w:after="0"/>
              <w:rPr>
                <w:sz w:val="12"/>
                <w:szCs w:val="12"/>
                <w:color w:val="auto"/>
              </w:rPr>
            </w:pPr>
          </w:p>
        </w:tc>
        <w:tc>
          <w:tcPr>
            <w:tcW w:w="182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38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3"/>
              </w:rPr>
              <w:t>2011</w:t>
            </w:r>
          </w:p>
        </w:tc>
        <w:tc>
          <w:tcPr>
            <w:tcW w:w="9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3"/>
              </w:rPr>
              <w:t>2011</w:t>
            </w: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364"/>
              <w:spacing w:after="0"/>
              <w:rPr>
                <w:sz w:val="20"/>
                <w:szCs w:val="20"/>
                <w:color w:val="auto"/>
              </w:rPr>
            </w:pPr>
            <w:r>
              <w:rPr>
                <w:rFonts w:ascii="Arial" w:cs="Arial" w:eastAsia="Arial" w:hAnsi="Arial"/>
                <w:sz w:val="18"/>
                <w:szCs w:val="18"/>
                <w:color w:val="auto"/>
                <w:w w:val="86"/>
              </w:rPr>
              <w:t>391</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99,772</w:t>
            </w:r>
          </w:p>
        </w:tc>
        <w:tc>
          <w:tcPr>
            <w:tcW w:w="100" w:type="dxa"/>
            <w:vAlign w:val="bottom"/>
            <w:shd w:val="clear" w:color="auto" w:fill="CCEEFF"/>
          </w:tcPr>
          <w:p>
            <w:pPr>
              <w:spacing w:after="0"/>
              <w:rPr>
                <w:sz w:val="18"/>
                <w:szCs w:val="18"/>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12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364"/>
              <w:spacing w:after="0"/>
              <w:rPr>
                <w:sz w:val="20"/>
                <w:szCs w:val="20"/>
                <w:color w:val="auto"/>
              </w:rPr>
            </w:pPr>
            <w:r>
              <w:rPr>
                <w:rFonts w:ascii="Arial" w:cs="Arial" w:eastAsia="Arial" w:hAnsi="Arial"/>
                <w:sz w:val="18"/>
                <w:szCs w:val="18"/>
                <w:color w:val="auto"/>
                <w:w w:val="86"/>
              </w:rPr>
              <w:t>110</w:t>
            </w:r>
          </w:p>
        </w:tc>
        <w:tc>
          <w:tcPr>
            <w:tcW w:w="118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2,340</w:t>
            </w:r>
          </w:p>
        </w:tc>
        <w:tc>
          <w:tcPr>
            <w:tcW w:w="6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r>
      <w:tr>
        <w:trPr>
          <w:trHeight w:val="356"/>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ind w:left="344"/>
              <w:spacing w:after="0"/>
              <w:rPr>
                <w:sz w:val="20"/>
                <w:szCs w:val="20"/>
                <w:color w:val="auto"/>
              </w:rPr>
            </w:pPr>
            <w:r>
              <w:rPr>
                <w:rFonts w:ascii="Arial" w:cs="Arial" w:eastAsia="Arial" w:hAnsi="Arial"/>
                <w:sz w:val="18"/>
                <w:szCs w:val="18"/>
                <w:color w:val="auto"/>
                <w:w w:val="79"/>
              </w:rPr>
              <w:t>9</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5"/>
              </w:rPr>
              <w:t>September 30,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Gains</w:t>
            </w:r>
          </w:p>
        </w:tc>
        <w:tc>
          <w:tcPr>
            <w:tcW w:w="280" w:type="dxa"/>
            <w:vAlign w:val="bottom"/>
          </w:tcPr>
          <w:p>
            <w:pPr>
              <w:spacing w:after="0"/>
              <w:rPr>
                <w:sz w:val="12"/>
                <w:szCs w:val="12"/>
                <w:color w:val="auto"/>
              </w:rPr>
            </w:pP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Value</w:t>
            </w: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5,149</w:t>
            </w:r>
          </w:p>
        </w:tc>
        <w:tc>
          <w:tcPr>
            <w:tcW w:w="50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11,412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11,409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trading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11,698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11,680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maintained $94 million and $89 million of the above trading securities as compensating balances to support letters of credit of $78 million and $74 million at September 30, 2011 and December 31, 2010. We have access to these securities in the normal course of business; however, the letters of credit may be withdrawn if the minimum collateral balance is not maintained.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securities classified as Cash and cash equivalents and restricted cash and marketable securities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Securities classified as cash and cash equivalents</w:t>
            </w:r>
          </w:p>
        </w:tc>
        <w:tc>
          <w:tcPr>
            <w:tcW w:w="1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14,971</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Securities classified as restricted cash and marketable securities (a)</w:t>
            </w:r>
          </w:p>
        </w:tc>
        <w:tc>
          <w:tcPr>
            <w:tcW w:w="21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1,540</w:t>
            </w:r>
          </w:p>
        </w:tc>
        <w:tc>
          <w:tcPr>
            <w:tcW w:w="8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classified as restricted cash and marketable securities are recorded in Other current assets and deferred income taxes and Other assets and deferred income taxes.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19 for classes of securities underlying Cash and cash equivalents and restricted cash and marketable securities.</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summarizes proceeds from and realized gains and losses on disposals of investments in marketable securities classified as available-for-sale and sold prior to maturity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Nine Months Ended</w:t>
            </w:r>
          </w:p>
        </w:tc>
      </w:tr>
      <w:tr>
        <w:trPr>
          <w:trHeight w:val="161"/>
        </w:trPr>
        <w:tc>
          <w:tcPr>
            <w:tcW w:w="3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 proceeds</w:t>
            </w:r>
          </w:p>
        </w:tc>
        <w:tc>
          <w:tcPr>
            <w:tcW w:w="4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964</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Realized gains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3360" w:type="dxa"/>
            <w:vAlign w:val="bottom"/>
          </w:tcPr>
          <w:p>
            <w:pPr>
              <w:spacing w:after="0"/>
              <w:rPr>
                <w:sz w:val="24"/>
                <w:szCs w:val="24"/>
                <w:color w:val="auto"/>
              </w:rPr>
            </w:pPr>
          </w:p>
        </w:tc>
        <w:tc>
          <w:tcPr>
            <w:tcW w:w="4340" w:type="dxa"/>
            <w:vAlign w:val="bottom"/>
          </w:tcPr>
          <w:p>
            <w:pPr>
              <w:jc w:val="right"/>
              <w:ind w:right="18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following table summarizes the fair value of investments classified as available-for-sale securities by contractual maturity at September 30, 2011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Amortized Cost</w:t>
            </w:r>
          </w:p>
        </w:tc>
        <w:tc>
          <w:tcPr>
            <w:tcW w:w="500" w:type="dxa"/>
            <w:vAlign w:val="bottom"/>
          </w:tcPr>
          <w:p>
            <w:pPr>
              <w:spacing w:after="0"/>
              <w:rPr>
                <w:sz w:val="14"/>
                <w:szCs w:val="14"/>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maturities of available-for-sale debt securities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$ 11,409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Finance Receivables, net</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The following table summarizes the components of Finance receivables, net (dollars in millions):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84"/>
              </w:rPr>
              <w:t>September 30, 2011</w:t>
            </w:r>
          </w:p>
        </w:tc>
        <w:tc>
          <w:tcPr>
            <w:tcW w:w="6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Pre-acquisition finance receivables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Post-acquisition finance receivables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9,438</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Accretable yield</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non-accretable discount on pre-acquisition finance 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(452)</w:t>
            </w: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Less allowance for loan losses on post-acquisition receivables</w:t>
            </w:r>
          </w:p>
        </w:tc>
        <w:tc>
          <w:tcPr>
            <w:tcW w:w="100" w:type="dxa"/>
            <w:vAlign w:val="bottom"/>
          </w:tcPr>
          <w:p>
            <w:pPr>
              <w:spacing w:after="0"/>
              <w:rPr>
                <w:sz w:val="18"/>
                <w:szCs w:val="18"/>
                <w:color w:val="auto"/>
              </w:rPr>
            </w:pPr>
          </w:p>
        </w:tc>
        <w:tc>
          <w:tcPr>
            <w:tcW w:w="1320" w:type="dxa"/>
            <w:vAlign w:val="bottom"/>
            <w:gridSpan w:val="3"/>
          </w:tcPr>
          <w:p>
            <w:pPr>
              <w:jc w:val="right"/>
              <w:ind w:right="168"/>
              <w:spacing w:after="0"/>
              <w:rPr>
                <w:sz w:val="20"/>
                <w:szCs w:val="20"/>
                <w:color w:val="auto"/>
              </w:rPr>
            </w:pPr>
            <w:r>
              <w:rPr>
                <w:rFonts w:ascii="Arial" w:cs="Arial" w:eastAsia="Arial" w:hAnsi="Arial"/>
                <w:sz w:val="18"/>
                <w:szCs w:val="18"/>
                <w:color w:val="auto"/>
              </w:rPr>
              <w:t>(151)</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receivables,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8,918</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220"/>
              <w:spacing w:after="0"/>
              <w:rPr>
                <w:sz w:val="20"/>
                <w:szCs w:val="20"/>
                <w:color w:val="auto"/>
              </w:rPr>
            </w:pPr>
            <w:r>
              <w:rPr>
                <w:rFonts w:ascii="Arial" w:cs="Arial" w:eastAsia="Arial" w:hAnsi="Arial"/>
                <w:sz w:val="18"/>
                <w:szCs w:val="18"/>
                <w:color w:val="auto"/>
              </w:rPr>
              <w:t>The following table summarizes activity for finance receivables (dollars in millions):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w w:val="89"/>
              </w:rPr>
              <w:t>Three Months</w:t>
            </w:r>
          </w:p>
        </w:tc>
        <w:tc>
          <w:tcPr>
            <w:tcW w:w="680" w:type="dxa"/>
            <w:vAlign w:val="bottom"/>
          </w:tcPr>
          <w:p>
            <w:pPr>
              <w:spacing w:after="0"/>
              <w:rPr>
                <w:sz w:val="24"/>
                <w:szCs w:val="2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ind w:right="628"/>
              <w:spacing w:after="0" w:line="149" w:lineRule="exact"/>
              <w:rPr>
                <w:sz w:val="20"/>
                <w:szCs w:val="20"/>
                <w:color w:val="auto"/>
              </w:rPr>
            </w:pPr>
            <w:r>
              <w:rPr>
                <w:rFonts w:ascii="Arial" w:cs="Arial" w:eastAsia="Arial" w:hAnsi="Arial"/>
                <w:sz w:val="14"/>
                <w:szCs w:val="14"/>
                <w:b w:val="1"/>
                <w:bCs w:val="1"/>
                <w:color w:val="auto"/>
              </w:rPr>
              <w:t>Ended</w:t>
            </w:r>
          </w:p>
        </w:tc>
        <w:tc>
          <w:tcPr>
            <w:tcW w:w="680" w:type="dxa"/>
            <w:vAlign w:val="bottom"/>
          </w:tcPr>
          <w:p>
            <w:pPr>
              <w:spacing w:after="0"/>
              <w:rPr>
                <w:sz w:val="12"/>
                <w:szCs w:val="12"/>
                <w:color w:val="auto"/>
              </w:rPr>
            </w:pPr>
          </w:p>
        </w:tc>
        <w:tc>
          <w:tcPr>
            <w:tcW w:w="12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2011</w:t>
            </w:r>
          </w:p>
        </w:tc>
        <w:tc>
          <w:tcPr>
            <w:tcW w:w="68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0"/>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Loans purchased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Principal collections and other</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Finance contracts are purchased by GM Financial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40"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September 30, 2011 and December 31, 2010 the accrual of finance charge income has been suspended on delinquent finance receivables of $448 million and $491 million.</w:t>
      </w:r>
    </w:p>
    <w:p>
      <w:pPr>
        <w:spacing w:after="0" w:line="132"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In the nine months ended September 30, 2011 improvement in the performance of the pre-acquisition portfolio indicated that the non-accretable discount exceeded expected future credit losses by $197 million. In the nine months ended September 30, 2011 GM Financial transferred this excess non-accretable discount as an offset to the accretable yield. GM Financial will recognize this excess as finance charge income over the remaining life of the portfolio.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activity for the accretable yield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Amortization of accretable yield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non-accretable discount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1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220"/>
              <w:spacing w:after="0"/>
              <w:rPr>
                <w:sz w:val="20"/>
                <w:szCs w:val="20"/>
                <w:color w:val="auto"/>
              </w:rPr>
            </w:pPr>
            <w:r>
              <w:rPr>
                <w:rFonts w:ascii="Arial" w:cs="Arial" w:eastAsia="Arial" w:hAnsi="Arial"/>
                <w:sz w:val="18"/>
                <w:szCs w:val="18"/>
                <w:color w:val="auto"/>
                <w:w w:val="94"/>
              </w:rPr>
              <w:t>The following table summarizes activity for non-accretable pre-acquisition discount (dollars in millions):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2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Transfer to accretable yield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activity for the allowance for post-acquisition loan losses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1"/>
              </w:rPr>
              <w:t>Three Months</w:t>
            </w: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right"/>
              <w:ind w:right="150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2011</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9"/>
                <w:szCs w:val="19"/>
                <w:color w:val="auto"/>
              </w:rPr>
            </w:pPr>
          </w:p>
        </w:tc>
        <w:tc>
          <w:tcPr>
            <w:tcW w:w="2140" w:type="dxa"/>
            <w:vAlign w:val="bottom"/>
            <w:gridSpan w:val="2"/>
          </w:tcPr>
          <w:p>
            <w:pPr>
              <w:jc w:val="right"/>
              <w:ind w:right="10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7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FICO score less than 540</w:t>
            </w:r>
          </w:p>
        </w:tc>
        <w:tc>
          <w:tcPr>
            <w:tcW w:w="4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FICO score 540 to 599</w:t>
            </w:r>
          </w:p>
        </w:tc>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4,008</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FICO score 600 to 659</w:t>
            </w:r>
          </w:p>
        </w:tc>
        <w:tc>
          <w:tcPr>
            <w:tcW w:w="4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2,658</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FICO score 660 and greater</w:t>
            </w:r>
          </w:p>
        </w:tc>
        <w:tc>
          <w:tcPr>
            <w:tcW w:w="4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4740" w:type="dxa"/>
            <w:vAlign w:val="bottom"/>
            <w:gridSpan w:val="2"/>
            <w:shd w:val="clear" w:color="auto" w:fill="CCEEFF"/>
          </w:tcPr>
          <w:p>
            <w:pPr>
              <w:ind w:left="4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9,438</w:t>
            </w: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340" w:type="dxa"/>
            <w:vAlign w:val="bottom"/>
            <w:vMerge w:val="restart"/>
          </w:tcPr>
          <w:p>
            <w:pPr>
              <w:jc w:val="right"/>
              <w:ind w:right="2252"/>
              <w:spacing w:after="0"/>
              <w:rPr>
                <w:sz w:val="20"/>
                <w:szCs w:val="20"/>
                <w:color w:val="auto"/>
              </w:rPr>
            </w:pPr>
            <w:r>
              <w:rPr>
                <w:rFonts w:ascii="Arial" w:cs="Arial" w:eastAsia="Arial" w:hAnsi="Arial"/>
                <w:sz w:val="18"/>
                <w:szCs w:val="18"/>
                <w:color w:val="auto"/>
              </w:rPr>
              <w:t>12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Delinquency</w:t>
      </w:r>
    </w:p>
    <w:p>
      <w:pPr>
        <w:spacing w:after="0" w:line="17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following table summarizes finance receivables more than 30 days delinquent, but not yet in repossession, and in repossession, but not yet charged-off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7"/>
              </w:rPr>
              <w:t>September 30, 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7"/>
              </w:rPr>
              <w:t>December 31, 2010</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Delinquent contracts</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31 to 60 days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441</w:t>
            </w:r>
          </w:p>
        </w:tc>
        <w:tc>
          <w:tcPr>
            <w:tcW w:w="4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Greater-than-60 days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Total finance receivables more than 30 days delinquent</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606</w:t>
            </w:r>
          </w:p>
        </w:tc>
        <w:tc>
          <w:tcPr>
            <w:tcW w:w="4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 repossession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Total finance receivables more than 30 days delinquent and in repossession</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640</w:t>
            </w:r>
          </w:p>
        </w:tc>
        <w:tc>
          <w:tcPr>
            <w:tcW w:w="4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775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Delinquencies may vary from period to period based upon the average age of the portfolio, seasonality within the calendar year and economic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p>
      <w:pPr>
        <w:spacing w:after="0" w:line="17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Three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52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5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Receivables securitized</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proceeds from securitizations</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900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Servicing fees (a)</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Distributions from trusts</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203</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flows received for the servicing of securitizations consolidated as VIEs are a component of GM Financial revenue.</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GM Financial retains servicing responsibilities for receivables transferred to certain SPEs. At September 30, 2011 and December 31, 2010 GM Financial serviced finance receivables that have been transferred to certain SPEs of $7.9 billion and $7.2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30, 2011 a Canadian subsidiary of GM Financial serviced leased assets of $1.0 billion for a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Productive material, work in process and supplies</w:t>
            </w:r>
          </w:p>
        </w:tc>
        <w:tc>
          <w:tcPr>
            <w:tcW w:w="3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8,476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402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15,220</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60" w:type="dxa"/>
            <w:vAlign w:val="bottom"/>
            <w:vMerge w:val="restart"/>
          </w:tcPr>
          <w:p>
            <w:pPr>
              <w:jc w:val="right"/>
              <w:ind w:right="2332"/>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Equity income, net of tax and gain on disposal of investments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Three Months Ended</w:t>
            </w:r>
          </w:p>
        </w:tc>
        <w:tc>
          <w:tcPr>
            <w:tcW w:w="152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China JVs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New Delphi (including gain on disposition)</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500" w:type="dxa"/>
            <w:vAlign w:val="bottom"/>
          </w:tcPr>
          <w:p>
            <w:pPr>
              <w:jc w:val="right"/>
              <w:spacing w:after="0"/>
              <w:rPr>
                <w:sz w:val="20"/>
                <w:szCs w:val="20"/>
                <w:color w:val="auto"/>
              </w:rPr>
            </w:pPr>
            <w:r>
              <w:rPr>
                <w:rFonts w:ascii="Arial" w:cs="Arial" w:eastAsia="Arial" w:hAnsi="Arial"/>
                <w:sz w:val="18"/>
                <w:szCs w:val="18"/>
                <w:color w:val="auto"/>
              </w:rPr>
              <w:t>1,727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351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2,903</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17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net of tax and gain on disposal of investments. Our existing supply contracts with New Delphi were not affected by this transaction.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Investment in HKJV</w:t>
      </w:r>
    </w:p>
    <w:p>
      <w:pPr>
        <w:spacing w:after="0" w:line="171"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(GM India), part of our GMIO segment to HKJV, in exchange for a promissory note due in 2013. The amount due under the promissory note may be partially reduced, or increased, based on GM India’s cumulative earnings before interest and taxes (EBIT) for the three year period ending December 31, 2012. In connection with the sale we recorded net consideration of $185 million and an insignificant gain. The sale transaction resulted in a loss of control and the deconsolidation of GM India in February 2010. Accordingly, we removed the assets and liabilities of GM India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recorded a corresponding liability to reflect our obligation to provide additional capital.</w:t>
      </w:r>
    </w:p>
    <w:p>
      <w:pPr>
        <w:spacing w:after="0" w:line="120"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March 2011 there was a change in the local tax regulations which significantly extended the period of time over which GM India will receive certain value added tax based investment incentives. The delay in recovery of these incentives significantly affected GM India’s cash flow and EBIT forecasts, resulting in a decrease in the fair value of HKJV. The fair value of our investment in HKJV at March 31, 2011 was determined to be $112 million compared to a carrying amount of $151 million. The loss in value was considered to be other than temporary and, therefore, we recorded an impairment charge of $39 million in the three months ended March 31, 2011. In addition, we recorded other charges totaling $67 million related to our investment in the HKJV in the three months ended March 31,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VMM Deconsolidation</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June 2011 we entered into a new shareholder agreement with Fiat Powertrain Technologies SPA related to VM Motori (VMM) in Italy. Prior to the new shareholder agreement, we controlled VMM and consolidated VMM’s assets, liabilities and results of operations. Under the new shareholder agreement, we retain 50% ownership but no longer have control. Accordingly, we removed the assets and liabilities of VMM, which included allocated goodwill of $36 million from our GME reporting unit, from our consolidated financial statements and recorded an equity interest in the amount of $46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380" w:type="dxa"/>
            <w:vAlign w:val="bottom"/>
            <w:gridSpan w:val="4"/>
          </w:tcPr>
          <w:p>
            <w:pPr>
              <w:ind w:left="1080"/>
              <w:spacing w:after="0"/>
              <w:rPr>
                <w:sz w:val="20"/>
                <w:szCs w:val="20"/>
                <w:color w:val="auto"/>
              </w:rPr>
            </w:pPr>
            <w:r>
              <w:rPr>
                <w:rFonts w:ascii="Arial" w:cs="Arial" w:eastAsia="Arial" w:hAnsi="Arial"/>
                <w:sz w:val="14"/>
                <w:szCs w:val="14"/>
                <w:b w:val="1"/>
                <w:bCs w:val="1"/>
                <w:color w:val="auto"/>
              </w:rPr>
              <w:t>Ownership Interest</w:t>
            </w:r>
          </w:p>
        </w:tc>
      </w:tr>
      <w:tr>
        <w:trPr>
          <w:trHeight w:val="142"/>
        </w:trPr>
        <w:tc>
          <w:tcPr>
            <w:tcW w:w="8040" w:type="dxa"/>
            <w:vAlign w:val="bottom"/>
          </w:tcPr>
          <w:p>
            <w:pPr>
              <w:spacing w:after="0"/>
              <w:rPr>
                <w:sz w:val="12"/>
                <w:szCs w:val="12"/>
                <w:color w:val="auto"/>
              </w:rPr>
            </w:pPr>
          </w:p>
        </w:tc>
        <w:tc>
          <w:tcPr>
            <w:tcW w:w="2160" w:type="dxa"/>
            <w:vAlign w:val="bottom"/>
            <w:tcBorders>
              <w:top w:val="single" w:sz="8" w:color="auto"/>
            </w:tcBorders>
            <w:gridSpan w:val="2"/>
          </w:tcPr>
          <w:p>
            <w:pPr>
              <w:jc w:val="right"/>
              <w:ind w:right="1040"/>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100" w:type="dxa"/>
            <w:vAlign w:val="bottom"/>
          </w:tcPr>
          <w:p>
            <w:pPr>
              <w:spacing w:after="0"/>
              <w:rPr>
                <w:sz w:val="12"/>
                <w:szCs w:val="12"/>
                <w:color w:val="auto"/>
              </w:rPr>
            </w:pP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Shanghai General Motors Co. Ltd. (SGM) (a)</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GM (Shenyang) Norsom Motor Co., Ltd. (SGM Norsom)</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Shanghai GM Dong Yue Motors Co., Ltd. (SGM DY)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GM Dong Yue Powertrain (SGM DYPT)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SAIC-GM-Wuling Automobile Co., Ltd. (SGMW)</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FAW-GM Light Duty Commercial Vehicle, Ltd. (FAW-GM)</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Pan Asia Technical Automotive Center Co., Ltd. (PATAC)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OnStar Telematics Co., Ltd. (Shanghai OnStar)</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Ownership interest in SGM was 49% in the period February 1, 2010 through September 30, 2010 and 50% in the month of January 2010.</w:t>
      </w:r>
    </w:p>
    <w:p>
      <w:pPr>
        <w:spacing w:after="0" w:line="171"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Sales and income of our China JVs are not consolidated in our financial statements; rather, our proportionate share of the earnings of each joint venture is reflected as Equity income, net of tax and gain on disposal of investments.</w:t>
      </w:r>
    </w:p>
    <w:p>
      <w:pPr>
        <w:spacing w:after="0" w:line="13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SGM is a joint venture established in 1997 by Shanghai Automotive Industry Corporation (SAIC) (51%) and us (49%). SGM has interests in three other joint ventures in China — SGM Norsom, SGM DY and SGM DYPT. These three joint ventures are jointly held by SGM (50%), SAIC (25%) and us (25%). These four joint ventures are engaged in the production, import, and sale of a comprehensive range of products under the brands of Buick, Chevrolet and Cadillac. SGM also has interests in Shanghai OnStar (20%) and Shanghai Chengxin Used Car (33%).</w:t>
      </w:r>
    </w:p>
    <w:p>
      <w:pPr>
        <w:spacing w:after="0" w:line="143" w:lineRule="exact"/>
        <w:rPr>
          <w:sz w:val="20"/>
          <w:szCs w:val="20"/>
          <w:color w:val="auto"/>
        </w:rPr>
      </w:pPr>
    </w:p>
    <w:p>
      <w:pPr>
        <w:ind w:right="320" w:firstLine="228"/>
        <w:spacing w:after="0" w:line="255" w:lineRule="auto"/>
        <w:rPr>
          <w:sz w:val="20"/>
          <w:szCs w:val="20"/>
          <w:color w:val="auto"/>
        </w:rPr>
      </w:pPr>
      <w:r>
        <w:rPr>
          <w:rFonts w:ascii="Arial" w:cs="Arial" w:eastAsia="Arial" w:hAnsi="Arial"/>
          <w:sz w:val="18"/>
          <w:szCs w:val="18"/>
          <w:color w:val="auto"/>
        </w:rPr>
        <w:t>In February 2010 we sold a 1% ownership interest in SGM to SAIC-HK, reducing our ownership interest to 49%. The sale of the 1% ownership interest to SAIC was predicated on our ability to work with SAIC to obtain a $400 million line of credit from a commercial bank to us. We also received a call option to repurchase the 1% which is contingently 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w:t>
      </w:r>
    </w:p>
    <w:p>
      <w:pPr>
        <w:spacing w:after="0" w:line="143"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November 2010 we purchased an additional 10% interest in SGMW from the Liuzhou Wuling Motors Co., Ltd. and Liuzhou Mini Vehicles Factory, collectively the Wuling Group, for cash of $52 million plus an agreement to provide technical services to the Wuling Group for a period of three years. As a result of this transaction, we own 44%, SAIC owns 50.1% and certain Liuzhou investors own 5.9% of the outstanding stock of SGMW.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parts, and we purchase component parts and vehicles from certain nonconsolidated affiliates for resale to dealers. The following tables summarize the effects of transactions with nonconsolidated affiliates, which are not eliminated in consolidation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Results of Operations</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Automotive sales and revenue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6"/>
          </w:tcPr>
          <w:p>
            <w:pPr>
              <w:jc w:val="right"/>
              <w:ind w:right="337"/>
              <w:spacing w:after="0"/>
              <w:rPr>
                <w:sz w:val="20"/>
                <w:szCs w:val="20"/>
                <w:color w:val="auto"/>
              </w:rPr>
            </w:pPr>
            <w:r>
              <w:rPr>
                <w:rFonts w:ascii="Arial" w:cs="Arial" w:eastAsia="Arial" w:hAnsi="Arial"/>
                <w:sz w:val="18"/>
                <w:szCs w:val="18"/>
                <w:color w:val="auto"/>
              </w:rPr>
              <w:t>$  757</w:t>
            </w:r>
          </w:p>
        </w:tc>
        <w:tc>
          <w:tcPr>
            <w:tcW w:w="6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7"/>
          </w:tcPr>
          <w:p>
            <w:pPr>
              <w:jc w:val="right"/>
              <w:ind w:right="92"/>
              <w:spacing w:after="0"/>
              <w:rPr>
                <w:sz w:val="20"/>
                <w:szCs w:val="20"/>
                <w:color w:val="auto"/>
              </w:rPr>
            </w:pPr>
            <w:r>
              <w:rPr>
                <w:rFonts w:ascii="Arial" w:cs="Arial" w:eastAsia="Arial" w:hAnsi="Arial"/>
                <w:sz w:val="18"/>
                <w:szCs w:val="18"/>
                <w:color w:val="auto"/>
                <w:w w:val="99"/>
              </w:rPr>
              <w:t>$ 2,444</w:t>
            </w:r>
          </w:p>
        </w:tc>
        <w:tc>
          <w:tcPr>
            <w:tcW w:w="3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$ 2,093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Automotive purchases,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37"/>
              <w:spacing w:after="0"/>
              <w:rPr>
                <w:sz w:val="20"/>
                <w:szCs w:val="20"/>
                <w:color w:val="auto"/>
              </w:rPr>
            </w:pPr>
            <w:r>
              <w:rPr>
                <w:rFonts w:ascii="Arial" w:cs="Arial" w:eastAsia="Arial" w:hAnsi="Arial"/>
                <w:sz w:val="18"/>
                <w:szCs w:val="18"/>
                <w:color w:val="auto"/>
                <w:w w:val="89"/>
              </w:rPr>
              <w:t>31</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6"/>
              </w:rPr>
              <w:t>861</w:t>
            </w: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$ 2,411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3"/>
          </w:tcPr>
          <w:p>
            <w:pPr>
              <w:jc w:val="right"/>
              <w:ind w:right="337"/>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37"/>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Automotive interest income and other non-operating income, net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20" w:type="dxa"/>
            <w:vAlign w:val="bottom"/>
            <w:gridSpan w:val="3"/>
          </w:tcPr>
          <w:p>
            <w:pPr>
              <w:jc w:val="right"/>
              <w:ind w:right="337"/>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gridSpan w:val="3"/>
          </w:tcPr>
          <w:p>
            <w:pPr>
              <w:jc w:val="right"/>
              <w:ind w:right="9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10"/>
          </w:tcPr>
          <w:p>
            <w:pPr>
              <w:spacing w:after="0"/>
              <w:rPr>
                <w:sz w:val="20"/>
                <w:szCs w:val="20"/>
                <w:color w:val="auto"/>
              </w:rPr>
            </w:pPr>
            <w:r>
              <w:rPr>
                <w:rFonts w:ascii="Arial" w:cs="Arial" w:eastAsia="Arial" w:hAnsi="Arial"/>
                <w:sz w:val="14"/>
                <w:szCs w:val="14"/>
                <w:b w:val="1"/>
                <w:bCs w:val="1"/>
                <w:color w:val="auto"/>
              </w:rPr>
              <w:t>September 30, 2011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Position</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747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revenue and customer deposits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jc w:val="center"/>
              <w:ind w:left="39"/>
              <w:spacing w:after="0"/>
              <w:rPr>
                <w:sz w:val="20"/>
                <w:szCs w:val="20"/>
                <w:color w:val="auto"/>
              </w:rPr>
            </w:pPr>
            <w:r>
              <w:rPr>
                <w:rFonts w:ascii="Arial" w:cs="Arial" w:eastAsia="Arial" w:hAnsi="Arial"/>
                <w:sz w:val="14"/>
                <w:szCs w:val="14"/>
                <w:b w:val="1"/>
                <w:bCs w:val="1"/>
                <w:color w:val="auto"/>
                <w:w w:val="90"/>
              </w:rPr>
              <w:t>Nine Months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4"/>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3"/>
              </w:rPr>
              <w:t>$ 2,761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3"/>
          </w:tcPr>
          <w:p>
            <w:pPr>
              <w:jc w:val="right"/>
              <w:ind w:right="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Note 9. Goodwill</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500" w:type="dxa"/>
            <w:vAlign w:val="bottom"/>
            <w:gridSpan w:val="6"/>
          </w:tcPr>
          <w:p>
            <w:pPr>
              <w:jc w:val="right"/>
              <w:ind w:right="120"/>
              <w:spacing w:after="0"/>
              <w:rPr>
                <w:sz w:val="20"/>
                <w:szCs w:val="20"/>
                <w:color w:val="auto"/>
              </w:rPr>
            </w:pPr>
            <w:r>
              <w:rPr>
                <w:rFonts w:ascii="Arial" w:cs="Arial" w:eastAsia="Arial" w:hAnsi="Arial"/>
                <w:sz w:val="18"/>
                <w:szCs w:val="18"/>
                <w:color w:val="auto"/>
                <w:w w:val="93"/>
              </w:rPr>
              <w:t>The following table summarizes the changes in the carrying amount of Goodwill (dollars in millions):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GMNA</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GME</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GMIO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GMSA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w w:val="96"/>
              </w:rPr>
              <w:t>Automotive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5"/>
              </w:rPr>
              <w:t>Financial</w:t>
            </w:r>
          </w:p>
        </w:tc>
        <w:tc>
          <w:tcPr>
            <w:tcW w:w="100" w:type="dxa"/>
            <w:vAlign w:val="bottom"/>
          </w:tcPr>
          <w:p>
            <w:pPr>
              <w:spacing w:after="0"/>
              <w:rPr>
                <w:sz w:val="14"/>
                <w:szCs w:val="14"/>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26,394</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$ 3,053</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4"/>
              </w:rPr>
              <w:t>$ 901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$ 1,265</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$31,778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Effect of adoption of ASU 2010-28</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w:t>
            </w: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Deconsolidation of entity (a)</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26,395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$ 1,194</w:t>
            </w: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$ 863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80" w:type="dxa"/>
            <w:vAlign w:val="bottom"/>
            <w:shd w:val="clear" w:color="auto" w:fill="CCEEFF"/>
          </w:tcPr>
          <w:p>
            <w:pPr>
              <w:spacing w:after="0"/>
              <w:rPr>
                <w:sz w:val="18"/>
                <w:szCs w:val="18"/>
                <w:color w:val="auto"/>
              </w:rPr>
            </w:pPr>
          </w:p>
        </w:tc>
        <w:tc>
          <w:tcPr>
            <w:tcW w:w="7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$ 1,278</w:t>
            </w: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Accumulated impairment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$(1,861)</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(1,861)</w:t>
            </w:r>
          </w:p>
        </w:tc>
        <w:tc>
          <w:tcPr>
            <w:tcW w:w="340" w:type="dxa"/>
            <w:vAlign w:val="bottom"/>
            <w:gridSpan w:val="4"/>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w:t>
            </w: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w w:val="80"/>
              </w:rPr>
              <w:t>$ (1,861)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5060" w:hanging="5612"/>
        <w:spacing w:after="0" w:line="525" w:lineRule="auto"/>
        <w:tabs>
          <w:tab w:leader="none" w:pos="44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Note 8 for additional information concerning the deconsolidation of VMM.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adopted the provisions of ASU 2010-28 on January 1, 2011. GME had a negative carrying amount and despite the fair value of GME’s equity being greater than its carrying amount, we performed Step 2 of the goodwill impairment testing analysis. The adoption of ASU 2010-28 resulted in the recognition of a cumulative-effect adjustment to beginning Retained earnings of $1.5 billion for our GME reporting unit. GME continued to have a negative carrying amount and because it was more likely than not further goodwill impairment existed at March 31, 2011, an impairment charge of $395 million was recorded in Goodwill impairment charges in the three months ended March 31, 2011. Refer to Note 2 for additional information on ASU 2010-28.</w:t>
      </w:r>
    </w:p>
    <w:p>
      <w:pPr>
        <w:spacing w:after="0" w:line="116"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 valuation methodologies utilized to perform our goodwill impairment testing for GME were consistent with those used in our application of fresh-start reporting on July 10, 2009, as discussed in Note 2 to our consolidated financial statements contained in our 2010 Form 10-K, and in our 2010 annual goodwill impairment testing at October 1, 2010. The fair value measures used in our analyses were Level 3 measures. Because the fair value of goodwill can be measured only as a residual amount and cannot be determined directly, we calculated GME’s implied goodwill in the same manner that goodwill is recognized in a business combination pursuant to Accounting Standards Codification (ASC) 805 “Business Combinations.”</w:t>
      </w:r>
    </w:p>
    <w:p>
      <w:pPr>
        <w:spacing w:after="0" w:line="116" w:lineRule="exact"/>
        <w:rPr>
          <w:sz w:val="20"/>
          <w:szCs w:val="20"/>
          <w:color w:val="auto"/>
        </w:rPr>
      </w:pPr>
    </w:p>
    <w:p>
      <w:pPr>
        <w:ind w:right="20" w:firstLine="228"/>
        <w:spacing w:after="0" w:line="302" w:lineRule="auto"/>
        <w:rPr>
          <w:sz w:val="20"/>
          <w:szCs w:val="20"/>
          <w:color w:val="auto"/>
        </w:rPr>
      </w:pPr>
      <w:r>
        <w:rPr>
          <w:rFonts w:ascii="Arial" w:cs="Arial" w:eastAsia="Arial" w:hAnsi="Arial"/>
          <w:sz w:val="15"/>
          <w:szCs w:val="15"/>
          <w:color w:val="auto"/>
        </w:rPr>
        <w:t>In performing our Step 2 analyses, we utilized a discounted cash flow methodology to estimate the fair values of GME at January 1, 2011 and March 31, 2011. These fair value estimates utilized a weighted-average cost of capital of 17.0% and 16.5% at January 1, 2011 and March 31, 2011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GME of 6.6% in 2011 increasing to industry sales of</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22.0 million vehicles and a 7.4%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application of fresh-start reporting.</w:t>
      </w:r>
    </w:p>
    <w:p>
      <w:pPr>
        <w:spacing w:after="0" w:line="145"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Our Step 2 analyses indicated GME’s implied goodwill was less than its recorded goodwill; therefore, goodwill was adjusted at January 1, 2011 and March 31, 2011. The adjustments to goodwill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high quality corporate bond rates utilized to measure our employee benefit plan obligations since January 1, 2011; and (3) a decrease in credit spreads between high quality corporate bond rates and market interest rates for companies with similar nonperformance risk.</w:t>
      </w:r>
    </w:p>
    <w:p>
      <w:pPr>
        <w:spacing w:after="0" w:line="120" w:lineRule="exact"/>
        <w:rPr>
          <w:sz w:val="20"/>
          <w:szCs w:val="20"/>
          <w:color w:val="auto"/>
        </w:rPr>
      </w:pPr>
    </w:p>
    <w:p>
      <w:pPr>
        <w:ind w:right="80" w:firstLine="228"/>
        <w:spacing w:after="0" w:line="307" w:lineRule="auto"/>
        <w:rPr>
          <w:sz w:val="20"/>
          <w:szCs w:val="20"/>
          <w:color w:val="auto"/>
        </w:rPr>
      </w:pPr>
      <w:r>
        <w:rPr>
          <w:rFonts w:ascii="Arial" w:cs="Arial" w:eastAsia="Arial" w:hAnsi="Arial"/>
          <w:sz w:val="15"/>
          <w:szCs w:val="15"/>
          <w:color w:val="auto"/>
        </w:rPr>
        <w:t>Future goodwill impairments could occur within GME should the fair-value-to-U.S. GAAP differences decrease, GME continues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could decrease upon an improvement in our credit rating and would decrease upon a decrease in credit spreads between high quality corporate bond rates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and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We believe future goodwill impairment charges could occur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 Though our credit rating improved during the three months ended September 30, 2011, the fair-value-to-U.S. GAAP differences noted above did not decrease because credit spreads between high quality corporate bonds and market interest rates widened. As such, it was not more likely than not that further goodwill impairment existed at September 30, 2011. Therefore, no impairment charge was recorded during the three months ended September 30, 2011.</w:t>
      </w:r>
    </w:p>
    <w:p>
      <w:pPr>
        <w:spacing w:after="0" w:line="120"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During the three months ended September 30, 2011 our market capitalization (including the fair value of our preferred stock and warrants) declined and at times it approximated our recorded Total equity. Despite the decline, we do not believe it is more likely than not that the fair values of our reporting units have decreased below their book values. Should the recent economic uncertainty continue, our equity price decline on a sustained basis, global economies enter into another recession and industry growth stagnates, or should we release deferred tax asset valuation allowances in certain international tax jurisdictions which could occur in the near future if additional positive evidence becomes available, the fair value of one or more of our reporting units may decrease below its book value, and future goodwill impairments that may be material could be recognized.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September 30,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and intellectual property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Brands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5,439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Dealer network and customer relationships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Favorable contracts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Total amortizing intangible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10,323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15,907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Nonamortizing in-process 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16,074</w:t>
            </w:r>
          </w:p>
        </w:tc>
        <w:tc>
          <w:tcPr>
            <w:tcW w:w="3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10,498</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16,082</w:t>
            </w:r>
          </w:p>
        </w:tc>
        <w:tc>
          <w:tcPr>
            <w:tcW w:w="4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660" w:type="dxa"/>
            <w:vAlign w:val="bottom"/>
          </w:tcPr>
          <w:p>
            <w:pPr>
              <w:spacing w:after="0"/>
              <w:rPr>
                <w:sz w:val="14"/>
                <w:szCs w:val="14"/>
                <w:color w:val="auto"/>
              </w:rPr>
            </w:pPr>
          </w:p>
        </w:tc>
        <w:tc>
          <w:tcPr>
            <w:tcW w:w="20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66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 related to intangible assets, net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604</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$ 1,391</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$ 2,007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00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300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r>
      <w:tr>
        <w:trPr>
          <w:trHeight w:val="210"/>
        </w:trPr>
        <w:tc>
          <w:tcPr>
            <w:tcW w:w="3000" w:type="dxa"/>
            <w:vAlign w:val="bottom"/>
            <w:tcBorders>
              <w:top w:val="single" w:sz="8" w:color="CCEEFF"/>
            </w:tcBorders>
            <w:shd w:val="clear" w:color="auto" w:fill="CCEEFF"/>
          </w:tcPr>
          <w:p>
            <w:pPr>
              <w:jc w:val="right"/>
              <w:ind w:right="2552"/>
              <w:spacing w:after="0" w:line="202" w:lineRule="exact"/>
              <w:rPr>
                <w:sz w:val="20"/>
                <w:szCs w:val="20"/>
                <w:color w:val="auto"/>
              </w:rPr>
            </w:pPr>
            <w:r>
              <w:rPr>
                <w:rFonts w:ascii="Arial" w:cs="Arial" w:eastAsia="Arial" w:hAnsi="Arial"/>
                <w:sz w:val="18"/>
                <w:szCs w:val="18"/>
                <w:color w:val="auto"/>
                <w:w w:val="84"/>
              </w:rPr>
              <w:t>2012</w:t>
            </w:r>
          </w:p>
        </w:tc>
        <w:tc>
          <w:tcPr>
            <w:tcW w:w="7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jc w:val="right"/>
              <w:ind w:right="2552"/>
              <w:spacing w:after="0"/>
              <w:rPr>
                <w:sz w:val="20"/>
                <w:szCs w:val="20"/>
                <w:color w:val="auto"/>
              </w:rPr>
            </w:pPr>
            <w:r>
              <w:rPr>
                <w:rFonts w:ascii="Arial" w:cs="Arial" w:eastAsia="Arial" w:hAnsi="Arial"/>
                <w:sz w:val="18"/>
                <w:szCs w:val="18"/>
                <w:color w:val="auto"/>
                <w:w w:val="84"/>
              </w:rPr>
              <w:t>2013</w:t>
            </w:r>
          </w:p>
        </w:tc>
        <w:tc>
          <w:tcPr>
            <w:tcW w:w="7640" w:type="dxa"/>
            <w:vAlign w:val="bottom"/>
            <w:gridSpan w:val="2"/>
          </w:tcPr>
          <w:p>
            <w:pPr>
              <w:ind w:left="75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w w:val="84"/>
              </w:rPr>
              <w:t>2014</w:t>
            </w:r>
          </w:p>
        </w:tc>
        <w:tc>
          <w:tcPr>
            <w:tcW w:w="7640" w:type="dxa"/>
            <w:vAlign w:val="bottom"/>
            <w:gridSpan w:val="2"/>
            <w:shd w:val="clear" w:color="auto" w:fill="CCEEFF"/>
          </w:tcPr>
          <w:p>
            <w:pPr>
              <w:ind w:left="75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jc w:val="right"/>
              <w:ind w:right="2552"/>
              <w:spacing w:after="0"/>
              <w:rPr>
                <w:sz w:val="20"/>
                <w:szCs w:val="20"/>
                <w:color w:val="auto"/>
              </w:rPr>
            </w:pPr>
            <w:r>
              <w:rPr>
                <w:rFonts w:ascii="Arial" w:cs="Arial" w:eastAsia="Arial" w:hAnsi="Arial"/>
                <w:sz w:val="18"/>
                <w:szCs w:val="18"/>
                <w:color w:val="auto"/>
                <w:w w:val="84"/>
              </w:rPr>
              <w:t>2015</w:t>
            </w:r>
          </w:p>
        </w:tc>
        <w:tc>
          <w:tcPr>
            <w:tcW w:w="7640" w:type="dxa"/>
            <w:vAlign w:val="bottom"/>
            <w:gridSpan w:val="2"/>
          </w:tcPr>
          <w:p>
            <w:pPr>
              <w:ind w:left="75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jc w:val="right"/>
              <w:ind w:right="2552"/>
              <w:spacing w:after="0"/>
              <w:rPr>
                <w:sz w:val="20"/>
                <w:szCs w:val="20"/>
                <w:color w:val="auto"/>
              </w:rPr>
            </w:pPr>
            <w:r>
              <w:rPr>
                <w:rFonts w:ascii="Arial" w:cs="Arial" w:eastAsia="Arial" w:hAnsi="Arial"/>
                <w:sz w:val="18"/>
                <w:szCs w:val="18"/>
                <w:color w:val="auto"/>
                <w:w w:val="84"/>
              </w:rPr>
              <w:t>2016</w:t>
            </w:r>
          </w:p>
        </w:tc>
        <w:tc>
          <w:tcPr>
            <w:tcW w:w="7640" w:type="dxa"/>
            <w:vAlign w:val="bottom"/>
            <w:gridSpan w:val="2"/>
            <w:shd w:val="clear" w:color="auto" w:fill="CCEEFF"/>
          </w:tcPr>
          <w:p>
            <w:pPr>
              <w:ind w:left="75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363"/>
        </w:trPr>
        <w:tc>
          <w:tcPr>
            <w:tcW w:w="3000" w:type="dxa"/>
            <w:vAlign w:val="bottom"/>
          </w:tcPr>
          <w:p>
            <w:pPr>
              <w:spacing w:after="0"/>
              <w:rPr>
                <w:sz w:val="24"/>
                <w:szCs w:val="24"/>
                <w:color w:val="auto"/>
              </w:rPr>
            </w:pPr>
          </w:p>
        </w:tc>
        <w:tc>
          <w:tcPr>
            <w:tcW w:w="7540" w:type="dxa"/>
            <w:vAlign w:val="bottom"/>
          </w:tcPr>
          <w:p>
            <w:pPr>
              <w:jc w:val="right"/>
              <w:ind w:right="46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VIEs that we do not control through a majority voting interest that are consolidated because we are the primary beneficiary primarily include certain vehicles sales and marketing joint ventures, the most significant of which is GM Egypt, and certain other automotive or financial support entities.</w:t>
      </w:r>
    </w:p>
    <w:p>
      <w:pPr>
        <w:spacing w:after="0" w:line="85"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Liabilities recognized as a result of consolidating VIEs generally do not represent claims to us and assets recognized generally are for the benefit of the VIE operations and cannot be used to satisfy our obligations. GM Korea, a non-wholly owned consolidated subsidiary that we control through a majority voting interest, is also a VIE because in the future it may require additional subordinated financial support. The creditors of GM Korea’s short-term debt of $130 million and $70 million, current derivative liabilities of $63 million and $111 million and long-term debt of $8 million and $835 million at September 30, 2011 and December 31, 2010 do not have recourse to our general credit. In February 2011 we provided a guarantee to Korea Development Bank (a minority shareholder in GM Korea), as trustee for the holders of GM Korea’s preferred shares, to redeem GM Korea’s preferred shares should GM Korea not redeem the shares. This guarantee decreased the amount of long-term debt which did not have recourse to our general credit in the nine months ended September 30, 2011.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of consolidated VIEs that we do not control through a majority voting interest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1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Inventories</w:t>
            </w: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Property, net</w:t>
            </w: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37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payable (principally trade)</w:t>
            </w:r>
          </w:p>
        </w:tc>
        <w:tc>
          <w:tcPr>
            <w:tcW w:w="37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liabilities</w:t>
            </w:r>
          </w:p>
        </w:tc>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37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vMerge w:val="restart"/>
          </w:tcPr>
          <w:p>
            <w:pPr>
              <w:jc w:val="right"/>
              <w:ind w:right="2112"/>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that we do not control through a majority voting interest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76"/>
              </w:rPr>
              <w:t>2010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Automotive cost of sales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automotive expenses, 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Automotive Financing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GM Financial</w:t>
      </w:r>
    </w:p>
    <w:p>
      <w:pPr>
        <w:spacing w:after="0" w:line="17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in the case of loan origination, through securitization trusts that issue asset-backed securities to investors. GM Financial retains an interest in these credit facilities and securitization trusts which are structured without recourse.</w:t>
      </w:r>
    </w:p>
    <w:p>
      <w:pPr>
        <w:spacing w:after="0" w:line="140" w:lineRule="exact"/>
        <w:rPr>
          <w:sz w:val="20"/>
          <w:szCs w:val="20"/>
          <w:color w:val="auto"/>
        </w:rPr>
      </w:pPr>
    </w:p>
    <w:p>
      <w:pPr>
        <w:jc w:val="both"/>
        <w:ind w:right="140" w:firstLine="228"/>
        <w:spacing w:after="0" w:line="298" w:lineRule="auto"/>
        <w:rPr>
          <w:sz w:val="20"/>
          <w:szCs w:val="20"/>
          <w:color w:val="auto"/>
        </w:rPr>
      </w:pPr>
      <w:r>
        <w:rPr>
          <w:rFonts w:ascii="Arial" w:cs="Arial" w:eastAsia="Arial" w:hAnsi="Arial"/>
          <w:sz w:val="16"/>
          <w:szCs w:val="16"/>
          <w:color w:val="auto"/>
        </w:rPr>
        <w:t>GM Financial’s continuing involvement with the credit facilities and securitization trusts includes servicing loans and leases held by the SPEs and holding a residual interest in the SPE. The SPEs are considered VIEs because they do not have sufficient equity at risk, and are consolidated because GM Financial is the primary beneficiary and has the power over those activities that most significantly affect the economic performance of the SPEs, and has an obligation to absorb losses or the right to receive benefits from the SPEs which are potentially significant.</w:t>
      </w:r>
    </w:p>
    <w:p>
      <w:pPr>
        <w:spacing w:after="0" w:line="113"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GM Financial is not required to provide any additional financial support to its sponsored credit facilities and securitization SPEs. The finance receivables, leased assets and other assets held by these subsidiaries are not available to our creditors or creditors of our other subsidiaries.</w:t>
      </w:r>
    </w:p>
    <w:p>
      <w:pPr>
        <w:spacing w:after="0" w:line="85"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Refer to Notes 5, 6 and 13 for additional information on GM Financial’s involvement with the SPEs and disclosures related to the amounts held by the consolidated SPEs as of the balance sheet 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520" w:firstLine="228"/>
        <w:spacing w:after="0" w:line="332" w:lineRule="auto"/>
        <w:rPr>
          <w:sz w:val="20"/>
          <w:szCs w:val="20"/>
          <w:color w:val="auto"/>
        </w:rPr>
      </w:pPr>
      <w:r>
        <w:rPr>
          <w:rFonts w:ascii="Arial" w:cs="Arial" w:eastAsia="Arial" w:hAnsi="Arial"/>
          <w:sz w:val="16"/>
          <w:szCs w:val="16"/>
          <w:color w:val="auto"/>
        </w:rPr>
        <w:t>VIEs that are not consolidated because we are not the primary beneficiary primarily include certain vehicle sales and marketing joint ventures and other automotive or financial support entities, including American Axle and Manufacturing Holdings, Inc. (American Axle), Ally Financial, Saab and HKJV.</w:t>
      </w:r>
    </w:p>
    <w:p>
      <w:pPr>
        <w:spacing w:after="0" w:line="85"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Variable interests in nonconsolidated VIEs include guarantees and financial support provided to certain current or previously divested suppliers in order to ensure that supply needs for production are not disrupted due to a supplier’s liquidity concerns or possible shutdowns. The maximum exposure to loss related to these VIEs is not expected to be in excess of the amount of net accounts and notes receivable recorded with the suppliers and any related guarantees and loan commitments. Investments in joint ventures that manufacture, market and sell vehicles in certain markets are typically self-funded and financed with no contractual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that require us to provide future financial support. The maximum exposure to loss is not expected to be in excess of the carrying amount of the investments recorded in Equity in net assets of nonconsolidated affiliates and in any related capital funding requirements.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24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1"/>
              </w:rPr>
              <w:t>September 30, 2011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Exposure</w:t>
            </w:r>
          </w:p>
        </w:tc>
        <w:tc>
          <w:tcPr>
            <w:tcW w:w="5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0"/>
              </w:rPr>
              <w:t>to Loss</w:t>
            </w:r>
          </w:p>
        </w:tc>
        <w:tc>
          <w:tcPr>
            <w:tcW w:w="5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to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(a)</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(b)</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Total guarantees and liquidity arrangements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at December 31, 2010 included undrawn loan commitments related to American Axle. In June 2011 the term loan facility was terminated.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at September 30, 2011 and December 31, 2010 represented additional contingent future capital funding requirement related to HKJV.</w:t>
      </w:r>
    </w:p>
    <w:p>
      <w:pPr>
        <w:spacing w:after="0" w:line="194"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Axle</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We concluded that American Axle was a VIE for which we were not the primary beneficiary and we currently lack the power through voting or similar rights to direct those activities of American Axle that most significantly affect its economic performance. Prior to June 2011 our primary variable interest, among others, in American Axle was a second lien term loan facility in which American Axle could borrow up to $100 million. In June 2011 the term loan facility was terminated thereby eliminating our explicit variable interest in American Axle.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Ally Financial</w:t>
      </w:r>
    </w:p>
    <w:p>
      <w:pPr>
        <w:spacing w:after="0" w:line="171"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We own 9.9% of Ally Financial’s common stock. Ally Financial is a VIE as it does not have sufficient equity at risk; however, we are not the primary beneficiary and we currently lack the power through voting or similar rights to direct those activities of 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Financial that most significantly affect its economic performance. Refer to Notes 19 and 24 for additional information on Ally Financial, including our investment, sale of our Ally Financial preferred stock in March 2011 and our maximum exposure under agreements with Ally Financial.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Saab</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Our primary variable interest in Saab is the preference shares that we received in connection with the sale, which have a face value of $326 million and were recorded at an estimated fair value that was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Refer to Note 3 for additional information on the sale of Saab.</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HKJV</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 Refer to Note 8 for additional information on our investment in HKJV.</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Automotive cost of sales, Automotive selling, general and administrative expense and Other automotive expenses, net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4"/>
                <w:szCs w:val="1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impairment of plants and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$ 1,378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1,388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 operating leases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604</w:t>
            </w:r>
          </w:p>
        </w:tc>
        <w:tc>
          <w:tcPr>
            <w:tcW w:w="4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1,738</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$ 4,624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In June 2011 GM Financial issued 6.75% senior notes of $500 million which are due in June 2018 with interest payable semiannually. On July 1, 2011 proceeds of $71 million from this offering were used to redeem all of GM Financial’s outstanding 8.50% senior notes due in 2015. The remaining proceeds will be used for general corporate purposes.</w:t>
      </w:r>
    </w:p>
    <w:p>
      <w:pPr>
        <w:spacing w:after="0" w:line="140" w:lineRule="exact"/>
        <w:rPr>
          <w:sz w:val="20"/>
          <w:szCs w:val="20"/>
          <w:color w:val="auto"/>
        </w:rPr>
      </w:pPr>
    </w:p>
    <w:p>
      <w:pPr>
        <w:jc w:val="both"/>
        <w:ind w:right="480" w:firstLine="228"/>
        <w:spacing w:after="0" w:line="259" w:lineRule="auto"/>
        <w:rPr>
          <w:sz w:val="20"/>
          <w:szCs w:val="20"/>
          <w:color w:val="auto"/>
        </w:rPr>
      </w:pPr>
      <w:r>
        <w:rPr>
          <w:rFonts w:ascii="Arial" w:cs="Arial" w:eastAsia="Arial" w:hAnsi="Arial"/>
          <w:sz w:val="18"/>
          <w:szCs w:val="18"/>
          <w:color w:val="auto"/>
        </w:rPr>
        <w:t>In connection with the issuance of the 6.75% senior notes, GM Financial entered into a registration rights agreement that requires GM Financial to file a registration statement relating to the registration with the SEC of an exchange offer with respect to the 6.75% senior notes and the subsidiary guaranty. GM Financial filed the registration statement on September 12, 2011. If the registration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statement has not been declared effective by the SEC within 210 days from the original issuance of the notes or ceases to remain effective, GM Financial will be required to pay the 6.75% senior note holders a maximum of $0.50 per week of additional interest per $1,000 of principal during the time the registration statement is not effective.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amounts outstanding under GM Financial credit facilities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11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Canada lease warehouse facility</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Medium-term note facility</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Bank funding facility</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facilities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5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 credit facilities at September 30, 2011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Restricted</w:t>
            </w:r>
          </w:p>
        </w:tc>
      </w:tr>
      <w:tr>
        <w:trPr>
          <w:trHeight w:val="149"/>
        </w:trPr>
        <w:tc>
          <w:tcPr>
            <w:tcW w:w="11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Advances</w:t>
            </w:r>
          </w:p>
        </w:tc>
        <w:tc>
          <w:tcPr>
            <w:tcW w:w="580" w:type="dxa"/>
            <w:vAlign w:val="bottom"/>
          </w:tcPr>
          <w:p>
            <w:pPr>
              <w:spacing w:after="0"/>
              <w:rPr>
                <w:sz w:val="12"/>
                <w:szCs w:val="12"/>
                <w:color w:val="auto"/>
              </w:rPr>
            </w:pPr>
          </w:p>
        </w:tc>
        <w:tc>
          <w:tcPr>
            <w:tcW w:w="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Cash</w:t>
            </w: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w:t>
            </w:r>
          </w:p>
        </w:tc>
        <w:tc>
          <w:tcPr>
            <w:tcW w:w="5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Pledged</w:t>
            </w:r>
          </w:p>
        </w:tc>
        <w:tc>
          <w:tcPr>
            <w:tcW w:w="2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Pledged (a)</w:t>
            </w:r>
          </w:p>
        </w:tc>
      </w:tr>
      <w:tr>
        <w:trPr>
          <w:trHeight w:val="210"/>
        </w:trPr>
        <w:tc>
          <w:tcPr>
            <w:tcW w:w="7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 (b)</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U.S. lease warehouse facility (c)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 lease warehouse facility (d)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Medium-term note facility (e)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funding facility (f)</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615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do not include cash collected on finance receivables pledged of $38 million which is included in GM Financial Restricted cash at September 30, 2011.</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that matures in January 2012. Borrowings on the facility are collateralized by leased assets.</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2011 GM Financial Canada Leasing Ltd., a subsidiary of GM Financial entered into a lease warehouse facility for lease originations in Canada that matures in July 2012. Borrowings on the facility are collateralized by leased assets. The facility amount represents CAD $600 million at September 30, 2011.</w:t>
      </w:r>
    </w:p>
    <w:p>
      <w:pPr>
        <w:spacing w:after="0" w:line="59"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facility is secured by asset-backed securities of $27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Debt issuance costs are amortized over the expected term of the securitizations on an effective yield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Securitization notes payable at September 30, 2011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Original</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of Transactions</w:t>
            </w:r>
          </w:p>
        </w:tc>
        <w:tc>
          <w:tcPr>
            <w:tcW w:w="660" w:type="dxa"/>
            <w:vAlign w:val="bottom"/>
          </w:tcPr>
          <w:p>
            <w:pPr>
              <w:spacing w:after="0"/>
              <w:rPr>
                <w:sz w:val="12"/>
                <w:szCs w:val="12"/>
                <w:color w:val="auto"/>
              </w:rPr>
            </w:pPr>
          </w:p>
        </w:tc>
        <w:tc>
          <w:tcPr>
            <w:tcW w:w="31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Maturity Dates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Note</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820" w:type="dxa"/>
            <w:vAlign w:val="bottom"/>
            <w:gridSpan w:val="3"/>
          </w:tcPr>
          <w:p>
            <w:pPr>
              <w:jc w:val="center"/>
              <w:ind w:left="82"/>
              <w:spacing w:after="0" w:line="149" w:lineRule="exact"/>
              <w:rPr>
                <w:sz w:val="20"/>
                <w:szCs w:val="20"/>
                <w:color w:val="auto"/>
              </w:rPr>
            </w:pPr>
            <w:r>
              <w:rPr>
                <w:rFonts w:ascii="Arial" w:cs="Arial" w:eastAsia="Arial" w:hAnsi="Arial"/>
                <w:sz w:val="14"/>
                <w:szCs w:val="14"/>
                <w:b w:val="1"/>
                <w:bCs w:val="1"/>
                <w:color w:val="auto"/>
                <w:w w:val="81"/>
              </w:rPr>
              <w:t>Receivables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8"/>
        </w:trPr>
        <w:tc>
          <w:tcPr>
            <w:tcW w:w="302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8"/>
              </w:rPr>
              <w:t>Amounts</w:t>
            </w:r>
          </w:p>
        </w:tc>
        <w:tc>
          <w:tcPr>
            <w:tcW w:w="11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Rates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4"/>
              </w:rPr>
              <w:t>Pledged</w:t>
            </w:r>
          </w:p>
        </w:tc>
        <w:tc>
          <w:tcPr>
            <w:tcW w:w="420" w:type="dxa"/>
            <w:vAlign w:val="bottom"/>
          </w:tcPr>
          <w:p>
            <w:pPr>
              <w:spacing w:after="0"/>
              <w:rPr>
                <w:sz w:val="14"/>
                <w:szCs w:val="14"/>
                <w:color w:val="auto"/>
              </w:rPr>
            </w:pPr>
          </w:p>
        </w:tc>
        <w:tc>
          <w:tcPr>
            <w:tcW w:w="6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1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2014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40" w:type="dxa"/>
            <w:vAlign w:val="bottom"/>
            <w:gridSpan w:val="2"/>
          </w:tcPr>
          <w:p>
            <w:pPr>
              <w:ind w:left="660"/>
              <w:spacing w:after="0"/>
              <w:rPr>
                <w:sz w:val="20"/>
                <w:szCs w:val="20"/>
                <w:color w:val="auto"/>
              </w:rPr>
            </w:pPr>
            <w:r>
              <w:rPr>
                <w:rFonts w:ascii="Arial" w:cs="Arial" w:eastAsia="Arial" w:hAnsi="Arial"/>
                <w:sz w:val="18"/>
                <w:szCs w:val="18"/>
                <w:color w:val="auto"/>
              </w:rPr>
              <w:t>October 2013 – March 2016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1,000 - 1,500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 - 5.5%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2008 (b)</w:t>
            </w:r>
          </w:p>
        </w:tc>
        <w:tc>
          <w:tcPr>
            <w:tcW w:w="3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October 2014 – April 2015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500 - 750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6.0% - 10.5%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40" w:type="dxa"/>
            <w:vAlign w:val="bottom"/>
            <w:gridSpan w:val="2"/>
          </w:tcPr>
          <w:p>
            <w:pPr>
              <w:ind w:left="660"/>
              <w:spacing w:after="0"/>
              <w:rPr>
                <w:sz w:val="20"/>
                <w:szCs w:val="20"/>
                <w:color w:val="auto"/>
              </w:rPr>
            </w:pPr>
            <w:r>
              <w:rPr>
                <w:rFonts w:ascii="Arial" w:cs="Arial" w:eastAsia="Arial" w:hAnsi="Arial"/>
                <w:sz w:val="18"/>
                <w:szCs w:val="18"/>
                <w:color w:val="auto"/>
              </w:rPr>
              <w:t>January 2016 – July 2017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227 - 725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 - 7.5%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June 2016 – January 2018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200 - 850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 - 3.8%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40" w:type="dxa"/>
            <w:vAlign w:val="bottom"/>
            <w:gridSpan w:val="2"/>
          </w:tcPr>
          <w:p>
            <w:pPr>
              <w:ind w:left="660"/>
              <w:spacing w:after="0"/>
              <w:rPr>
                <w:sz w:val="20"/>
                <w:szCs w:val="20"/>
                <w:color w:val="auto"/>
              </w:rPr>
            </w:pPr>
            <w:r>
              <w:rPr>
                <w:rFonts w:ascii="Arial" w:cs="Arial" w:eastAsia="Arial" w:hAnsi="Arial"/>
                <w:sz w:val="18"/>
                <w:szCs w:val="18"/>
                <w:color w:val="auto"/>
              </w:rPr>
              <w:t>February 2017 – January 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800 - 1,000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 - 2.6%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BV2005 (c)</w:t>
            </w:r>
          </w:p>
        </w:tc>
        <w:tc>
          <w:tcPr>
            <w:tcW w:w="3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June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LB2007 (c)</w:t>
            </w:r>
          </w:p>
        </w:tc>
        <w:tc>
          <w:tcPr>
            <w:tcW w:w="3840" w:type="dxa"/>
            <w:vAlign w:val="bottom"/>
            <w:gridSpan w:val="2"/>
          </w:tcPr>
          <w:p>
            <w:pPr>
              <w:ind w:left="660"/>
              <w:spacing w:after="0"/>
              <w:rPr>
                <w:sz w:val="20"/>
                <w:szCs w:val="20"/>
                <w:color w:val="auto"/>
              </w:rPr>
            </w:pPr>
            <w:r>
              <w:rPr>
                <w:rFonts w:ascii="Arial" w:cs="Arial" w:eastAsia="Arial" w:hAnsi="Arial"/>
                <w:sz w:val="18"/>
                <w:szCs w:val="18"/>
                <w:color w:val="auto"/>
              </w:rPr>
              <w:t>January 2014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gridSpan w:val="4"/>
            <w:vMerge w:val="restart"/>
          </w:tcPr>
          <w:p>
            <w:pPr>
              <w:spacing w:after="0"/>
              <w:rPr>
                <w:sz w:val="20"/>
                <w:szCs w:val="20"/>
                <w:color w:val="auto"/>
              </w:rPr>
            </w:pPr>
            <w:r>
              <w:rPr>
                <w:rFonts w:ascii="Arial" w:cs="Arial" w:eastAsia="Arial" w:hAnsi="Arial"/>
                <w:sz w:val="18"/>
                <w:szCs w:val="18"/>
                <w:color w:val="auto"/>
              </w:rPr>
              <w:t>Purchase accounting premium</w:t>
            </w: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2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securitization notes payable</w:t>
            </w:r>
          </w:p>
        </w:tc>
        <w:tc>
          <w:tcPr>
            <w:tcW w:w="6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dates represent final legal maturity of securitization notes payable. Securitization notes payable are expected to be paid based on amortization of the finance receivables pledged to the trusts.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 balance does not include asset-backed securities of $27 million pledged to the bank funding facility.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relate to certain SPEs acquired by GM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6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5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$ 6,789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Warranties issued and assumed in period</w:t>
            </w:r>
          </w:p>
        </w:tc>
        <w:tc>
          <w:tcPr>
            <w:tcW w:w="6320" w:type="dxa"/>
            <w:vAlign w:val="bottom"/>
            <w:gridSpan w:val="3"/>
          </w:tcPr>
          <w:p>
            <w:pPr>
              <w:jc w:val="right"/>
              <w:ind w:right="240"/>
              <w:spacing w:after="0"/>
              <w:rPr>
                <w:sz w:val="20"/>
                <w:szCs w:val="20"/>
                <w:color w:val="auto"/>
              </w:rPr>
            </w:pPr>
            <w:r>
              <w:rPr>
                <w:rFonts w:ascii="Arial" w:cs="Arial" w:eastAsia="Arial" w:hAnsi="Arial"/>
                <w:sz w:val="18"/>
                <w:szCs w:val="18"/>
                <w:color w:val="auto"/>
              </w:rPr>
              <w:t>2,290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6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(2,862)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Adjustments to pre-existing warranties</w:t>
            </w:r>
          </w:p>
        </w:tc>
        <w:tc>
          <w:tcPr>
            <w:tcW w:w="6320" w:type="dxa"/>
            <w:vAlign w:val="bottom"/>
            <w:gridSpan w:val="3"/>
          </w:tcPr>
          <w:p>
            <w:pPr>
              <w:jc w:val="right"/>
              <w:ind w:right="240"/>
              <w:spacing w:after="0"/>
              <w:rPr>
                <w:sz w:val="20"/>
                <w:szCs w:val="20"/>
                <w:color w:val="auto"/>
              </w:rPr>
            </w:pPr>
            <w:r>
              <w:rPr>
                <w:rFonts w:ascii="Arial" w:cs="Arial" w:eastAsia="Arial" w:hAnsi="Arial"/>
                <w:sz w:val="18"/>
                <w:szCs w:val="18"/>
                <w:color w:val="auto"/>
              </w:rPr>
              <w:t>468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5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6320" w:type="dxa"/>
            <w:vAlign w:val="bottom"/>
            <w:gridSpan w:val="3"/>
          </w:tcPr>
          <w:p>
            <w:pPr>
              <w:jc w:val="right"/>
              <w:ind w:right="240"/>
              <w:spacing w:after="0"/>
              <w:rPr>
                <w:sz w:val="20"/>
                <w:szCs w:val="20"/>
                <w:color w:val="auto"/>
              </w:rPr>
            </w:pPr>
            <w:r>
              <w:rPr>
                <w:rFonts w:ascii="Arial" w:cs="Arial" w:eastAsia="Arial" w:hAnsi="Arial"/>
                <w:sz w:val="18"/>
                <w:szCs w:val="18"/>
                <w:color w:val="auto"/>
              </w:rPr>
              <w:t>$ 6,633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$ 6,756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520" w:type="dxa"/>
            <w:vAlign w:val="bottom"/>
            <w:vMerge w:val="restart"/>
          </w:tcPr>
          <w:p>
            <w:pPr>
              <w:jc w:val="right"/>
              <w:ind w:right="3872"/>
              <w:spacing w:after="0"/>
              <w:rPr>
                <w:sz w:val="20"/>
                <w:szCs w:val="20"/>
                <w:color w:val="auto"/>
              </w:rPr>
            </w:pPr>
            <w:r>
              <w:rPr>
                <w:rFonts w:ascii="Arial" w:cs="Arial" w:eastAsia="Arial" w:hAnsi="Arial"/>
                <w:sz w:val="18"/>
                <w:szCs w:val="18"/>
                <w:color w:val="auto"/>
              </w:rPr>
              <w:t>24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7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January 2011 we completed the previously announced voluntary contribution of 61 million shares of our common stock to our U.S. hourly and salaried pension plans. At the time of contribution, the fair value was $2.2 billion for funding purposes. This was a voluntary contribution that is above our minimum funding requirements of the pension plans. The contributed shares qualified as a plan asset for funding purposes at the time of contribution and as a plan asset valued at $1.9 billion for accounting purposes in July 2011. We are evaluating whether we will make additional voluntary contributions to our U.S. pension plans.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components of pension and other postretirement benefits (OPEB) expense (income)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U.S. Plans</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82"/>
              </w:rPr>
              <w:t>Pension Benefits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11"/>
          </w:tcPr>
          <w:p>
            <w:pPr>
              <w:jc w:val="right"/>
              <w:ind w:right="640"/>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center"/>
              <w:ind w:right="15"/>
              <w:spacing w:after="0" w:line="129" w:lineRule="exact"/>
              <w:rPr>
                <w:sz w:val="20"/>
                <w:szCs w:val="20"/>
                <w:color w:val="auto"/>
              </w:rPr>
            </w:pPr>
            <w:r>
              <w:rPr>
                <w:rFonts w:ascii="Arial" w:cs="Arial" w:eastAsia="Arial" w:hAnsi="Arial"/>
                <w:sz w:val="14"/>
                <w:szCs w:val="14"/>
                <w:b w:val="1"/>
                <w:bCs w:val="1"/>
                <w:color w:val="auto"/>
                <w:w w:val="87"/>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85"/>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income</w:t>
            </w:r>
          </w:p>
        </w:tc>
        <w:tc>
          <w:tcPr>
            <w:tcW w:w="3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4"/>
          </w:tcPr>
          <w:p>
            <w:pPr>
              <w:jc w:val="right"/>
              <w:ind w:right="460"/>
              <w:spacing w:after="0"/>
              <w:rPr>
                <w:sz w:val="20"/>
                <w:szCs w:val="20"/>
                <w:color w:val="auto"/>
              </w:rPr>
            </w:pPr>
            <w:r>
              <w:rPr>
                <w:rFonts w:ascii="Arial" w:cs="Arial" w:eastAsia="Arial" w:hAnsi="Arial"/>
                <w:sz w:val="18"/>
                <w:szCs w:val="18"/>
                <w:color w:val="auto"/>
              </w:rPr>
              <w:t>128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97"/>
              </w:rPr>
              <w:t>1,338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3,686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(1,673)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400"/>
              <w:spacing w:after="0"/>
              <w:rPr>
                <w:sz w:val="20"/>
                <w:szCs w:val="20"/>
                <w:color w:val="auto"/>
              </w:rPr>
            </w:pPr>
            <w:r>
              <w:rPr>
                <w:rFonts w:ascii="Arial" w:cs="Arial" w:eastAsia="Arial" w:hAnsi="Arial"/>
                <w:sz w:val="18"/>
                <w:szCs w:val="18"/>
                <w:color w:val="auto"/>
                <w:w w:val="87"/>
              </w:rPr>
              <w:t>(1,639)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(5,019)</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income</w:t>
            </w:r>
          </w:p>
        </w:tc>
        <w:tc>
          <w:tcPr>
            <w:tcW w:w="3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6"/>
          </w:tcPr>
          <w:p>
            <w:pPr>
              <w:jc w:val="center"/>
              <w:ind w:left="96"/>
              <w:spacing w:after="0"/>
              <w:rPr>
                <w:sz w:val="20"/>
                <w:szCs w:val="20"/>
                <w:color w:val="auto"/>
              </w:rPr>
            </w:pPr>
            <w:r>
              <w:rPr>
                <w:rFonts w:ascii="Arial" w:cs="Arial" w:eastAsia="Arial" w:hAnsi="Arial"/>
                <w:sz w:val="14"/>
                <w:szCs w:val="14"/>
                <w:b w:val="1"/>
                <w:bCs w:val="1"/>
                <w:color w:val="auto"/>
                <w:w w:val="87"/>
              </w:rPr>
              <w:t>Non-U.S. Plans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4"/>
                <w:szCs w:val="14"/>
                <w:b w:val="1"/>
                <w:bCs w:val="1"/>
                <w:color w:val="auto"/>
                <w:w w:val="84"/>
              </w:rPr>
              <w:t>Pension Benefits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12"/>
          </w:tcPr>
          <w:p>
            <w:pPr>
              <w:jc w:val="right"/>
              <w:ind w:right="80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right"/>
              <w:ind w:right="175"/>
              <w:spacing w:after="0" w:line="129" w:lineRule="exact"/>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3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308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100" w:type="dxa"/>
            <w:vAlign w:val="bottom"/>
            <w:gridSpan w:val="6"/>
          </w:tcPr>
          <w:p>
            <w:pPr>
              <w:jc w:val="right"/>
              <w:ind w:right="82"/>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2"/>
              <w:spacing w:after="0"/>
              <w:rPr>
                <w:sz w:val="20"/>
                <w:szCs w:val="20"/>
                <w:color w:val="auto"/>
              </w:rPr>
            </w:pPr>
            <w:r>
              <w:rPr>
                <w:rFonts w:ascii="Arial" w:cs="Arial" w:eastAsia="Arial" w:hAnsi="Arial"/>
                <w:sz w:val="18"/>
                <w:szCs w:val="18"/>
                <w:color w:val="auto"/>
                <w:w w:val="85"/>
              </w:rPr>
              <w:t>(242)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(700)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Net periodic pension expense</w:t>
            </w:r>
          </w:p>
        </w:tc>
        <w:tc>
          <w:tcPr>
            <w:tcW w:w="33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206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U.S. Plans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OPEB</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12"/>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6"/>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7"/>
          </w:tcPr>
          <w:p>
            <w:pPr>
              <w:jc w:val="center"/>
              <w:ind w:left="36"/>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76"/>
              </w:rPr>
              <w:t>2011</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3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5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3"/>
          </w:tcPr>
          <w:p>
            <w:pPr>
              <w:jc w:val="right"/>
              <w:ind w:right="10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3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gridSpan w:val="2"/>
          </w:tcPr>
          <w:p>
            <w:pPr>
              <w:spacing w:after="0"/>
              <w:rPr>
                <w:sz w:val="20"/>
                <w:szCs w:val="20"/>
                <w:color w:val="auto"/>
              </w:rPr>
            </w:pPr>
            <w:r>
              <w:rPr>
                <w:rFonts w:ascii="Arial" w:cs="Arial" w:eastAsia="Arial" w:hAnsi="Arial"/>
                <w:sz w:val="18"/>
                <w:szCs w:val="18"/>
                <w:color w:val="auto"/>
              </w:rPr>
              <w:t>Net periodic OPEB expense</w:t>
            </w:r>
          </w:p>
        </w:tc>
        <w:tc>
          <w:tcPr>
            <w:tcW w:w="35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3"/>
          </w:tcPr>
          <w:p>
            <w:pPr>
              <w:jc w:val="right"/>
              <w:ind w:right="10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380" w:type="dxa"/>
            <w:vAlign w:val="bottom"/>
            <w:vMerge w:val="restart"/>
          </w:tcPr>
          <w:p>
            <w:pPr>
              <w:jc w:val="right"/>
              <w:ind w:right="1552"/>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Non-U.S. Plans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0"/>
              </w:rPr>
              <w:t>OPEB</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6"/>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176"/>
              <w:spacing w:after="0" w:line="129" w:lineRule="exact"/>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periodic OPEB expense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The Labor Agreement includes a provision that the Personal Retirement Plan, which is a cash balance pension plan for entry level employees, will be frozen on January 2, 2012 and terminated on June 30, 2012, subject to required regulatory approvals. Participants in the Personal Retirement Plan and all employees hired on or after October 1, 2007 will participate in a defined contribution plan.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Remeasurements</w:t>
      </w:r>
    </w:p>
    <w:p>
      <w:pPr>
        <w:spacing w:after="0" w:line="171"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In the three months ended September 30, 2011 the Legal Services Plan, which provides legal services to U.S. hourly employees and retirees, was remeasured as a result of the Labor Agreement provisions which terminate the plan effective December 31, 2013. The negotiated termination has been accounted for as a negative plan amendment resulting in a decrease in the OPEB liability and a pre-tax increase of $266 million in the prior service credit component of Accumulated other comprehensive income, which will be amortized through December 31, 2013.</w:t>
      </w:r>
    </w:p>
    <w:p>
      <w:pPr>
        <w:spacing w:after="0" w:line="113"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In the three months ended March 31, 2011 certain pension plans in GME were remeasured as part of our goodwill impairment analysis, resulting in a decrease of $272 million in the Pensions liability and a pre-tax increase in the net actuarial gain component of Accumulated other comprehensive income. Refer to Notes 2 and 9 for additional information on our impairment of Goodwill.</w:t>
      </w:r>
    </w:p>
    <w:p>
      <w:pPr>
        <w:spacing w:after="0" w:line="140" w:lineRule="exact"/>
        <w:rPr>
          <w:sz w:val="20"/>
          <w:szCs w:val="20"/>
          <w:color w:val="auto"/>
        </w:rPr>
      </w:pPr>
    </w:p>
    <w:p>
      <w:pPr>
        <w:ind w:firstLine="228"/>
        <w:spacing w:after="0" w:line="314" w:lineRule="auto"/>
        <w:rPr>
          <w:sz w:val="20"/>
          <w:szCs w:val="20"/>
          <w:color w:val="auto"/>
        </w:rPr>
      </w:pPr>
      <w:r>
        <w:rPr>
          <w:rFonts w:ascii="Arial" w:cs="Arial" w:eastAsia="Arial" w:hAnsi="Arial"/>
          <w:sz w:val="15"/>
          <w:szCs w:val="15"/>
          <w:color w:val="auto"/>
        </w:rPr>
        <w:t>In the three months ended September 30, 2010 the U.S. hourly defined benefit pension plan was amended to create a legally separate new defined benefit pension plan for entry level participants who are covered by the cash balance benefit formula, referred to as the Personal Retirement Plan. The underlying benefits offered to plan participants were unchanged. The remeasurement used a discount rate of 4.6% and increased the projected benefit obligations (PBO) by $5.8 billion. A discount rate of 5.5% was used at December 31, 2009. Additionally, higher than expected asset returns partially offset the discount rate effects and the remeasurement resulted in an increase of $2.4 billion in the Pensions liability and a pre-tax decrease in the net actuarial gain component of Accumulated other comprehensive income. The remeasurement of the plan did not affect net periodic pension expense for the three and nine months ended September 30, 2010.</w:t>
      </w:r>
    </w:p>
    <w:p>
      <w:pPr>
        <w:spacing w:after="0" w:line="105"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In the three months ended June 30, 2010 certain pension plans in GME were remeasured as part of our goodwill impairment analysis, resulting in an increase of $388 million in the Pensions liability and a pre-tax increase in the net actuarial loss component of Accumulated other comprehensive income.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Health Care Trust</w:t>
      </w:r>
    </w:p>
    <w:p>
      <w:pPr>
        <w:spacing w:after="0" w:line="171" w:lineRule="exact"/>
        <w:rPr>
          <w:sz w:val="20"/>
          <w:szCs w:val="20"/>
          <w:color w:val="auto"/>
        </w:rPr>
      </w:pPr>
    </w:p>
    <w:p>
      <w:pPr>
        <w:ind w:right="360" w:firstLine="228"/>
        <w:spacing w:after="0" w:line="256" w:lineRule="auto"/>
        <w:rPr>
          <w:sz w:val="20"/>
          <w:szCs w:val="20"/>
          <w:color w:val="auto"/>
        </w:rPr>
      </w:pPr>
      <w:r>
        <w:rPr>
          <w:rFonts w:ascii="Arial" w:cs="Arial" w:eastAsia="Arial" w:hAnsi="Arial"/>
          <w:sz w:val="18"/>
          <w:szCs w:val="18"/>
          <w:color w:val="auto"/>
        </w:rPr>
        <w:t>As previously reported, in December 2009 and May 2010 in furtherance of implementing its restructuring plan and pursuant to a June 2009 agreement between General Motors of Canada Limited (GMCL) and the Canadian Auto Workers Union (CAW) to establish an independent Canadian Health Care Trust (HCT) to provide retiree healthcare benefits to certain active and retired employees, litigation commenced regarding GMCL’s right to unilaterally amend and terminate postretirement healthcare benefits.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parties reached a settlement to consensually resolve the litigation, which was approved on September 13, 2011 by the Ontario Superior Court and was approved on September 19, 2011 by the Quebec Superior Court. At September 30, 2011 the settlement was not implemented because certain conditions precedent to the settlement had not been met, including the expiration of the time period allowed for individual CAW retirees and surviving spouses to decide to opt out of participation in the class action process. GMCL is obligated to make a payment to the HCT of CAD $1.0 billion within 10 days of the HCT implementation date, October 31, 2011, which it will fund out of its CAD $1.0 billion escrow funds, adjusted for the net difference between the amount of retiree monthly contributions received during the period January 1, 2010 through the HCT implementation date less the cost of benefits paid for claims incurred by covered employees during this period and certain related costs. GMCL also provided to the HCT a CAD $800 million note payable with interest accruing at an annual rate of 7.0% starting January 1, 2010 with five equal annual installments of CAD $256 million due December 31, 2014 through 2018. In addition, GMCL will make two additional payments of CAD $130 million each on December 31, 2014 and 2015. Concurrent with the implementation of the HCT, GMCL is legally released from all obligations associated with the cost of providing retiree healthcare benefits to CAW retirees and surviving spouses bound by the class action process and to CAW active employees as of June 8, 2009. As a result of conditions precedent to the settlement not having yet been achieved as of September 30, 2011, there was no accounting recognition for the HCT at September 30, 2011.</w:t>
      </w:r>
    </w:p>
    <w:p>
      <w:pPr>
        <w:spacing w:after="0" w:line="12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October 2011 the time period allowed for individual CAW retirees and surviving spouses to decide to opt out of participation in the class action process elapsed. The conditions precedent to the settlement have been achieved and the HCT implementation date occurred on October 31, 2011, with the transfer of escrow funds to occur in November. We will account, in the three months ending December 31, 2011 for the related termination of CAW hourly retiree healthcare benefits as a settlement, and record a gain of approximately $800 million, based upon the difference between the fair value of the notes of approximately $1.1 billion and cash contributed and the healthcare plan obligation (as at the implementation date) relating to individuals who in the future will have their health care benefits provided by the HCT.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At September 30, 2011 and December 31, 2010 no outstanding derivative contracts were designated in hedging relationships other than those derivative contracts designated in a hedging relationship by GM Financial. Refer to Note 19 for additional information on the fair value measurements of our derivative instruments.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171"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in connection with the management of exposure to fluctuations in foreign currency exchange rates and certain commodity prices. Our derivative instruments consist primarily of forward contracts and options.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71"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Derivative financial instruments contain an element of credit risk attributable to the counterparties’ ability to meet the terms of the agreements. Certain of our agreements with counterparties require, under certain circumstances, that the counterparty post collateral with us for net asset positions. Agreements are entered into with counterparties that allow the set-off of certain exposures in order to manage the risk.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counterparty credit risk related to derivative positions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1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Collateral held from counterparties (a)</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Gross derivative asset position exposed to loss (b)(c)</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6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 position exposed to loss (b)(d)</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obligation is recorded in Accrued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Embedded derivatives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the maximum exposure to loss on derivative asset positions calculated as the gross derivative asset position less collateral we held.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exposure to loss calculated as net derivative asset position for all counterparties with which we were in a net asset position, less the collateral we held.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30, 2011 substantially all derivative counterparty exposures were with counterparties that were rated A- or higher.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Certain of our agreements with counterparties require that we provide cash collateral for net liability positions that we may have with such counterparty. At September 30,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5"/>
              </w:rPr>
              <w:t>September 30, 2011</w:t>
            </w:r>
          </w:p>
        </w:tc>
        <w:tc>
          <w:tcPr>
            <w:tcW w:w="60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7"/>
              </w:rPr>
              <w:t>December 31, 2010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right"/>
              <w:ind w:right="1160"/>
              <w:spacing w:after="0" w:line="129" w:lineRule="exact"/>
              <w:rPr>
                <w:sz w:val="20"/>
                <w:szCs w:val="20"/>
                <w:color w:val="auto"/>
              </w:rPr>
            </w:pPr>
            <w:r>
              <w:rPr>
                <w:rFonts w:ascii="Arial" w:cs="Arial" w:eastAsia="Arial" w:hAnsi="Arial"/>
                <w:sz w:val="14"/>
                <w:szCs w:val="14"/>
                <w:b w:val="1"/>
                <w:bCs w:val="1"/>
                <w:color w:val="auto"/>
                <w:w w:val="94"/>
              </w:rPr>
              <w:t>Asset</w:t>
            </w:r>
          </w:p>
        </w:tc>
        <w:tc>
          <w:tcPr>
            <w:tcW w:w="80" w:type="dxa"/>
            <w:vAlign w:val="bottom"/>
          </w:tcPr>
          <w:p>
            <w:pPr>
              <w:spacing w:after="0"/>
              <w:rPr>
                <w:sz w:val="11"/>
                <w:szCs w:val="11"/>
                <w:color w:val="auto"/>
              </w:rPr>
            </w:pPr>
          </w:p>
        </w:tc>
        <w:tc>
          <w:tcPr>
            <w:tcW w:w="6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0"/>
              </w:rPr>
              <w:t>Liability</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w w:val="89"/>
              </w:rPr>
              <w:t>Asset</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0"/>
              </w:rPr>
              <w:t>Liability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Derivatives</w:t>
            </w:r>
          </w:p>
        </w:tc>
        <w:tc>
          <w:tcPr>
            <w:tcW w:w="9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(a)(b)</w:t>
            </w:r>
          </w:p>
        </w:tc>
        <w:tc>
          <w:tcPr>
            <w:tcW w:w="80" w:type="dxa"/>
            <w:vAlign w:val="bottom"/>
          </w:tcPr>
          <w:p>
            <w:pPr>
              <w:spacing w:after="0"/>
              <w:rPr>
                <w:sz w:val="14"/>
                <w:szCs w:val="14"/>
                <w:color w:val="auto"/>
              </w:rPr>
            </w:pPr>
          </w:p>
        </w:tc>
        <w:tc>
          <w:tcPr>
            <w:tcW w:w="15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(c)(d)</w:t>
            </w:r>
          </w:p>
        </w:tc>
        <w:tc>
          <w:tcPr>
            <w:tcW w:w="14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(a)(b)</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Portion</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Embedded</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portion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Embedded</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Total non-current portion</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portion 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Non-current portion recorded in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portion recorded in Accrued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Non-current portion recorded in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gains and (losses) on derivatives recorded in Interest income and other non-operating income, net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Instruments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Embedded</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Total gains (losses) recorded in interest income and other non-operating income, net</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Notionals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our commodity derivative contracts (units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September 30, 2011</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w:t>
            </w: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Aluminum and aluminum alloy</w:t>
            </w:r>
          </w:p>
        </w:tc>
        <w:tc>
          <w:tcPr>
            <w:tcW w:w="1320" w:type="dxa"/>
            <w:vAlign w:val="bottom"/>
            <w:gridSpan w:val="2"/>
          </w:tcPr>
          <w:p>
            <w:pPr>
              <w:spacing w:after="0"/>
              <w:rPr>
                <w:sz w:val="20"/>
                <w:szCs w:val="20"/>
                <w:color w:val="auto"/>
              </w:rPr>
            </w:pPr>
            <w:r>
              <w:rPr>
                <w:rFonts w:ascii="Arial" w:cs="Arial" w:eastAsia="Arial" w:hAnsi="Arial"/>
                <w:sz w:val="18"/>
                <w:szCs w:val="18"/>
                <w:color w:val="auto"/>
              </w:rPr>
              <w:t>Metric tons</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538</w:t>
            </w: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Copper</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 tons</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Lead</w:t>
            </w:r>
          </w:p>
        </w:tc>
        <w:tc>
          <w:tcPr>
            <w:tcW w:w="1320" w:type="dxa"/>
            <w:vAlign w:val="bottom"/>
            <w:gridSpan w:val="2"/>
          </w:tcPr>
          <w:p>
            <w:pPr>
              <w:spacing w:after="0"/>
              <w:rPr>
                <w:sz w:val="20"/>
                <w:szCs w:val="20"/>
                <w:color w:val="auto"/>
              </w:rPr>
            </w:pPr>
            <w:r>
              <w:rPr>
                <w:rFonts w:ascii="Arial" w:cs="Arial" w:eastAsia="Arial" w:hAnsi="Arial"/>
                <w:sz w:val="18"/>
                <w:szCs w:val="18"/>
                <w:color w:val="auto"/>
              </w:rPr>
              <w:t>Metric tons</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79</w:t>
            </w: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Heating oil</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Gallons</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139,566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125,160</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Palladium</w:t>
            </w:r>
          </w:p>
        </w:tc>
        <w:tc>
          <w:tcPr>
            <w:tcW w:w="1320" w:type="dxa"/>
            <w:vAlign w:val="bottom"/>
            <w:gridSpan w:val="2"/>
          </w:tcPr>
          <w:p>
            <w:pPr>
              <w:spacing w:after="0"/>
              <w:rPr>
                <w:sz w:val="20"/>
                <w:szCs w:val="20"/>
                <w:color w:val="auto"/>
              </w:rPr>
            </w:pPr>
            <w:r>
              <w:rPr>
                <w:rFonts w:ascii="Arial" w:cs="Arial" w:eastAsia="Arial" w:hAnsi="Arial"/>
                <w:sz w:val="18"/>
                <w:szCs w:val="18"/>
                <w:color w:val="auto"/>
              </w:rPr>
              <w:t>Troy ounce</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581</w:t>
            </w:r>
          </w:p>
        </w:tc>
        <w:tc>
          <w:tcPr>
            <w:tcW w:w="10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Platinum</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ounce</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Electricity (embedded derivative)</w:t>
            </w:r>
          </w:p>
        </w:tc>
        <w:tc>
          <w:tcPr>
            <w:tcW w:w="1320" w:type="dxa"/>
            <w:vAlign w:val="bottom"/>
            <w:gridSpan w:val="2"/>
          </w:tcPr>
          <w:p>
            <w:pPr>
              <w:spacing w:after="0"/>
              <w:rPr>
                <w:sz w:val="20"/>
                <w:szCs w:val="20"/>
                <w:color w:val="auto"/>
              </w:rPr>
            </w:pPr>
            <w:r>
              <w:rPr>
                <w:rFonts w:ascii="Arial" w:cs="Arial" w:eastAsia="Arial" w:hAnsi="Arial"/>
                <w:sz w:val="18"/>
                <w:szCs w:val="18"/>
                <w:color w:val="auto"/>
              </w:rPr>
              <w:t>MWh</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1,107</w:t>
            </w:r>
          </w:p>
        </w:tc>
        <w:tc>
          <w:tcPr>
            <w:tcW w:w="108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Notionals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our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10"/>
        </w:trPr>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exchange</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Embedded foreign currency exchange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1,455</w:t>
            </w:r>
          </w:p>
        </w:tc>
        <w:tc>
          <w:tcPr>
            <w:tcW w:w="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2010 we entered into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The fair value of this embedded derivative was an asset of $138 million at September 30, 2011 and insignificant at December 31,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February 2011 we exercised our warrants to purchase American Axle common stock. The shares acquired upon exercise were sold in February 2011 and we received proceeds of $48 million. At December 31, 2010 the fair value of these warrants was $44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In connection with our investment in New Delphi, which we accounted for using the equity method, we recorded our share of New Delphi’s other comprehensive income (loss) in Accumulated other comprehensive income. In the three months ended March 31, 2011 we recorded cash flow hedging gains of $13 million and in the three and nine months ended September 30, 2010 we recorded cash flow hedging losses of $5 million and $20 million related to our share of New Delphi’s hedging losses. In March 2011 we sold our interests in New Delphi. As a result, previously recorded cash flow hedging losses of $10 million in Accumulated other comprehensive income were reclassified to earnings and recorded in the gain on sale of New Delphi. Refer to Note 8 for additional information on the sale of our interests in New Delphi.</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p>
      <w:pPr>
        <w:spacing w:after="0" w:line="17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w:t>
      </w:r>
    </w:p>
    <w:p>
      <w:pPr>
        <w:spacing w:after="0" w:line="132"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effect of derivative instruments on earnings and Accumulated other comprehensive income was insignificant for the three and nine months ended September 30, 2011.</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rate swaps, caps and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7"/>
              </w:rPr>
              <w:t>September 30, 2011</w:t>
            </w:r>
          </w:p>
        </w:tc>
        <w:tc>
          <w:tcPr>
            <w:tcW w:w="2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8"/>
              </w:rPr>
              <w:t>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Notional</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Notional</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(a)</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1,613</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2,241</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2,173</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(b)</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 (c)</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2,195</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in GM Financial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in GM Financial Other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Notional has been translated from Canadian Dollars to U.S. Dollars at the December 31, 2010 rates.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Under the terms of the above derivative financial instruments, GM Financial is required to pledge certain funds to be held in restricted cash accounts as collateral for the outstanding derivative transactions. At September 30, 2011 and December 31, 2010 these restricted cash accounts totaled $36 million and $33 million and are included in GM Financial Restricted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 2011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7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Maximum</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Liability</w:t>
            </w:r>
          </w:p>
        </w:tc>
        <w:tc>
          <w:tcPr>
            <w:tcW w:w="3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Liability</w:t>
            </w:r>
          </w:p>
        </w:tc>
        <w:tc>
          <w:tcPr>
            <w:tcW w:w="66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Liability</w:t>
            </w:r>
          </w:p>
        </w:tc>
      </w:tr>
      <w:tr>
        <w:trPr>
          <w:trHeight w:val="161"/>
        </w:trPr>
        <w:tc>
          <w:tcPr>
            <w:tcW w:w="70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(a)</w:t>
            </w:r>
          </w:p>
        </w:tc>
        <w:tc>
          <w:tcPr>
            <w:tcW w:w="3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Recorded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Guarantees (b)</w:t>
            </w: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Ally Financial commercial loans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Supplier commitments, third party commercial loans and other obligations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product-related claims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and vehicle repurchase obligations related to Ally Financial.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42"/>
        </w:trPr>
        <w:tc>
          <w:tcPr>
            <w:tcW w:w="81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Liability Recorded</w:t>
            </w:r>
          </w:p>
        </w:tc>
        <w:tc>
          <w:tcPr>
            <w:tcW w:w="4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10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Environmental liability (a)</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Product liability</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466</w:t>
            </w:r>
          </w:p>
        </w:tc>
        <w:tc>
          <w:tcPr>
            <w:tcW w:w="88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litigation-related liabilities and tax administrative matters (b)</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1,301</w:t>
            </w:r>
          </w:p>
        </w:tc>
        <w:tc>
          <w:tcPr>
            <w:tcW w:w="8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$41 million and $45 million recorded in Accrued liabilities at September 30, 2011 and December 31, 2010, and the remainder was recorded in Other liabilities and deferred income taxes.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primarily of tax related litigation and administrative matters not recorded pursuant to ASC 740, “Income Taxes” (ASC 740) as well as various non-U.S. labor related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2016 to 2035. Certain leases contain renewal options.</w:t>
      </w:r>
    </w:p>
    <w:p>
      <w:pPr>
        <w:spacing w:after="0" w:line="132"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provide payment guarantees on commercial loans made by Ally Financial and outstanding with certain third parties, such as dealers or rental car companies. These guarantees either expire in 2029 or are ongoing. We determined the fair value ascribed to the guarantees at inception and subsequent to inception to be insignificant based on the credit worthiness of the third parties. Refer to Note 24 for additional information on guarantees that we provide to Ally Financial.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agreements with third parties that guarantee the fulfillment of certain suppliers’ commitments, third party commercial loans and other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guarantees expire in years ranging from 2011 to 2018 or upon the occurrence of specific events.</w:t>
      </w:r>
    </w:p>
    <w:p>
      <w:pPr>
        <w:spacing w:after="0" w:line="165"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September 30, 2011 any proceeds we would receive from collateral were insignificant.</w:t>
      </w:r>
    </w:p>
    <w:p>
      <w:pPr>
        <w:spacing w:after="0" w:line="140"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In connection with certain divestitures of assets or operating businesses, we have entered into agreements indemnifying certain buyers and other parties with respect to environmental conditions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 and the fair value of the guarantees at issuance was insignificant.</w:t>
      </w:r>
    </w:p>
    <w:p>
      <w:pPr>
        <w:spacing w:after="0" w:line="143"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177"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5 to 30 years.</w:t>
      </w:r>
    </w:p>
    <w:p>
      <w:pPr>
        <w:spacing w:after="0" w:line="14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results of operations and cash flows. At September 30, 2011 we estimate the remediation losses could range from $150 million to $360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in Accrued liabilities for the expected cost of all known product liability claims plus an estimate of the expected cost for all product liability claims that have already been incurred and are expected to be filed in the future for which we are self-insured.</w:t>
      </w:r>
    </w:p>
    <w:p>
      <w:pPr>
        <w:spacing w:after="0" w:line="116"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color w:val="auto"/>
        </w:rPr>
        <w:t>In accordance with our assumption from MLC of dealer sales and service agreements, we indemnify dealers for certain product liability related claims. Our experience related to dealer indemnification obligations where we are not a party arising from incidents prior to July 10, 2009 is limited. We monitor actual claims experience for consistency with this estimate and make periodic adjustments as appropriate. Based on both management judgments concerning the projected number and value of both dealer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indemnification obligations and product liability claims against us, we have applied appropriate actuarial methodologies and estimated the associated liability. We expect our product liability reserve to rise in future periods as new claims arise from incidents subsequent to July 9, 2009.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177" w:lineRule="exact"/>
        <w:rPr>
          <w:sz w:val="20"/>
          <w:szCs w:val="20"/>
          <w:color w:val="auto"/>
        </w:rPr>
      </w:pPr>
    </w:p>
    <w:p>
      <w:pPr>
        <w:jc w:val="both"/>
        <w:ind w:right="300" w:firstLine="228"/>
        <w:spacing w:after="0" w:line="335" w:lineRule="auto"/>
        <w:rPr>
          <w:sz w:val="20"/>
          <w:szCs w:val="20"/>
          <w:color w:val="auto"/>
        </w:rPr>
      </w:pPr>
      <w:r>
        <w:rPr>
          <w:rFonts w:ascii="Arial" w:cs="Arial" w:eastAsia="Arial" w:hAnsi="Arial"/>
          <w:sz w:val="15"/>
          <w:szCs w:val="15"/>
          <w:color w:val="auto"/>
        </w:rPr>
        <w:t>Various legal actions, governmental investigations, claims and proceedings are pending against us including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 and environmental matters.</w:t>
      </w:r>
    </w:p>
    <w:p>
      <w:pPr>
        <w:spacing w:after="0" w:line="88"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 as well as various non-U.S. labor-related matters. Tax related matters not recorded pursuant to ASC 740 (indirect tax-related matters)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such escrow deposits may range from $530 million to $700 million. Some of the matters may involve compensatory, punitive, or other treble damage claims, environmental remediation programs, or sanctions, that if granted, could require us to pay damages or make other expenditures in amounts that could not be reasonably estimated at September 30, 2011. We believe that appropriate accruals have been established for such matters based on information currently available. Reserves for litigation losses are recorded in Accrued liabilities and Other liabilities and deferred income taxes. These accrued reserves represent the best estimate of amounts believed to be our liability in a range of expected losses.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21" w:lineRule="exact"/>
        <w:rPr>
          <w:sz w:val="20"/>
          <w:szCs w:val="20"/>
          <w:color w:val="auto"/>
        </w:rPr>
      </w:pPr>
    </w:p>
    <w:p>
      <w:pPr>
        <w:ind w:right="80" w:firstLine="228"/>
        <w:spacing w:after="0" w:line="310" w:lineRule="auto"/>
        <w:rPr>
          <w:sz w:val="20"/>
          <w:szCs w:val="20"/>
          <w:color w:val="auto"/>
        </w:rPr>
      </w:pPr>
      <w:r>
        <w:rPr>
          <w:rFonts w:ascii="Arial" w:cs="Arial" w:eastAsia="Arial" w:hAnsi="Arial"/>
          <w:sz w:val="15"/>
          <w:szCs w:val="15"/>
          <w:color w:val="auto"/>
        </w:rPr>
        <w:t>Commencing on or about September 29, 2010, current and former hourly employees of GM Korea, our majority-owned affiliate in the Republic of Korea, filed six separate group actions in the Incheon District Court in Incheon, Korea. The cases allege that GM Korea failed to include certain allowances in its calculation of Ordinary Wages due under the Presidential Decree of the Korean Labor Standards Act. Similar cases have been brought against other large employers in the Republic of Korea. GM Korea’s accrual balance at September 30, 2011 was 135 billion Korean Won (equivalent to $114 million) in connection with these cases. The current estimate of the value of plaintiffs’ claim, if allowed in full, exceeds the accrual by 533 billion Korean Won (equivalent to $452 million). GM Korea believes the claims are without merit but, given the inherent uncertainties of the litigation process and further uncertainties arising because this litigation is at its earliest stages, this amount represents the high end of the range of reasonably possible liability exposure. Both the scope of claims asserted and GM Korea’s assessment of any or all of individual claim elements may change. This accrual is included in the reserves for non-U.S. labor-related matters.</w:t>
      </w:r>
    </w:p>
    <w:p>
      <w:pPr>
        <w:spacing w:after="0" w:line="108" w:lineRule="exact"/>
        <w:rPr>
          <w:sz w:val="20"/>
          <w:szCs w:val="20"/>
          <w:color w:val="auto"/>
        </w:rPr>
      </w:pPr>
    </w:p>
    <w:p>
      <w:pPr>
        <w:ind w:right="120" w:firstLine="228"/>
        <w:spacing w:after="0" w:line="287" w:lineRule="auto"/>
        <w:rPr>
          <w:sz w:val="20"/>
          <w:szCs w:val="20"/>
          <w:color w:val="auto"/>
        </w:rPr>
      </w:pPr>
      <w:r>
        <w:rPr>
          <w:rFonts w:ascii="Arial" w:cs="Arial" w:eastAsia="Arial" w:hAnsi="Arial"/>
          <w:sz w:val="16"/>
          <w:szCs w:val="16"/>
          <w:color w:val="auto"/>
        </w:rPr>
        <w:t>On February 12, 2010 a claim was filed in the Ontario Superior Court of Justice against GMCL on behalf of a purported class of over 200 former Canadian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Canadian dealer network and to facilitate winding down their operations in an orderly fashion by December 31, 2009 or such other date as GMCL approved but no later than upon the expiration of the Plaintiff Dealers’ Dealer Sales and Service Agreements (DSSAs) on October 31, 2010. The Plaintiff Dealers allege that the DSSAs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June 22, 2011 the court granted GMCL permission to appeal the class certification decision. At this juncture, the prospects for liability are uncertain, but because liability is not deemed probable, we have no accrual relating to this litigation. In addition, we cannot estimate the range of reasonably possible loss in the event of liability, as the case presents a variety of different legal theories, none of which GMCL believes are valid, on behalf of a large number of Plaintiff Dealers, each of which presents substantial differences in underlying facts and circumstances which GMCL believes should affect both potential liability and recoverable damages, if any, on an individual basis.</w:t>
      </w:r>
    </w:p>
    <w:p>
      <w:pPr>
        <w:spacing w:after="0" w:line="145"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On April 6, 2010 the UAW filed suit against us in the U.S. District Court for the Eastern District of Michigan claiming that we breached an obligation to contribute $450 million to the UAW Retiree Medical Benefits Trust (New VEBA). The UAW alleges that we were required to make this contribution pursuant to the UAW-Delphi-GM Memorandum of Understanding Delphi Restructuring dated June 22, 2007 (Restructuring Agreement). The possible loss is $450 million, which is the amount claimed, but we believe that the claim is without merit and we have no accrual relating to this litigation. We filed a motion in the U.S. Bankruptcy Court for the Southern District of New York asserting that the UAW’s claim is barred by the U.S. Bankruptcy Court approved 2009 UAW Retiree Settlement Agreement and by other orders issued by the U.S. Bankruptcy Court that preclude additional GM contributions to the New VEBA. We also maintain that Delphi Corporation’s bankruptcy plan of reorganization did not fulfill the applicable conditions of the Restructuring Agreement and therefore payment would not be due even in the absence of the 2009 UAW Retiree Settlement Agreement. On August 23, 2011, the U.S. Bankruptcy Court issued an opinion abstaining from hearing the case, which will accordingly be litigated in Federal Court in U.S. District Court for the Eastern District of Michigan.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jc w:val="both"/>
        <w:ind w:firstLine="228"/>
        <w:spacing w:after="0" w:line="303" w:lineRule="auto"/>
        <w:rPr>
          <w:sz w:val="20"/>
          <w:szCs w:val="20"/>
          <w:color w:val="auto"/>
        </w:rPr>
      </w:pPr>
      <w:r>
        <w:rPr>
          <w:rFonts w:ascii="Arial" w:cs="Arial" w:eastAsia="Arial" w:hAnsi="Arial"/>
          <w:sz w:val="15"/>
          <w:szCs w:val="15"/>
          <w:color w:val="auto"/>
        </w:rPr>
        <w:t>Under the Amended and Restated Master Sale and Purchase Agreement, as amended between us and Old GM and certain of its direct and indirect subsidiaries, we are obligated to issue additional shares of our common stock to MLC (Adjustment Shares) in the event that allowed general unsecured claims against MLC, as estimated by the U.S. Bankruptcy Court for the Southern District of New York, exceed $35.0 billion. The maximum number of Adjustment Shares issuable is</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At September 30, 2011 and December 31, 2010 we concluded it was not probable that general unsecured claims would exceed $35.0 billion. We believe it is reasonably possible that general unsecured claims allowed against MLC will range between $32.5 billion and $36.0 billion.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177"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$217 million and $193 million at September 30, 2011 and December 31, 2010 was pledged as collateral under the agreement. Through September 30, 2011 spending was sufficient to meet the current requirements under the agreement and the specified milestones have been accomplished. Management has the intent and believes it has the ability to meet the future requirements under the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7"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 to 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07"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interim periods, income tax expense is comprised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0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the three months ended September 30, 2011 the income tax expense of $107 million primarily resulted from tax expense attributable to entities included in our effective tax rate calculation partially offset by a tax benefit attributable to previously unrecognized tax benefits in various jurisdictions. This benefit includes reductions in interest expense associated with these previously unrecognized tax benefits. In the nine months ended September 30, 2011 income tax expense of $183 million primarily resulted from tax expense attributable to entities included in our effective tax rate calculation partially offset by tax benefit attributable to previously unrecognized tax benefits in various jurisdictions. This benefit includes reductions in interest expense and valuation allowances associated with these previously unrecognized tax benefits. The effective tax rate is lower than the applicable statutory tax rate, due primarily to income earned in jurisdictions for which a full valuation allowance is recorded.</w:t>
      </w:r>
    </w:p>
    <w:p>
      <w:pPr>
        <w:spacing w:after="0" w:line="118"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In the three months ended September 30, 2010 income tax benefit of $25 million primarily resulted from income tax provisions attributable to profitable entities of $50 million included in our effective tax rate calculation offset by net tax benefit of $75 million attributable to unusual or infrequent items, none of which had a significant effect on tax expense either individually or in aggregate. In the nine months ended September 30, 2010 income tax expense of $845 million primarily resulted from income tax provisions for profitable entities and a taxable foreign currency gain in Venezuela. As a result of the official devaluation of the Venezuelan currency in the nine months ended September 30, 2010, we recorded income tax expense related to the foreign currency exchange gain on the net monetary position of our foreign currency denominated assets.</w:t>
      </w:r>
    </w:p>
    <w:p>
      <w:pPr>
        <w:spacing w:after="0" w:line="120" w:lineRule="exact"/>
        <w:rPr>
          <w:sz w:val="20"/>
          <w:szCs w:val="20"/>
          <w:color w:val="auto"/>
        </w:rPr>
      </w:pPr>
    </w:p>
    <w:p>
      <w:pPr>
        <w:jc w:val="both"/>
        <w:ind w:right="140" w:firstLine="228"/>
        <w:spacing w:after="0" w:line="298" w:lineRule="auto"/>
        <w:rPr>
          <w:sz w:val="20"/>
          <w:szCs w:val="20"/>
          <w:color w:val="auto"/>
        </w:rPr>
      </w:pPr>
      <w:r>
        <w:rPr>
          <w:rFonts w:ascii="Arial" w:cs="Arial" w:eastAsia="Arial" w:hAnsi="Arial"/>
          <w:sz w:val="16"/>
          <w:szCs w:val="16"/>
          <w:color w:val="auto"/>
        </w:rPr>
        <w:t>We file income tax returns in multiple jurisdictions and are subject to examination by taxing authorities throughout the world. We have open tax years from 2002 to 2010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June 30, 2011 we settled a Brazilian income tax matter for $241 million that was reserved and disclosed in a prior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September 30, 2011 it is not possible to reasonably estimate the expected change to the total amount of unrecognized tax benefits in the next 12 months.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5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p>
    <w:p>
      <w:pPr>
        <w:spacing w:after="0" w:line="17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3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Securities are classified in Level 1 when quoted prices in an active market for identical securities are available. If quoted market prices are not available, fair values of securities are determined using prices from a pricing service, pricing models, quoted prices of securities with similar characteristics or discounted cash flow models and are generally classified in Level 2. These prices represent non-binding quotes. U.S. government and agency securities, certificates of deposit, commercial paper and corporate debt securities are classified in Level 2. Our pricing vendor utilizes industry-standard pricing models that consider various inputs, including benchmark yields, reported trades, broker/dealer quotes, issuer spreads and benchmark securities as well as other relevant economic measures. Securities are classified in Level 3 in certain cases where there are significant unobservable inputs to the valuation in the marketplace. Level 3 financial instruments typically include, in addition to the unobservable inputs, observable components that are validated to external sources.</w:t>
      </w:r>
    </w:p>
    <w:p>
      <w:pPr>
        <w:spacing w:after="0" w:line="118"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We measure fair value of our marketable securities using a market approach where identical or comparable prices are available, and an income approach in other cases. We obtain the majority of the prices used in this valuation from a pricing service. We conduct an annual review of our pricing service. This review includes discussion and analysis of the inputs used by the pricing service to provide prices for the types of securities we hold. These inputs include prices for comparable securities, bid/ask quotes, interest rate yields, and prepayment speeds. Based on our review we believe the prices received from our pricing service are a reliable representation of exit prices.</w:t>
      </w:r>
    </w:p>
    <w:p>
      <w:pPr>
        <w:spacing w:after="0" w:line="14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includes certain foreign currency derivatives, commodity derivatives, interest rate caps, and warrants. Derivative contracts and other liabilities that are valued based upon models with significant unobservable market inputs are classified in Level 3. Level 3 derivative contracts include certain foreign currency derivatives, embedded derivatives and interest rate swaps.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Fair Value Measurements on a Recurring Basis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85"/>
              </w:rPr>
              <w:t>at September 30, 2011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2,079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Sovereign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Other debt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United States government and agency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Sovereign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assets (a)(b)</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exchange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Embedded</w:t>
            </w:r>
          </w:p>
        </w:tc>
        <w:tc>
          <w:tcPr>
            <w:tcW w:w="2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2,519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25,731</w:t>
            </w: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28,388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liabilities (c)</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exchange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Embedded</w:t>
            </w:r>
          </w:p>
        </w:tc>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Fair Value Measurements on a Recurring Basis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7"/>
              </w:rPr>
              <w:t>at 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4,844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Sovereign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Other debt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United States government and agency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Sovereign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assets (a)(b)</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exchange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2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5,215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15,000</w:t>
            </w: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20,225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liabilities (c)</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exchange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0"/>
              </w:rPr>
              <w:t>Level 3 Net Assets and (Liabilities) (a)</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Embedded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July 1, 2011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Issuances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Balance at September 30, 2011</w:t>
            </w: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Amount of total gains and (losses) in the period included in earnings attributable to the change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 unrealized gains or (losses) relating to assets/liabilities still held at the reporting date</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51"/>
        </w:trPr>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0"/>
              </w:rPr>
              <w:t>Level 3 Net Assets and (Liabilities) (a)</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Embedded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Issuances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Balance at September 30, 2011</w:t>
            </w: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Amount of total gains and (losses) in the period included in earnings attributable to the change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 unrealized gains or (losses) relating to assets/liabilities still held at the reporting date</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63"/>
        </w:trPr>
        <w:tc>
          <w:tcPr>
            <w:tcW w:w="6940" w:type="dxa"/>
            <w:vAlign w:val="bottom"/>
          </w:tcPr>
          <w:p>
            <w:pPr>
              <w:ind w:left="562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Level 3 Net Assets and (Liabilities)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6"/>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July 1, 2010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Purchases, issuances, and settlements</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w w:val="95"/>
              </w:rPr>
              <w:t>Amount of total gains and (losses) in the period included in earnings attributable to the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gains or (losses) relating to assets still held at the reporting date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Level 3 Net Assets and (Liabilities) (a)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6"/>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Purchases, issuances, and settlements</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w w:val="95"/>
              </w:rPr>
              <w:t>Amount of total gains and (losses) in the period included in earnings attributable to the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gains or (losses) relating to assets still held at the reporting date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Realized and unrealized gains (losses) are recorded in Interest income and other non-operating income, net and foreign currency translation gains (losses) are recorded in Accumulated other comprehensive income.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and Long-Term Debt</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carrying amount and estimated fair values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10"/>
        </w:trPr>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Carrying amount (a)</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Fair value (a)</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4,272</w:t>
            </w:r>
          </w:p>
        </w:tc>
        <w:tc>
          <w:tcPr>
            <w:tcW w:w="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 Common and Preferred Stock</w:t>
      </w:r>
    </w:p>
    <w:p>
      <w:pPr>
        <w:spacing w:after="0" w:line="171"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analysis were Ally Financial’s financial statements, as well as the financial statements and price to tangible book value multiples of comparable companies in the banking and finance industry, resulting in a Level 3 measure.</w:t>
      </w:r>
    </w:p>
    <w:p>
      <w:pPr>
        <w:spacing w:after="0" w:line="14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$0.3 billion related to the sale was recorded in Interest income and other non-operating income, net.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and estimated fair value of Ally Financial common and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1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Common stock</w:t>
            </w: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Carrying amount (a)</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958</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rPr>
              <w:t>Fair value</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in Ally Financial common stock at December 31, 2010 includes a 4.0% direct ownership and a 5.9% ownership held indirectly through an independent trust. In May 2011 we transferred all directly held shares to the independent trust.</w:t>
      </w:r>
    </w:p>
    <w:p>
      <w:pPr>
        <w:spacing w:after="0" w:line="132"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As indicated in the table above, at September 30, 2011 the carrying amount of our investment in Ally Financial common stock exceeded our estimate of its fair value. The financial markets, in particular the share prices for comparable companies in the banking and financial services industry, are currently experiencing significant volatility stemming, in part, from many broader macroeconomic uncertainties, including the eurozone debt crisis, an increasing risk of another recession and concerns about mortgage-related liabilities. It is reasonably possible that in a market-based transaction the actual fair value of Ally Financial common stock would be a value other than the estimated fair value. In addition, we assessed whether the decline in value represented an other-than-temporary impairment and concluded that the impairment is temporary. We believe that the recent economic uncertainty is weighing heavily on the valuation of financial institutions, including Ally Financial, and has resulted in significant volatility in the financial markets. We believe that this is a temporary condition. Should market conditions not recover in the near term, or the decline in fair value remain for an extended duration, we may conclude the impairment is other than temporary, resulting in an impairment charge. We currently have the ability and intent to hold the investment until its fair value recovers. We can cause the trustee to return all Ally Financial common stock currently held in the trust to us to hold directly.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87"/>
              </w:rPr>
              <w:t>at September 30, 2011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Restricted cash (a)</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Interest rate caps (b)</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60" w:type="dxa"/>
            <w:vAlign w:val="bottom"/>
            <w:gridSpan w:val="3"/>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Interest rate swaps (b)</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87"/>
              </w:rPr>
              <w:t>at December 31, 2010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Restricted cash (a)</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Interest rate caps (b)</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60" w:type="dxa"/>
            <w:vAlign w:val="bottom"/>
            <w:gridSpan w:val="3"/>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Interest rate swaps (b)</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Foreign currency exchange</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deposits and cash held in Guaranteed Investment Contracts have been excluded.</w:t>
      </w:r>
    </w:p>
    <w:p>
      <w:pPr>
        <w:spacing w:after="0" w:line="9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fair value of interest rate swap and cap derivatives are based upon quoted market prices when available. If quoted prices are not available, the fair value is estimated by discounting future net cash flows expected to be settled using a current risk adjusted rate.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29"/>
        </w:trPr>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Interest Rate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Swap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Swap</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July 1, 2011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Balance at September 30, 2011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29"/>
        </w:trPr>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44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Swap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Swap</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Balance at September 30, 2011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estimated fair values, carrying amounts and various methods and assumptions used in valuing GM Financial’s financial instruments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1"/>
              </w:rPr>
              <w:t>September 30, 2011</w:t>
            </w:r>
          </w:p>
        </w:tc>
        <w:tc>
          <w:tcPr>
            <w:tcW w:w="10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Finance receivables, net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8,918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9,116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8,197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Syndicated and lease warehouse facilities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Medium term note facility and bank funding facility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Securitization notes payable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6,902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Senior notes and convertible senior notes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value of the finance receivables is estimated based upon forecasted cash flows discounted using a pre-tax weighted-average cost of capital. The forecast includes factors such as prepayment, defaults, recoveries and fee income assumptions.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syndicated and lease warehouse facilities have variable rates of interest and maturities of approximately one year. The carrying amount is considered to be a reasonable estimate of fair value.</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fair values of the medium term note and bank funding facility, securitization notes payable and senior notes and convertible senior notes are based on quoted market prices, when available. If quoted market prices are not available, the fair value is estimated by discounting future net cash flows expected to be settled using a current risk-adjusted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Restructuring and Other Initiatives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40"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The following table summarizes the reserves related to restructuring and other initiatives (excluding restructuring reserves related to dealer wind-down agreements) and charges by segment, including postemployment benefit reserves and charges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GME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GMSA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Total Automotive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$ 664</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2011 (a)</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957</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$ 570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remaining cash payments related to these reserves for restructuring and other initiatives, including temporary layoff benefits for GMNA, primarily relate to postemployment benefits to be paid.</w:t>
      </w:r>
    </w:p>
    <w:p>
      <w:pPr>
        <w:spacing w:after="0" w:line="132"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GMNA recorded charges, interest accretion and other and revisions to estimates that increased the reserves by $95 million and $141 million in the three and nine months ended September 30, 2011. These increases were primarily related to: (1) changes to UAW hourly layoff benefits primarily related to the Labor Agreement; (2) Canadian restructuring activities and (3) a special attrition program for skilled trade U.S. hourly employees.</w:t>
      </w:r>
    </w:p>
    <w:p>
      <w:pPr>
        <w:spacing w:after="0" w:line="10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Labor Agreement includes cash severance incentive programs which may range up to $90 million through March 31, 2012 for skilled trade employees that will be included in our restructuring liability upon irrevocable acceptances by both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GME recorded charges and interest accretion and other of $106 million and $241 million for separation programs in the three and nine months ended September 30, 2011 primarily related to previously announced programs in Germany.</w:t>
      </w:r>
    </w:p>
    <w:p>
      <w:pPr>
        <w:spacing w:after="0" w:line="132"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Restructuring and early retirement programs in Spain, the U.K. and Belgium were essentially completed in 2010 and we also initiated a program in Germany in 2010. Through September 30, 2011 these programs had a total cost of $900 million and affected a total of 5,800 employees and included the closure of the Antwerp, Belgium facility. We expect to incur an additional $300 million, primarily in 2011 and 2012, to complete these programs, which will affect an additional 1,600 employees. As these programs primarily involve voluntary separations, no liabilities are recorded until offers to employees are accepted. To the extent employees will be involuntarily terminated, a liability is recorded at the communication date.</w:t>
      </w:r>
    </w:p>
    <w:p>
      <w:pPr>
        <w:spacing w:after="0" w:line="116"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The following table summarizes the reserves related to restructuring and other initiatives (excluding restructuring reserves related to dealer wind-down agreements) and charges by segment, including postemployment benefit reserves and charges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GME</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700" w:type="dxa"/>
            <w:vAlign w:val="bottom"/>
            <w:gridSpan w:val="4"/>
          </w:tcPr>
          <w:p>
            <w:pPr>
              <w:ind w:left="120"/>
              <w:spacing w:after="0"/>
              <w:rPr>
                <w:sz w:val="20"/>
                <w:szCs w:val="20"/>
                <w:color w:val="auto"/>
              </w:rPr>
            </w:pPr>
            <w:r>
              <w:rPr>
                <w:rFonts w:ascii="Arial" w:cs="Arial" w:eastAsia="Arial" w:hAnsi="Arial"/>
                <w:sz w:val="14"/>
                <w:szCs w:val="14"/>
                <w:b w:val="1"/>
                <w:bCs w:val="1"/>
                <w:color w:val="auto"/>
              </w:rPr>
              <w:t>GMSA</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$ 451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$ 732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remaining cash payments related to these reserves for restructuring and other initiatives, including temporary layoff benefits for GMNA, primarily relate to postemployment benefits to be paid.</w:t>
      </w:r>
    </w:p>
    <w:p>
      <w:pPr>
        <w:spacing w:after="0" w:line="132"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GMNA recorded charges, interest accretion and other and revisions to estimates that decreased the restructuring reserves by $51 million and $108 million in the three and nine months ended September 30, 2010. The decreases were primarily related to increased production capacity utilization, which resulted in the recall of idled employees to fill added shifts at multiple production sites, partially offset by Canadian restructuring activities.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GME recorded charges, interest accretion and other and revisions to estimates that increased the restructuring reserve by $151 million and $683 million in the three and nine months ended September 30, 2010 for separation programs primarily related to the following initiatives:</w:t>
      </w:r>
    </w:p>
    <w:p>
      <w:pPr>
        <w:spacing w:after="0" w:line="172" w:lineRule="exact"/>
        <w:rPr>
          <w:sz w:val="20"/>
          <w:szCs w:val="20"/>
          <w:color w:val="auto"/>
        </w:rPr>
      </w:pPr>
    </w:p>
    <w:p>
      <w:pPr>
        <w:ind w:left="660" w:right="18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charges of $92 million and $445 million in the three and nine months ended September 30, 2010 for a separation plan related to the closure of the Antwerp, Belgium facility which affected 2,600 employees.</w:t>
      </w:r>
    </w:p>
    <w:p>
      <w:pPr>
        <w:spacing w:after="0" w:line="5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charges of $72 million and revisions to estimates of $11 million to decrease the reserve in the nine months ended September 30, 2010 related to separation/layoff plans and an early retirement plan in Spain which affected 1,200 employees.</w:t>
      </w:r>
    </w:p>
    <w:p>
      <w:pPr>
        <w:spacing w:after="0" w:line="50" w:lineRule="exact"/>
        <w:rPr>
          <w:rFonts w:ascii="Arial" w:cs="Arial" w:eastAsia="Arial" w:hAnsi="Arial"/>
          <w:sz w:val="18"/>
          <w:szCs w:val="18"/>
          <w:color w:val="auto"/>
        </w:rPr>
      </w:pPr>
    </w:p>
    <w:p>
      <w:pPr>
        <w:ind w:left="660" w:right="22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charges of $3 million and $28 million in the three and nine months ended September 30, 2010 related to a voluntary separation program in the United Kingdom.</w:t>
      </w:r>
    </w:p>
    <w:p>
      <w:pPr>
        <w:spacing w:after="0" w:line="50" w:lineRule="exact"/>
        <w:rPr>
          <w:rFonts w:ascii="Arial" w:cs="Arial" w:eastAsia="Arial" w:hAnsi="Arial"/>
          <w:sz w:val="18"/>
          <w:szCs w:val="18"/>
          <w:color w:val="auto"/>
        </w:rPr>
      </w:pPr>
    </w:p>
    <w:p>
      <w:pPr>
        <w:ind w:left="660" w:right="360" w:hanging="436"/>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charges of $5 million and $32 million and interest accretion and other of $26 million and $81 million in the three and nine months ended September 30, 2010 related to previously announced programs in Germany and separation charges of $20 million related to a voluntary separation program announced in the three months ended September 30,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Wind-downs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GMNA’s restructuring reserves related to dealer wind-down agreements in the three and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U.S.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Canada and Mexico</w:t>
            </w:r>
          </w:p>
        </w:tc>
        <w:tc>
          <w:tcPr>
            <w:tcW w:w="26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Revisions to estimates</w:t>
            </w:r>
          </w:p>
        </w:tc>
        <w:tc>
          <w:tcPr>
            <w:tcW w:w="80" w:type="dxa"/>
            <w:vAlign w:val="bottom"/>
          </w:tcPr>
          <w:p>
            <w:pPr>
              <w:spacing w:after="0"/>
              <w:rPr>
                <w:sz w:val="18"/>
                <w:szCs w:val="18"/>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9"/>
              </w:rPr>
              <w:t>(80)</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Balance at March 31, 2011</w:t>
            </w: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w:t>
            </w:r>
          </w:p>
        </w:tc>
        <w:tc>
          <w:tcPr>
            <w:tcW w:w="80" w:type="dxa"/>
            <w:vAlign w:val="bottom"/>
          </w:tcPr>
          <w:p>
            <w:pPr>
              <w:spacing w:after="0"/>
              <w:rPr>
                <w:sz w:val="19"/>
                <w:szCs w:val="19"/>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8"/>
                <w:szCs w:val="18"/>
                <w:color w:val="auto"/>
                <w:w w:val="99"/>
              </w:rPr>
              <w:t>(24)</w:t>
            </w:r>
          </w:p>
        </w:tc>
        <w:tc>
          <w:tcPr>
            <w:tcW w:w="5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color w:val="auto"/>
              </w:rPr>
              <w:t>Revisions to estimates</w:t>
            </w:r>
          </w:p>
        </w:tc>
        <w:tc>
          <w:tcPr>
            <w:tcW w:w="80" w:type="dxa"/>
            <w:vAlign w:val="bottom"/>
          </w:tcPr>
          <w:p>
            <w:pPr>
              <w:spacing w:after="0"/>
              <w:rPr>
                <w:sz w:val="19"/>
                <w:szCs w:val="19"/>
                <w:color w:val="auto"/>
              </w:rPr>
            </w:pPr>
          </w:p>
        </w:tc>
        <w:tc>
          <w:tcPr>
            <w:tcW w:w="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Balance at September 30, 2011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and nine months ended September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Canada and Mexico</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3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$ 460</w:t>
            </w:r>
          </w:p>
        </w:tc>
        <w:tc>
          <w:tcPr>
            <w:tcW w:w="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84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8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Revisions to estimates</w:t>
            </w:r>
          </w:p>
        </w:tc>
        <w:tc>
          <w:tcPr>
            <w:tcW w:w="4940" w:type="dxa"/>
            <w:vAlign w:val="bottom"/>
            <w:gridSpan w:val="3"/>
          </w:tcPr>
          <w:p>
            <w:pPr>
              <w:jc w:val="right"/>
              <w:ind w:right="62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8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June 30, 2010</w:t>
            </w:r>
          </w:p>
        </w:tc>
        <w:tc>
          <w:tcPr>
            <w:tcW w:w="38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8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4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Payments</w:t>
            </w:r>
          </w:p>
        </w:tc>
        <w:tc>
          <w:tcPr>
            <w:tcW w:w="38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$ 204</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40" w:type="dxa"/>
            <w:vAlign w:val="bottom"/>
            <w:vMerge w:val="restart"/>
          </w:tcPr>
          <w:p>
            <w:pPr>
              <w:jc w:val="right"/>
              <w:ind w:right="2072"/>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GMNA</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Total GMNA impairment charges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r>
      <w:tr>
        <w:trPr>
          <w:trHeight w:val="218"/>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1"/>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Total GME impairment charges</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18"/>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HKJV (a)</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Total GMIO impairment charges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8"/>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GMSA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GMSA impairment charges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 impairment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Refer to Note 8 for additional information related to our investment in HKJV.</w:t>
      </w:r>
    </w:p>
    <w:p>
      <w:pPr>
        <w:spacing w:after="0" w:line="171" w:lineRule="exact"/>
        <w:rPr>
          <w:sz w:val="20"/>
          <w:szCs w:val="20"/>
          <w:color w:val="auto"/>
        </w:rPr>
      </w:pPr>
    </w:p>
    <w:p>
      <w:pPr>
        <w:ind w:right="680" w:firstLine="228"/>
        <w:spacing w:after="0" w:line="259" w:lineRule="auto"/>
        <w:rPr>
          <w:sz w:val="20"/>
          <w:szCs w:val="20"/>
          <w:color w:val="auto"/>
        </w:rPr>
      </w:pPr>
      <w:r>
        <w:rPr>
          <w:rFonts w:ascii="Arial" w:cs="Arial" w:eastAsia="Arial" w:hAnsi="Arial"/>
          <w:sz w:val="18"/>
          <w:szCs w:val="18"/>
          <w:color w:val="auto"/>
        </w:rPr>
        <w:t>Fair value measurements, excluding vehicles leased to rental car companies, utilized projected cash flows discounted at a rate commensurate with the perceived business risks related to the assets involved. Fair value measurements of vehicles leased to rental car companies utilized projected cash flows throughout the rental period and at auction.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assets measured at fair value (all of which utilized Level 3 inputs) on a nonrecurring basis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Significant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7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Inputs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 (a)</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72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(Level 3)</w:t>
            </w:r>
          </w:p>
        </w:tc>
        <w:tc>
          <w:tcPr>
            <w:tcW w:w="7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Product-specific tooling assets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7"/>
              </w:rPr>
              <w:t>—</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Vehicles leased to rental car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companies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7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center"/>
              <w:ind w:right="42"/>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5"/>
              </w:rPr>
              <w:t>Quoted Prices in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 w:type="dxa"/>
            <w:vAlign w:val="bottom"/>
          </w:tcPr>
          <w:p>
            <w:pPr>
              <w:spacing w:after="0"/>
              <w:rPr>
                <w:sz w:val="12"/>
                <w:szCs w:val="12"/>
                <w:color w:val="auto"/>
              </w:rPr>
            </w:pPr>
          </w:p>
        </w:tc>
        <w:tc>
          <w:tcPr>
            <w:tcW w:w="14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Assets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7"/>
          </w:tcPr>
          <w:p>
            <w:pPr>
              <w:spacing w:after="0"/>
              <w:rPr>
                <w:sz w:val="20"/>
                <w:szCs w:val="20"/>
                <w:color w:val="auto"/>
              </w:rPr>
            </w:pPr>
            <w:r>
              <w:rPr>
                <w:rFonts w:ascii="Arial" w:cs="Arial" w:eastAsia="Arial" w:hAnsi="Arial"/>
                <w:sz w:val="14"/>
                <w:szCs w:val="14"/>
                <w:b w:val="1"/>
                <w:bCs w:val="1"/>
                <w:color w:val="auto"/>
              </w:rPr>
              <w:t>September 30, 2011 (a)</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(Level 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7"/>
              </w:rPr>
              <w:t>(Level 3)</w:t>
            </w:r>
          </w:p>
        </w:tc>
        <w:tc>
          <w:tcPr>
            <w:tcW w:w="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HKJV</w:t>
            </w: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5"/>
              </w:rPr>
              <w:t>Vehicles leased to rental car companies</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200-922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200-922</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8"/>
            <w:vMerge w:val="restart"/>
          </w:tcPr>
          <w:p>
            <w:pPr>
              <w:jc w:val="center"/>
              <w:ind w:right="220"/>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172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ind w:left="240"/>
              <w:spacing w:after="0" w:line="149" w:lineRule="exact"/>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Identical</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50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Assets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September 30, 2010 (a)</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7"/>
              </w:rPr>
              <w:t>(Level 3)</w:t>
            </w: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Product-specific tooling assets</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7"/>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7"/>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5"/>
              </w:rPr>
              <w:t>Vehicles leased to rental car companies</w:t>
            </w:r>
          </w:p>
        </w:tc>
        <w:tc>
          <w:tcPr>
            <w:tcW w:w="6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 Active</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Identical</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September 30, 2010 (a)</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1"/>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(Level 3)</w:t>
            </w: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Product-specific tooling assets</w:t>
            </w:r>
          </w:p>
        </w:tc>
        <w:tc>
          <w:tcPr>
            <w:tcW w:w="62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5"/>
              </w:rPr>
              <w:t>Vehicles leased to rental car companies</w:t>
            </w:r>
          </w:p>
        </w:tc>
        <w:tc>
          <w:tcPr>
            <w:tcW w:w="76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537-614</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88"/>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537-614</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fair value measure (or range of measures)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76"/>
              </w:rPr>
              <w:t>2011</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GMNA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GME</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Total contract cancellation charges</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$ 81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060" w:hanging="5612"/>
        <w:spacing w:after="0" w:line="440" w:lineRule="auto"/>
        <w:tabs>
          <w:tab w:leader="none" w:pos="4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three months ended September 30, 2010 included a favorable change in estimate on a contract cancellation of $14 million. 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177"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In the three and nine months ended September 30, 2011 we were required to use the two-class method for calculating earnings per share, as further discussed below, as the applicable market value of our common stock was below $33.00 per common share in the period ended September 30, 2011.</w:t>
      </w:r>
    </w:p>
    <w:p>
      <w:pPr>
        <w:spacing w:after="0" w:line="85"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Basic and diluted earnings per share were computed by dividing earnings attributable to common stockholders by the weighted-average common shares outstanding in the period. The computation of diluted earnings per share gives effect to all potentially dilutive securities. In periods prior to our public offering, we utilized an average stock price based upon estimates of the fair value of our common stock. Subsequent to our public offering, we used the New York Stock Exchange price.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basic and diluted earnings per share (in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Basic</w:t>
            </w:r>
          </w:p>
        </w:tc>
        <w:tc>
          <w:tcPr>
            <w:tcW w:w="9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Diluted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92"/>
              </w:rPr>
              <w:t>Nine Months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76"/>
              <w:spacing w:after="0" w:line="149" w:lineRule="exact"/>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5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7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8"/>
              </w:rPr>
              <w:t>September 30, 2011</w:t>
            </w:r>
          </w:p>
        </w:tc>
        <w:tc>
          <w:tcPr>
            <w:tcW w:w="6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2,107</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8,465</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2,107</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 and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undistributed earnings allocated to Series B Preferred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participating security (a)</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7,113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1,736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1,562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Dilutive effect of restricted stock units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00" w:hanging="452"/>
        <w:spacing w:after="0" w:line="29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$644 million in the three and nine months ended September 30, 2011. Earnings of $166 million and $708 million for the three and nine months ended September 30, 2011 have been allocated to the Series B Preferred Stock holders for the basic earnings per share calculation. Earnings of $156 million and $651 million for the three and nine months ended September 30, 2011 have been allocated to the Series B Preferred Stock holders for the diluted earnings per share calculation.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Basic</w:t>
            </w:r>
          </w:p>
        </w:tc>
        <w:tc>
          <w:tcPr>
            <w:tcW w:w="10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Diluted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w w:val="92"/>
              </w:rPr>
              <w:t>Nine Months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Ended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5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2010</w:t>
            </w:r>
          </w:p>
        </w:tc>
        <w:tc>
          <w:tcPr>
            <w:tcW w:w="6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7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4,766</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2,162</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4,158</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1,959</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w w:val="97"/>
              </w:rPr>
              <w:t>Weighted-average common shares outstanding-diluted</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1,630</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Nine Months Ended September 30, 2011</w:t>
      </w:r>
    </w:p>
    <w:p>
      <w:pPr>
        <w:spacing w:after="0" w:line="171" w:lineRule="exact"/>
        <w:rPr>
          <w:sz w:val="20"/>
          <w:szCs w:val="20"/>
          <w:color w:val="auto"/>
        </w:rPr>
      </w:pPr>
    </w:p>
    <w:p>
      <w:pPr>
        <w:ind w:right="60" w:firstLine="228"/>
        <w:spacing w:after="0" w:line="318" w:lineRule="auto"/>
        <w:rPr>
          <w:sz w:val="20"/>
          <w:szCs w:val="20"/>
          <w:color w:val="auto"/>
        </w:rPr>
      </w:pPr>
      <w:r>
        <w:rPr>
          <w:rFonts w:ascii="Arial" w:cs="Arial" w:eastAsia="Arial" w:hAnsi="Arial"/>
          <w:sz w:val="15"/>
          <w:szCs w:val="15"/>
          <w:color w:val="auto"/>
        </w:rPr>
        <w:t>Our Series B Preferred Stock is a participating security and requires the application of the two-class method for calculating earnings per share when the applicable market value of our common stock is below $33.00 or above $39.60 per common share. For purposes of calculating earnings per share, the applicable market value is calculated as the average of the closing prices of our common stock over the 40 consecutive trading day period ending on the third trading day immediately preceding the date of our financial statements. The calculation of the applicable market value at the date of our financial statements will apply to the current quarter and the year to date period presented, irrespective of the applicable market value computed during the prior quarters of the current year.</w:t>
      </w:r>
    </w:p>
    <w:p>
      <w:pPr>
        <w:spacing w:after="0" w:line="100" w:lineRule="exact"/>
        <w:rPr>
          <w:sz w:val="20"/>
          <w:szCs w:val="20"/>
          <w:color w:val="auto"/>
        </w:rPr>
      </w:pPr>
    </w:p>
    <w:p>
      <w:pPr>
        <w:ind w:right="40" w:firstLine="228"/>
        <w:spacing w:after="0" w:line="323" w:lineRule="auto"/>
        <w:rPr>
          <w:sz w:val="20"/>
          <w:szCs w:val="20"/>
          <w:color w:val="auto"/>
        </w:rPr>
      </w:pPr>
      <w:r>
        <w:rPr>
          <w:rFonts w:ascii="Arial" w:cs="Arial" w:eastAsia="Arial" w:hAnsi="Arial"/>
          <w:sz w:val="15"/>
          <w:szCs w:val="15"/>
          <w:color w:val="auto"/>
        </w:rPr>
        <w:t>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Accordingly, variability may result in our calculation of earnings per share from period to period depending on whether the application of the two-class method is required.</w:t>
      </w:r>
    </w:p>
    <w:p>
      <w:pPr>
        <w:spacing w:after="0" w:line="98"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Because the applicable market value of our common stock was below $33.00 per common share for the three and nine months ended September 30, 2011, we applied the two-class method to calculate basic earnings per share and the more dilutive of the two-class or the if-converted method to calculate diluted earnings per share. 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1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April 2011 MLC began distribution of 272 million warrants for our common stock to its unsecured creditors.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140"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Warrants to purchase 313 million shares of our common stock were outstanding at September 30, 2011,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119 million and 142 million dilutive shares in the three and nine months ended September 30, 2011.</w:t>
      </w:r>
    </w:p>
    <w:p>
      <w:pPr>
        <w:spacing w:after="0" w:line="143"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Diluted earnings per share included the effect of unvested restricted stock units (RSUs) granted to certain global executives. At September 30, 2011 there were 14 million unvested RSUs outstanding.</w:t>
      </w:r>
    </w:p>
    <w:p>
      <w:pPr>
        <w:spacing w:after="0" w:line="13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32" w:lineRule="exact"/>
        <w:rPr>
          <w:sz w:val="20"/>
          <w:szCs w:val="20"/>
          <w:color w:val="auto"/>
        </w:rPr>
      </w:pPr>
    </w:p>
    <w:p>
      <w:pPr>
        <w:ind w:right="80" w:firstLine="228"/>
        <w:spacing w:after="0" w:line="370" w:lineRule="auto"/>
        <w:rPr>
          <w:sz w:val="20"/>
          <w:szCs w:val="20"/>
          <w:color w:val="auto"/>
        </w:rPr>
      </w:pPr>
      <w:r>
        <w:rPr>
          <w:rFonts w:ascii="Arial" w:cs="Arial" w:eastAsia="Arial" w:hAnsi="Arial"/>
          <w:sz w:val="15"/>
          <w:szCs w:val="15"/>
          <w:color w:val="auto"/>
        </w:rPr>
        <w:t>In July 2011 the 61 million shares of common stock contributed to our pension plans, in January 2011, met the criteria to qualify as plan assets for accounting purposes. Accordingly, these shares were considered outstanding for earnings per share purposes beginning in the three months ended September 30, 2011.</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Nine Months Ended September 30, 2010</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Warrants to purchase 318 million shares of our common stock were outstanding, of which 46 million were not included in the computation of diluted earnings per share because the warrants’ exercise price was greater than the fair value of our common stock. Under the treasury stock method, the assumed exercise of warrants to purchase the remaining 272 million shares resulted in 130 million and 88 million dilutive shares for the three and nine months ended September 30,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460" w:firstLine="228"/>
        <w:spacing w:after="0" w:line="335" w:lineRule="auto"/>
        <w:rPr>
          <w:sz w:val="20"/>
          <w:szCs w:val="20"/>
          <w:color w:val="auto"/>
        </w:rPr>
      </w:pPr>
      <w:r>
        <w:rPr>
          <w:rFonts w:ascii="Arial" w:cs="Arial" w:eastAsia="Arial" w:hAnsi="Arial"/>
          <w:sz w:val="15"/>
          <w:szCs w:val="15"/>
          <w:color w:val="auto"/>
        </w:rPr>
        <w:t>Diluted earnings per share excluded the assumed issuance of unvested RSUs granted to certain global executives as these awards were payable in cash if settled prior to six months after a completion of a successful public offering. At September 30, 2010 a total of 18 million RSUs were outstanding, of which neither the vested nor unvested portion was included for purposes of calculating diluted earnings per share due to the cash settlement condition at that time.</w:t>
      </w:r>
    </w:p>
    <w:p>
      <w:pPr>
        <w:spacing w:after="0" w:line="88"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Our stock incentive plans consist of the 2009 Long-Term Incentive Plan as amended on December 22, 2010 (2009 GMLTIP) and the Salary Stock Plan as amended on October 5, 2010 (GMSSP). Both plans are administered by the Executive Compensation Committee of our Board of Directors. The aggregate number of shares that may be granted under the 2009 GMLTIP and the GMSSP shall not exceed 75 million shares.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7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27"/>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34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amounts were insignificant in the three and nine months ended September 30, 2011 and 2010 and did not include U.S. and non-U.S.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jurisdictions with full valuation allowances.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the nine months ended September 30, 2011 we granted RSUs to certain global executives under the 2009 GMLTIP. The RSUs were valued on the date of grant at the fair value of our common stock. Awards granted under the 2009 GMLTIP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43"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Awards granted in 2011 to the Top 25 highest compensated employees will settle three years from the grant date in 25% increments in conjunction with each 25% of our Troubled Asset Relief Program obligations that are repaid. The awards for the Next 75 highest compensated employees will settle either: (1) three years from the date of grant; or (2) on the first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Stock</w:t>
      </w:r>
    </w:p>
    <w:p>
      <w:pPr>
        <w:spacing w:after="0" w:line="171"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In November 2009 we initiated a salary stock program for certain global executives under the GMSSP whereby a portion of each participant’s total annual compensation was accrued and converted to RSUs at each salary payment date. Beginning in 2010 a portion of each participant’s salary accrued on each salary payment date converted to RSUs on a quarterly basis. Our policy is to issue new shares upon settlement of these awards.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summarizes our RSU activity under the 2009 GMLTIP and GMSSP in the nine months ended September 30, 2011 (RSUs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22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 outstanding at January 1, 2011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33.05</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Forfeited or expired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21.42</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September 30,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RSUs unvested and expected to vest at September 30, 2011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23.53</w:t>
            </w:r>
          </w:p>
        </w:tc>
        <w:tc>
          <w:tcPr>
            <w:tcW w:w="5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3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vested and payable at September 30,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At September 30, 2011 the total unrecognized compensation expense for nonvested equity awards granted under the 2009 GMLTIP was $312 million. This expense is expected to be recorded over a weighted-average period of 1.7 years.</w:t>
      </w:r>
    </w:p>
    <w:p>
      <w:pPr>
        <w:spacing w:after="0" w:line="132"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In the three and nine months ended September 30, 2011 total payments for 28,000 and 428,000 RSUs settled under the GMSSP was $1 million and $14 million. In the three and nine months ended September 30, 2010 total payments for 97,000 and 195,000 RSUs settled under the GMSSP was $2 million and $4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Transactions with Ally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financial statement effects of and maximum obligations under agreements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2010</w:t>
            </w: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residuals</w:t>
            </w: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Residual support (a)</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(receivables) recorded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820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9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Vehicle repurchase obligations (b)</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19,374</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18,807</w:t>
            </w:r>
          </w:p>
        </w:tc>
      </w:tr>
      <w:tr>
        <w:trPr>
          <w:trHeight w:val="222"/>
        </w:trPr>
        <w:tc>
          <w:tcPr>
            <w:tcW w:w="8200" w:type="dxa"/>
            <w:vAlign w:val="bottom"/>
          </w:tcPr>
          <w:p>
            <w:pPr>
              <w:ind w:left="220"/>
              <w:spacing w:after="0"/>
              <w:rPr>
                <w:sz w:val="20"/>
                <w:szCs w:val="20"/>
                <w:color w:val="auto"/>
              </w:rPr>
            </w:pPr>
            <w:r>
              <w:rPr>
                <w:rFonts w:ascii="Arial" w:cs="Arial" w:eastAsia="Arial" w:hAnsi="Arial"/>
                <w:sz w:val="18"/>
                <w:szCs w:val="18"/>
                <w:color w:val="auto"/>
              </w:rPr>
              <w:t>Fair value of guarantee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nine months ended September 30, 2011 and 2010 favorable adjustments to our residual support and risk sharing liabilities of $443 million and $555 million were recorded in the U.S. due to increases in estimated residual values.</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potential amount of future payments required to be made to Ally Financial under this guarantee is based on the repurchase value of total eligible vehicles financed by Ally Financial in dealer stock. If vehicles are required to be repurchased under this arrangement, the total exposure would be reduced to the extent vehicles are able to be resold.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w w:val="90"/>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0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incentives and operating lease residual payments (a)</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Exclusivity fee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to Ally Financial related to U.S. marketing incentive and operating lease residual programs. Excludes payments to Ally Financial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5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(c)</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Short-term debt and current portion of long-term debt (d)</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 liabilities (e)</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debt (f)</w:t>
            </w:r>
          </w:p>
        </w:tc>
        <w:tc>
          <w:tcPr>
            <w:tcW w:w="26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(g)</w:t>
            </w:r>
          </w:p>
        </w:tc>
        <w:tc>
          <w:tcPr>
            <w:tcW w:w="26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wholesale settlements due from Ally Financial and receivables for exclusivity fees and royalties.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distributions due from Ally Financial on our investments in Ally Financial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wholesale financing, sales of receivable transactions and the short-term portion of term loans provided to certain dealerships which we own or in which we have an equity interest. It includes borrowing arrangements with various foreign locations and arrangements related to Ally Financial’s funding of company-owned vehicles, rental car vehicles awaiting sale at auction and funding of the sale of vehicles to which title is retained while the vehicles are consigned to Ally Financial or dealers, primarily in the United Kingdom. Financing remains outstanding until the title is transferred to the dealers.</w:t>
      </w:r>
    </w:p>
    <w:p>
      <w:pPr>
        <w:spacing w:after="0" w:line="6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Ally Financial in North America. This includes the estimated amount of residual support accrued under the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amounts owed under lease pull-ahead programs. In addition it includes interest accrued on the transactions in (d)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Ally Financial to certain consolidated dealerships.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Ally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 (reduction)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(638)</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Automotive cost of sales and other automotive expenses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Automotive interest expense (d)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Primarily represents the reduction in Total net sales and revenue for marketing incentives on vehicles which were sold, or anticipated to be sold, to customers or dealers and financed by Ally Financial. This includes the estimated amount of residual support accrued under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costs under lease pull-ahead programs. This amount is offset by net sales for vehicles sold to Ally Financial for employee and governmental lease programs and third party resale purposes.</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Ally Financial for employee and governmental lease programs and third party resale purposes. Also includes miscellaneous expenses on services performed by Ally Financial.</w:t>
      </w:r>
    </w:p>
    <w:p>
      <w:pPr>
        <w:spacing w:after="0" w:line="50" w:lineRule="exact"/>
        <w:rPr>
          <w:rFonts w:ascii="Arial" w:cs="Arial" w:eastAsia="Arial" w:hAnsi="Arial"/>
          <w:sz w:val="18"/>
          <w:szCs w:val="18"/>
          <w:color w:val="auto"/>
        </w:rPr>
      </w:pPr>
    </w:p>
    <w:p>
      <w:pPr>
        <w:ind w:left="460" w:right="42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income on investments in Ally Financial preferred stock (through March 31, 2011), exclusivity fees, royalties and reimbursements by Ally Financial for certain services provided to Ally Financial. Included in this amount is rental income related to Ally Financial’s primary executive and administrative offices located in the Renaissance Center in Detroit, Michigan. The lease agreement expires in November 2016.</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interest incurred on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servicing fees paid to Ally Financial on certain automotive retail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right="100" w:firstLine="228"/>
        <w:spacing w:after="0" w:line="289" w:lineRule="auto"/>
        <w:rPr>
          <w:sz w:val="20"/>
          <w:szCs w:val="20"/>
          <w:color w:val="auto"/>
        </w:rPr>
      </w:pPr>
      <w:r>
        <w:rPr>
          <w:rFonts w:ascii="Arial" w:cs="Arial" w:eastAsia="Arial" w:hAnsi="Arial"/>
          <w:sz w:val="16"/>
          <w:szCs w:val="16"/>
          <w:color w:val="auto"/>
        </w:rPr>
        <w:t>We design, build and sell cars, trucks and parts worldwide. We also conduct finance operations through GM Financial. We analyze the results of our business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(CAFE)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and evaluates GM Financial through Income (loss) before income taxes.</w:t>
      </w:r>
    </w:p>
    <w:p>
      <w:pPr>
        <w:spacing w:after="0" w:line="11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85"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GMNA primarily meets the demands of our customers in North America with vehicles developed, manufactured and/or marketed under the following four brands:</w:t>
      </w:r>
    </w:p>
    <w:p>
      <w:pPr>
        <w:spacing w:after="0" w:line="172" w:lineRule="exact"/>
        <w:rPr>
          <w:sz w:val="20"/>
          <w:szCs w:val="20"/>
          <w:color w:val="auto"/>
        </w:rPr>
      </w:pPr>
    </w:p>
    <w:p>
      <w:pPr>
        <w:ind w:left="820"/>
        <w:spacing w:after="0"/>
        <w:tabs>
          <w:tab w:leader="none" w:pos="1080" w:val="left"/>
          <w:tab w:leader="none" w:pos="3340" w:val="left"/>
          <w:tab w:leader="none" w:pos="3620" w:val="left"/>
          <w:tab w:leader="none" w:pos="6040" w:val="left"/>
          <w:tab w:leader="none" w:pos="6320" w:val="left"/>
          <w:tab w:leader="none" w:pos="886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The demands of our customers outside of North America are primarily met with vehicles developed, manufactured and/or marketed under the following brands:</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w:t>
        <w:tab/>
        <w:t>Buick</w:t>
      </w:r>
    </w:p>
    <w:p>
      <w:pPr>
        <w:spacing w:after="0" w:line="15"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Chevrolet</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Daewoo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GMC</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Holden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Opel</w:t>
      </w:r>
    </w:p>
    <w:p>
      <w:pPr>
        <w:spacing w:after="0" w:line="15"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Vauxhall</w:t>
      </w:r>
    </w:p>
    <w:p>
      <w:pPr>
        <w:spacing w:after="0" w:line="187" w:lineRule="exact"/>
        <w:rPr>
          <w:sz w:val="20"/>
          <w:szCs w:val="20"/>
          <w:color w:val="auto"/>
        </w:rPr>
      </w:pPr>
    </w:p>
    <w:p>
      <w:pPr>
        <w:sectPr>
          <w:pgSz w:w="11900" w:h="16838" w:orient="portrait"/>
          <w:cols w:equalWidth="0" w:num="4">
            <w:col w:w="2640" w:space="720"/>
            <w:col w:w="1980" w:space="720"/>
            <w:col w:w="2100" w:space="720"/>
            <w:col w:w="2500"/>
          </w:cols>
          <w:pgMar w:left="240" w:top="459" w:right="279" w:bottom="1440" w:gutter="0" w:footer="0" w:header="0"/>
          <w:type w:val="continuous"/>
        </w:sectPr>
      </w:pPr>
    </w:p>
    <w:p>
      <w:pPr>
        <w:ind w:firstLine="228"/>
        <w:spacing w:after="0" w:line="268" w:lineRule="auto"/>
        <w:rPr>
          <w:sz w:val="20"/>
          <w:szCs w:val="20"/>
          <w:color w:val="auto"/>
        </w:rPr>
      </w:pPr>
      <w:r>
        <w:rPr>
          <w:rFonts w:ascii="Arial" w:cs="Arial" w:eastAsia="Arial" w:hAnsi="Arial"/>
          <w:sz w:val="18"/>
          <w:szCs w:val="18"/>
          <w:color w:val="auto"/>
        </w:rPr>
        <w:t>At September 30, 2011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380"/>
          </w:cols>
          <w:pgMar w:left="240" w:top="459" w:right="279" w:bottom="1440" w:gutter="0" w:footer="0" w:header="0"/>
          <w:type w:val="continuous"/>
        </w:sectPr>
      </w:pPr>
    </w:p>
    <w:p>
      <w:pPr>
        <w:spacing w:after="0" w:line="172"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6"/>
          <w:szCs w:val="16"/>
          <w:color w:val="auto"/>
        </w:rPr>
        <w:t>•</w:t>
        <w:tab/>
        <w:t>Alpheon</w:t>
      </w:r>
    </w:p>
    <w:p>
      <w:pPr>
        <w:spacing w:after="0" w:line="38"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w:t>
        <w:tab/>
        <w:t>Baojun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Buick</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Chevrolet</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Daewoo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w:t>
        <w:tab/>
        <w:t>Jiefang</w:t>
      </w:r>
    </w:p>
    <w:p>
      <w:pPr>
        <w:spacing w:after="0" w:line="50"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Wuling</w:t>
      </w:r>
    </w:p>
    <w:p>
      <w:pPr>
        <w:spacing w:after="0" w:line="187" w:lineRule="exact"/>
        <w:rPr>
          <w:sz w:val="20"/>
          <w:szCs w:val="20"/>
          <w:color w:val="auto"/>
        </w:rPr>
      </w:pPr>
    </w:p>
    <w:p>
      <w:pPr>
        <w:sectPr>
          <w:pgSz w:w="11900" w:h="16838" w:orient="portrait"/>
          <w:cols w:equalWidth="0" w:num="4">
            <w:col w:w="2640" w:space="720"/>
            <w:col w:w="1980" w:space="720"/>
            <w:col w:w="2100" w:space="720"/>
            <w:col w:w="2500"/>
          </w:cols>
          <w:pgMar w:left="240" w:top="459" w:right="279" w:bottom="1440" w:gutter="0" w:footer="0" w:header="0"/>
          <w:type w:val="continuous"/>
        </w:sectPr>
      </w:pPr>
    </w:p>
    <w:p>
      <w:pPr>
        <w:ind w:right="300" w:firstLine="228"/>
        <w:spacing w:after="0" w:line="268"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rPr>
              <w:t>GM</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GMSA</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Automotive</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Financial</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At and For the Three Months</w:t>
            </w: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Ended September 30, 2011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GM Financial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Total net sales and revenue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21,884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6,151</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4,418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36,328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 before automotive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Corporate interest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Equity in net assets of</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nonconsolidated affiliates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7,534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17,181</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12,442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42,715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(38,729)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136,417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12,369</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 lived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finite-lived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w w:val="96"/>
              </w:rPr>
              <w:t>Equity income, net of tax and gain on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disposal of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20"/>
              <w:spacing w:after="0"/>
              <w:rPr>
                <w:sz w:val="20"/>
                <w:szCs w:val="20"/>
                <w:color w:val="auto"/>
              </w:rPr>
            </w:pPr>
            <w:r>
              <w:rPr>
                <w:rFonts w:ascii="Arial" w:cs="Arial" w:eastAsia="Arial" w:hAnsi="Arial"/>
                <w:sz w:val="18"/>
                <w:szCs w:val="18"/>
                <w:color w:val="auto"/>
              </w:rPr>
              <w:t>Impairment charges related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440"/>
              <w:spacing w:after="0"/>
              <w:rPr>
                <w:sz w:val="20"/>
                <w:szCs w:val="20"/>
                <w:color w:val="auto"/>
              </w:rPr>
            </w:pPr>
            <w:r>
              <w:rPr>
                <w:rFonts w:ascii="Arial" w:cs="Arial" w:eastAsia="Arial" w:hAnsi="Arial"/>
                <w:sz w:val="18"/>
                <w:szCs w:val="18"/>
                <w:color w:val="auto"/>
              </w:rPr>
              <w:t>product specific tooling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 related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vehicles leased to rental car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companies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Total significant non-cash charges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GM</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GMIO</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5"/>
              </w:rPr>
              <w:t>GMSA</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Automotive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For the Nine Months Ended</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September 30, 2011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64,382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19,203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111,270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GM Financial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1,016</w:t>
            </w:r>
          </w:p>
        </w:tc>
        <w:tc>
          <w:tcPr>
            <w:tcW w:w="34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gridSpan w:val="3"/>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67,122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20,480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18,337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12,677</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(7,396)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1,016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0"/>
              </w:rPr>
              <w:t>Income (loss) before automotive interest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income taxes (a)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Corporate interest income</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spacing w:after="0"/>
              <w:rPr>
                <w:sz w:val="20"/>
                <w:szCs w:val="20"/>
                <w:color w:val="auto"/>
              </w:rPr>
            </w:pPr>
            <w:r>
              <w:rPr>
                <w:rFonts w:ascii="Arial" w:cs="Arial" w:eastAsia="Arial" w:hAnsi="Arial"/>
                <w:sz w:val="18"/>
                <w:szCs w:val="18"/>
                <w:color w:val="auto"/>
                <w:w w:val="93"/>
              </w:rPr>
              <w:t>Net income attributable to stockholders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Depreciation, amortization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w w:val="93"/>
              </w:rPr>
              <w:t>impairment of long- lived assets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finite-lived intangible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Equity income, net of tax and gain 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disposal of investments (a)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Significant non-cash charges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product-specific tooling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vehicles leased to rental car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companies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investment in HKJV</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gain of $1.6 billion recorded on the sale of our New Delphi Class A Membership Interests. Refer to Note 8 for additional information on the sale of New Delphi.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GMNA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GMIO</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GMSA</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Automotive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September 30, 2010</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20,676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21,493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34,060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interest and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w w:val="97"/>
              </w:rPr>
              <w:t>Depreciation, amortization and impairment of long-lived assets and</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finite-lived intangible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Significant non-cash charges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product-specific tooling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GMNA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GMIO</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GMSA</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Automotive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Nine Months Ended September 30, 2010</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58,641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10,675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61,045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10,928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98,710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interest and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4,935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845</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Expenditures for property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1,884</w:t>
            </w:r>
          </w:p>
        </w:tc>
        <w:tc>
          <w:tcPr>
            <w:tcW w:w="16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234</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Depreciation, amortization and impairment of long-lived assets 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finite-lived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Equity income (loss), net of tax and gain on disposal of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Impairment charges related to product-specific tooling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significant non-cash charges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40" w:firstLine="3534"/>
        <w:spacing w:after="0" w:line="488" w:lineRule="auto"/>
        <w:rPr>
          <w:sz w:val="20"/>
          <w:szCs w:val="20"/>
          <w:color w:val="auto"/>
        </w:rPr>
      </w:pPr>
      <w:r>
        <w:rPr>
          <w:rFonts w:ascii="Arial" w:cs="Arial" w:eastAsia="Arial" w:hAnsi="Arial"/>
          <w:sz w:val="16"/>
          <w:szCs w:val="16"/>
          <w:b w:val="1"/>
          <w:bCs w:val="1"/>
          <w:color w:val="auto"/>
        </w:rPr>
        <w:t>GENERAL MOTORS COMPANY AND SUBSIDIARIES Item 2. Management’s Discussion and Analysis of Financial Condition and Results of Operations</w:t>
      </w:r>
    </w:p>
    <w:p>
      <w:pPr>
        <w:spacing w:after="0" w:line="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2010 (2010 Form 10-K), as filed with the Securities and Exchange Commission (SEC).</w:t>
      </w:r>
    </w:p>
    <w:p>
      <w:pPr>
        <w:spacing w:after="0" w:line="10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171"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Period Financial Statements Conformed to Current Period Presentation</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the three and nine months ended September 30,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to conform to our current presentation. The effects of these reclassifications decreased Automotive cost of sales and Interest income and other non-operating income, net by $119 million and $68 million in the three and nine months ended September 30,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Company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w:t>
      </w:r>
    </w:p>
    <w:p>
      <w:pPr>
        <w:spacing w:after="0" w:line="171"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We are a leading global automotive company. Our vision is to design, build and sell the world’s best vehicles. We seek to distinguish our vehicles through superior design, quality, reliability, telematics (wireless voice and data) and infotainment and safety within their respective segments. Our business is diversified across products and geographic markets. With a global network of independent dealers we meet the local sales and service needs of our retail and fleet customers. In the nine months ended September 30, 2011 72.0% of our vehicle sales volume was generated outside the United States, including 42.6% from emerging markets, such as Brazil, Russia, India and China (collectively BRIC), which have experienced the industry’s highest volume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35"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Our automotive business is organized into four geographically-based segments:</w:t>
      </w:r>
    </w:p>
    <w:p>
      <w:pPr>
        <w:spacing w:after="0" w:line="1" w:lineRule="exact"/>
        <w:rPr>
          <w:sz w:val="20"/>
          <w:szCs w:val="20"/>
          <w:color w:val="auto"/>
        </w:rPr>
      </w:pPr>
    </w:p>
    <w:p>
      <w:pPr>
        <w:ind w:left="660" w:right="100" w:hanging="43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distribution operations in Central America and the Caribbean, represented 32.6% of our vehicle sales volume in the nine months ended September 30, 2011. In the nine months ended September 30, 2011 we had the largest market share of any competitor in this market at 18.8%.</w:t>
      </w:r>
    </w:p>
    <w:p>
      <w:pPr>
        <w:spacing w:after="0" w:line="59" w:lineRule="exact"/>
        <w:rPr>
          <w:rFonts w:ascii="Arial" w:cs="Arial" w:eastAsia="Arial" w:hAnsi="Arial"/>
          <w:sz w:val="18"/>
          <w:szCs w:val="18"/>
          <w:color w:val="auto"/>
        </w:rPr>
      </w:pPr>
    </w:p>
    <w:p>
      <w:pPr>
        <w:ind w:left="660" w:right="80" w:hanging="436"/>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GME has sales, manufacturing and distribution operations across Western and Central Europe. GME’s vehicle sales volume, which in addition to Western and Central Europe, includes Eastern Europe (including Russia and the other members of the Commonwealth of Independent States among others) represented 19.4% of our vehicle sales volume in the nine months ended September 30, 2011. In the nine months ended September 30, 2011 we had the number four market share in this market at 8.8%. GMIO distributes Chevrolet brand vehicles which, when sold in Europe, are included in GME vehicle sales volume and market share data.</w:t>
      </w:r>
    </w:p>
    <w:p>
      <w:pPr>
        <w:spacing w:after="0" w:line="61" w:lineRule="exact"/>
        <w:rPr>
          <w:rFonts w:ascii="Arial" w:cs="Arial" w:eastAsia="Arial" w:hAnsi="Arial"/>
          <w:sz w:val="18"/>
          <w:szCs w:val="18"/>
          <w:color w:val="auto"/>
        </w:rPr>
      </w:pPr>
    </w:p>
    <w:p>
      <w:pPr>
        <w:ind w:left="660" w:right="80" w:hanging="436"/>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Eastern Europe (including Russia and the other members of the Commonwealth of Independent States among others), Africa and the Middle East. GMIO’s vehicle sales volume, which includes Asia-Pacific, Africa and the Middle East is our largest segment by vehicle sales volume and represented 36.2% of our vehicle sales volume including sales through our joint ventures in the nine months ended September 30, 2011. In the nine months ended September 30, 2011 we had the number two market share for this market at 9.4% and the number one market share in China. In the nine months ended September 30, 2011 GMIO derived 77.0% of its vehicle sales volume from China. GMIO records the financial results of Chevrolet brand vehicles that it distributes and sells in Europe.</w:t>
      </w:r>
    </w:p>
    <w:p>
      <w:pPr>
        <w:spacing w:after="0" w:line="39" w:lineRule="exact"/>
        <w:rPr>
          <w:rFonts w:ascii="Arial" w:cs="Arial" w:eastAsia="Arial" w:hAnsi="Arial"/>
          <w:sz w:val="16"/>
          <w:szCs w:val="16"/>
          <w:color w:val="auto"/>
        </w:rPr>
      </w:pPr>
    </w:p>
    <w:p>
      <w:pPr>
        <w:ind w:left="660" w:right="260" w:hanging="436"/>
        <w:spacing w:after="0" w:line="298"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GMSA, with sales, manufacturing and distribution operations in Brazil, Argentina, Colombia, Ecuador and Venezuela as well as sales activities in Bolivia, Chile, Paraguay, Peru and Uruguay represented 11.8% of our vehicle sales volume in the nine months ended September 30, 2011. In the nine months ended September 30, 2011 we had the largest market share for this market at 18.9% and the number three market share in Brazil. In the nine months ended September 30, 2011 GMSA derived 58.1% of its vehicle sales volume from Brazil.</w:t>
      </w:r>
    </w:p>
    <w:p>
      <w:pPr>
        <w:spacing w:after="0" w:line="113"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with range extending capabilities such as the Chevrolet Volt.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 Financing - GM Financial</w:t>
      </w:r>
    </w:p>
    <w:p>
      <w:pPr>
        <w:spacing w:after="0" w:line="17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GM Financial specializes in purchasing retail automobile installment sales contracts originated by franchised and select independent dealers in connection with the sale of used and new automobiles. GM Financial also offers lease products through GM franchised dealerships that target customers with prime and sub-prime credit bureau scores. GM Financial generates revenue and cash flows primarily through the purchase, retention, subsequent securitization and servicing of finance receivables. To fund the acquisition of receivables prior to securitization, GM Financial uses available cash and borrowings under its credit facilities. GM Financial earns finance charge income on the finance receivables and pays interest expense on borrowings under its credit facilities. GM Financial periodically transfers receivables to securitization trusts that issue asset-backed securities to investors. The securitization trusts are special purpose entities (SPEs) that are also variable interest entities that meet the requirements to be consolidated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Management Initiatives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execution of certain management initiatives is critical to continue the improvement in our results of operations and financial condition. These management initiatives are subsequently discussed.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171"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We view the Chinese market, the fastest growing global market by volume of vehicles sold,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Wuling, Jiefang and Baojun brands.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380" w:type="dxa"/>
            <w:vAlign w:val="bottom"/>
            <w:gridSpan w:val="4"/>
          </w:tcPr>
          <w:p>
            <w:pPr>
              <w:ind w:left="1080"/>
              <w:spacing w:after="0"/>
              <w:rPr>
                <w:sz w:val="20"/>
                <w:szCs w:val="20"/>
                <w:color w:val="auto"/>
              </w:rPr>
            </w:pPr>
            <w:r>
              <w:rPr>
                <w:rFonts w:ascii="Arial" w:cs="Arial" w:eastAsia="Arial" w:hAnsi="Arial"/>
                <w:sz w:val="14"/>
                <w:szCs w:val="14"/>
                <w:b w:val="1"/>
                <w:bCs w:val="1"/>
                <w:color w:val="auto"/>
              </w:rPr>
              <w:t>Ownership Interest</w:t>
            </w:r>
          </w:p>
        </w:tc>
      </w:tr>
      <w:tr>
        <w:trPr>
          <w:trHeight w:val="142"/>
        </w:trPr>
        <w:tc>
          <w:tcPr>
            <w:tcW w:w="8040" w:type="dxa"/>
            <w:vAlign w:val="bottom"/>
          </w:tcPr>
          <w:p>
            <w:pPr>
              <w:spacing w:after="0"/>
              <w:rPr>
                <w:sz w:val="12"/>
                <w:szCs w:val="12"/>
                <w:color w:val="auto"/>
              </w:rPr>
            </w:pPr>
          </w:p>
        </w:tc>
        <w:tc>
          <w:tcPr>
            <w:tcW w:w="2160" w:type="dxa"/>
            <w:vAlign w:val="bottom"/>
            <w:tcBorders>
              <w:top w:val="single" w:sz="8" w:color="auto"/>
            </w:tcBorders>
            <w:gridSpan w:val="2"/>
          </w:tcPr>
          <w:p>
            <w:pPr>
              <w:jc w:val="right"/>
              <w:ind w:right="1040"/>
              <w:spacing w:after="0" w:line="142" w:lineRule="exact"/>
              <w:rPr>
                <w:sz w:val="20"/>
                <w:szCs w:val="20"/>
                <w:color w:val="auto"/>
              </w:rPr>
            </w:pPr>
            <w:r>
              <w:rPr>
                <w:rFonts w:ascii="Arial" w:cs="Arial" w:eastAsia="Arial" w:hAnsi="Arial"/>
                <w:sz w:val="14"/>
                <w:szCs w:val="14"/>
                <w:b w:val="1"/>
                <w:bCs w:val="1"/>
                <w:color w:val="auto"/>
                <w:w w:val="84"/>
              </w:rPr>
              <w:t>September 30, 2011</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2010</w:t>
            </w:r>
          </w:p>
        </w:tc>
        <w:tc>
          <w:tcPr>
            <w:tcW w:w="100" w:type="dxa"/>
            <w:vAlign w:val="bottom"/>
          </w:tcPr>
          <w:p>
            <w:pPr>
              <w:spacing w:after="0"/>
              <w:rPr>
                <w:sz w:val="12"/>
                <w:szCs w:val="12"/>
                <w:color w:val="auto"/>
              </w:rPr>
            </w:pP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Shanghai General Motors Co. Ltd. (SGM)(a)</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GM (Shenyang) Norsom Motor Co., Ltd. (SGM Norsom)</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Shanghai GM Dong Yue Motors Co., Ltd. (SGM DY)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GM Dong Yue Powertrain (SGM DYPT)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SAIC-GM-Wuling Automobile Co., Ltd. (SGMW)</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FAW-GM Light Duty Commercial Vehicle, Ltd. (FAW-GM)</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Pan Asia Technical Automotive Center Co., Ltd. (PATAC)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Shanghai OnStar Telematics Co., Ltd. (Shanghai OnStar)</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40" w:right="1320" w:hanging="232"/>
        <w:spacing w:after="0" w:line="551" w:lineRule="auto"/>
        <w:tabs>
          <w:tab w:leader="none" w:pos="458" w:val="left"/>
        </w:tabs>
        <w:numPr>
          <w:ilvl w:val="0"/>
          <w:numId w:val="38"/>
        </w:numPr>
        <w:rPr>
          <w:rFonts w:ascii="Arial" w:cs="Arial" w:eastAsia="Arial" w:hAnsi="Arial"/>
          <w:sz w:val="15"/>
          <w:szCs w:val="15"/>
          <w:color w:val="auto"/>
        </w:rPr>
      </w:pPr>
      <w:r>
        <w:rPr>
          <w:rFonts w:ascii="Arial" w:cs="Arial" w:eastAsia="Arial" w:hAnsi="Arial"/>
          <w:sz w:val="15"/>
          <w:szCs w:val="15"/>
          <w:color w:val="auto"/>
        </w:rPr>
        <w:t>Ownership interest in SGM was 49% in the period February 1, 2010 through September 30, 2010 and 50% in the month of January 2010. The following table summarizes certain key operational and financial data for the China JVs (dollars in millions, vehicles in thousands):</w:t>
      </w: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Three Months Ended</w:t>
            </w:r>
          </w:p>
        </w:tc>
        <w:tc>
          <w:tcPr>
            <w:tcW w:w="80" w:type="dxa"/>
            <w:vAlign w:val="bottom"/>
          </w:tcPr>
          <w:p>
            <w:pPr>
              <w:spacing w:after="0"/>
              <w:rPr>
                <w:sz w:val="12"/>
                <w:szCs w:val="12"/>
                <w:color w:val="auto"/>
              </w:rPr>
            </w:pPr>
          </w:p>
        </w:tc>
        <w:tc>
          <w:tcPr>
            <w:tcW w:w="14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61"/>
        </w:trPr>
        <w:tc>
          <w:tcPr>
            <w:tcW w:w="50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4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wholesale vehicles (a)</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Market share (b)</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13.3%</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6,253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18,840</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export vehicle sales.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vehicle sales in China.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42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Debt</w:t>
            </w:r>
          </w:p>
        </w:tc>
        <w:tc>
          <w:tcPr>
            <w:tcW w:w="376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 Strategy</w:t>
      </w:r>
    </w:p>
    <w:p>
      <w:pPr>
        <w:spacing w:after="0" w:line="171"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Our automotive finance strategy centers around ensuring that our dealers and customers have consistently available, transparent and competitive financing options throughout the business and credit cycles.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80" w:firstLine="228"/>
        <w:spacing w:after="0" w:line="306" w:lineRule="auto"/>
        <w:rPr>
          <w:sz w:val="20"/>
          <w:szCs w:val="20"/>
          <w:color w:val="auto"/>
        </w:rPr>
      </w:pPr>
      <w:r>
        <w:rPr>
          <w:rFonts w:ascii="Arial" w:cs="Arial" w:eastAsia="Arial" w:hAnsi="Arial"/>
          <w:sz w:val="16"/>
          <w:szCs w:val="16"/>
          <w:color w:val="auto"/>
        </w:rPr>
        <w:t>Historically Ally Financial has provided a majority of the financing for our dealers and a significant portion of the financing for our customers in the U.S., Canada, and other major international markets where we operate. Ally Financial historically has been our exclusive financing partner for incentivized retail financing programs in our major markets. Ally Financial continues to provide the majority of the financing needs of our dealers and customers.</w:t>
      </w:r>
    </w:p>
    <w:p>
      <w:pPr>
        <w:spacing w:after="0" w:line="107"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market disruption of 2008 and 2009 highlighted the need to ensure certainty of availability of credit throughout economic cycles in specific segments of the automotive financing market. In the U.S. and Canada we identified leasing and sub-prime lending as underserved areas that could benefit from increased financing sources and competition. In 2009 we partnered with U.S. Bank to offer incentivized leasing programs and with GM Financial to offer incentivized sub-prime retail financing in the U.S. We also partnered with TD Bank to offer incentivized retail financing programs in Canada.</w:t>
      </w:r>
    </w:p>
    <w:p>
      <w:pPr>
        <w:spacing w:after="0" w:line="11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October 2010 we acquired GM Financial to further bolster our offerings in the leasing and sub-prime financing segments in the U.S. and Canada. We believe that by having our own capabilities in key segments of the market we will be able to achieve more competition and better service from the market, while ensuring certainty of availability through the business cycles.</w:t>
      </w:r>
    </w:p>
    <w:p>
      <w:pPr>
        <w:spacing w:after="0" w:line="140"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On April 1, 2011 GM Financial acquired FinanciaLinx Corporation, an independent leasing company in Canada, to provide leasing to our customers throughout Canada.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strategically important to our business. GM Financial began originating leases for GM customers in Canada via FinanciaLinx Corporation in April 2011.</w:t>
      </w:r>
    </w:p>
    <w:p>
      <w:pPr>
        <w:spacing w:after="0" w:line="11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automotive financing market, both in the United States and internationally. We expect any expansion of GM Financial or any arrangements with other financing providers will complement our important relationship with Ally Financial.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 and Other Initiatives</w:t>
      </w:r>
    </w:p>
    <w:p>
      <w:pPr>
        <w:spacing w:after="0" w:line="17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Restructuring and early retirement programs in Spain, the U.K. and Belgium were essentially completed in 2010 and we also initiated a program in Germany in 2010. Through September 30, 2011 these programs had a total cost of $0.9 billion and affected a total of 5,800 employees and included the closure of the Antwerp, Belgium facility. We expect to incur an additional $0.3 billion, primarily in 2011 and 2012, to complete these programs, which will affect an additional 1,600 employees.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GMNA Production Volume</w:t>
      </w:r>
    </w:p>
    <w:p>
      <w:pPr>
        <w:spacing w:after="0" w:line="171"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Increased U.S. industry vehicle sales and demand for our products have resulted in increased production volumes for GMNA. In the three and nine months ended September 30, 2011 GMNA produced 740,000 vehicles and 2.4 million vehicles. This represents an increase of 4.7% and 11.6% compared to 707,000 vehicles and 2.1 million vehicles in the three and nine months ended September 30,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U.S. Vehicle Sales</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GMNA dealers in the U.S. sold 641,000 vehicles and 1.9 million vehicles in the three and nine months ended September 30, 2011. This represents an increase of 83,000 vehicles (or 14.8%) and 264,000 vehicles (or 16.1%) from our U.S. vehicle sales in the three and nine months ended September 30, 2010. This increase reflects our brand rationalization strategy to focus our product engineering and design and marketing on our four brands. This strategy has resulted in increased consumer demand for certain products such as the Chevrolet Cruze, Chevrolet Equinox, GMC Terrain, Buick LaCrosse and Cadillac SRX.</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GM-UAW Labor Agreement</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On September 28, 2011 the 2011 GM-UAW Labor Agreement (Labor Agreement) which is a collectively bargained labor agreement between us and the International Union, United Automobile, Aerospace and Agriculture Implement Workers of America (UAW) was ratified. The Labor Agreement covers the wages, hours, benefits and other terms and conditions of employment for our UAW represented employees. The key terms and provisions of the Labor Agreement are:</w:t>
      </w:r>
    </w:p>
    <w:p>
      <w:pPr>
        <w:spacing w:after="0" w:line="62" w:lineRule="exact"/>
        <w:rPr>
          <w:sz w:val="20"/>
          <w:szCs w:val="20"/>
          <w:color w:val="auto"/>
        </w:rPr>
      </w:pPr>
    </w:p>
    <w:p>
      <w:pPr>
        <w:ind w:left="660" w:right="60" w:hanging="436"/>
        <w:spacing w:after="0" w:line="33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Lump sum payments to U.S. hourly employees of $5,000 were paid in October 2011 totaling $0.2 billion. Additional lump sum payments of $1,000 will be paid annually in June of 2012, 2013 and 2014 totaling $0.1 billion. The lump sum payments will be amortized over the four year agreement period.</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payment of $250 per U.S. hourly employee upon attainment of specific U.S. vehicle quality targets.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wages for certain entry level employees hired on or after October 1, 2007.</w:t>
      </w:r>
    </w:p>
    <w:p>
      <w:pPr>
        <w:spacing w:after="0" w:line="90" w:lineRule="exact"/>
        <w:rPr>
          <w:rFonts w:ascii="Arial" w:cs="Arial" w:eastAsia="Arial" w:hAnsi="Arial"/>
          <w:sz w:val="18"/>
          <w:szCs w:val="18"/>
          <w:color w:val="auto"/>
        </w:rPr>
      </w:pPr>
    </w:p>
    <w:p>
      <w:pPr>
        <w:jc w:val="both"/>
        <w:ind w:left="660" w:right="20" w:hanging="436"/>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Personal Retirement Plan, which is a cash balance pension plan for entry level employees, will be frozen on January 2, 2012 and terminated on June 30, 2012, subject to required regulatory approvals. Participants in the Personal Retirement Plan and all employees hired on or after October 1, 2007 will participate in a defined contribution plan when the Personal Retirement Plan terminates.</w:t>
      </w:r>
    </w:p>
    <w:p>
      <w:pPr>
        <w:spacing w:after="0" w:line="59" w:lineRule="exact"/>
        <w:rPr>
          <w:rFonts w:ascii="Arial" w:cs="Arial" w:eastAsia="Arial" w:hAnsi="Arial"/>
          <w:sz w:val="18"/>
          <w:szCs w:val="18"/>
          <w:color w:val="auto"/>
        </w:rPr>
      </w:pPr>
    </w:p>
    <w:p>
      <w:pPr>
        <w:ind w:left="660" w:right="140" w:hanging="436"/>
        <w:spacing w:after="0" w:line="335"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Legal Services Plan, which provides legal services to U.S. hourly employees and retirees, will be terminated on December 31, 2013. In September 2011 we remeasured the Legal Services Plan resulting in a decrease of $0.3 billion in the other postretirement benefits (OPEB) liability and a pre-tax increase in the prior service credit component of Accumulated other comprehensive income, which will be amortized through December 31, 2013.</w:t>
      </w:r>
    </w:p>
    <w:p>
      <w:pPr>
        <w:spacing w:after="0" w:line="7" w:lineRule="exact"/>
        <w:rPr>
          <w:rFonts w:ascii="Arial" w:cs="Arial" w:eastAsia="Arial" w:hAnsi="Arial"/>
          <w:sz w:val="15"/>
          <w:szCs w:val="15"/>
          <w:color w:val="auto"/>
        </w:rPr>
      </w:pPr>
    </w:p>
    <w:p>
      <w:pPr>
        <w:ind w:left="660" w:right="10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Profit Sharing Plan formula will be based on GMNA earnings before interest and taxes (EBIT) adjusted and is effective for the 2011 plan year. The Profit Sharing payment is capped at $12,000 per employee per year.</w:t>
      </w:r>
    </w:p>
    <w:p>
      <w:pPr>
        <w:spacing w:after="0" w:line="50" w:lineRule="exact"/>
        <w:rPr>
          <w:rFonts w:ascii="Arial" w:cs="Arial" w:eastAsia="Arial" w:hAnsi="Arial"/>
          <w:sz w:val="18"/>
          <w:szCs w:val="18"/>
          <w:color w:val="auto"/>
        </w:rPr>
      </w:pPr>
    </w:p>
    <w:p>
      <w:pPr>
        <w:ind w:left="660" w:right="26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severance incentive programs which may range up to $0.1 billion for skilled trade employees will be included in our restructuring liability upon irrevocable acceptances by both parties.</w:t>
      </w:r>
    </w:p>
    <w:p>
      <w:pPr>
        <w:spacing w:after="0" w:line="50" w:lineRule="exact"/>
        <w:rPr>
          <w:rFonts w:ascii="Arial" w:cs="Arial" w:eastAsia="Arial" w:hAnsi="Arial"/>
          <w:sz w:val="18"/>
          <w:szCs w:val="18"/>
          <w:color w:val="auto"/>
        </w:rPr>
      </w:pPr>
    </w:p>
    <w:p>
      <w:pPr>
        <w:ind w:left="660" w:right="380" w:hanging="43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plan to make additional manufacturing investments of more than $2.0 billion to create or retain more than 6,300 UAW jobs during the four year agreement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Earthquake, Tsunami and Other Resulting Events in Japan</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Although we have no production facilities in Japan, and do not generate material revenues from Japan, we do consume materials and components for our global operations from suppliers located in Japan. Due to the earthquake and tsunami in Japan there have been shortages of materials and components from certain Japanese based suppliers. These shortages have minimally affected our vehicle production and resulted in us temporarily suspending production at one facility in the three months ended March 31, 2011. We have managed these shortages by optimizing the usage of parts that are, or will be, in short supply, pursuing alternate suppliers and modifying production schedules. The effect of any lost production in the nine months ended September 30, 2011, and in the three months and year ending December 31, 2011 is and will be immaterial.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40" w:lineRule="exact"/>
        <w:rPr>
          <w:sz w:val="20"/>
          <w:szCs w:val="20"/>
          <w:color w:val="auto"/>
        </w:rPr>
      </w:pPr>
    </w:p>
    <w:p>
      <w:pPr>
        <w:jc w:val="both"/>
        <w:ind w:right="22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has affected results of operations in 2011 because our Venezuelan subsidiaries no longer realize gains that result from favorable foreign currency exchanges processed by CADIVI at the essential rate for the requests submitted subsequent to the devaluation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Health Care Trust</w:t>
      </w:r>
    </w:p>
    <w:p>
      <w:pPr>
        <w:spacing w:after="0" w:line="177" w:lineRule="exact"/>
        <w:rPr>
          <w:sz w:val="20"/>
          <w:szCs w:val="20"/>
          <w:color w:val="auto"/>
        </w:rPr>
      </w:pPr>
    </w:p>
    <w:p>
      <w:pPr>
        <w:ind w:right="60" w:firstLine="228"/>
        <w:spacing w:after="0" w:line="285" w:lineRule="auto"/>
        <w:rPr>
          <w:sz w:val="20"/>
          <w:szCs w:val="20"/>
          <w:color w:val="auto"/>
        </w:rPr>
      </w:pPr>
      <w:r>
        <w:rPr>
          <w:rFonts w:ascii="Arial" w:cs="Arial" w:eastAsia="Arial" w:hAnsi="Arial"/>
          <w:sz w:val="16"/>
          <w:szCs w:val="16"/>
          <w:color w:val="auto"/>
        </w:rPr>
        <w:t>As previously reported, in December 2009 and May 2010 in furtherance of implementing its restructuring plan and pursuant to a June 2009 agreement between General Motors of Canada Limited (GMCL) and the Canadian Auto Workers Union (CAW) to establish an independent Canadian Health Care Trust (HCT) to provide retiree healthcare benefits to certain active and retired employees, litigation commenced regarding GMCL’s right to unilaterally amend and terminate postretirement healthcare benefits. The parties reached a settlement to consensually resolve the litigation, which was approved on September 13, 2011 by the Ontario Superior Court and was approved on September 19, 2011 by the Quebec Superior Court. At September 30, 2011 the settlement was not implemented because certain conditions precedent to the settlement had not been met, including the expiration of the time period allowed for individual CAW retirees and surviving spouses to decide to opt out of participation in the class action process. GMCL is obligated to make a payment to the HCT of CAD $1.0 billion within 10 days of the HCT implementation date, October 31, 2011, which it will fund out of its CAD $1.0 billion escrow funds, adjusted for the net difference between the amount of retiree monthly contributions received during the period January 1, 2010 through the HCT implementation date less the cost of benefits paid for claims incurred by covered employees during this period and certain related costs. GMCL also provided to the HCT a CAD $800 million note payable with interest accruing at an annual rate of 7.0% starting January 1, 2010 with five equal annual installments of CAD $256 million due December 31, 2014 through 2018. In addition, GMCL will make two additional payments of CAD $130 million each on December 31, 2014 and 2015. Concurrent with the implementation of the HCT, GMCL is legally released from all obligations associated with the cost of providing retiree healthcare benefits to CAW retirees and surviving spouses bound by the class action process and to CAW active employees as of June 8, 2009. As a result of conditions precedent to the settlement not having yet been achieved as of September 30, 2011, there was no accounting recognition for the HCT at September 30, 2011.</w:t>
      </w:r>
    </w:p>
    <w:p>
      <w:pPr>
        <w:spacing w:after="0" w:line="12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October 2011 the time period allowed for individual CAW retirees and surviving spouses to decide to opt out of participation in the class action process elapsed. The conditions precedent to the settlement have been achieved and the HCT implementation date occurred on October 31, 2011, with the transfer of escrow funds to occur in November. We will account, in the three months ending December 31, 2011 for the related termination of CAW hourly retiree healthcare benefits as a settlement, and record a gain of approximately $800 million, based upon the difference between the fair value of the notes of approximately $1.1 billion and cash contributed and the healthcare plan obligation (as at the implementation date) relating to individuals who in the future will have their health care benefits provided by the HCT.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Projected Fourth Quarter Results</w:t>
      </w:r>
    </w:p>
    <w:p>
      <w:pPr>
        <w:spacing w:after="0" w:line="171" w:lineRule="exact"/>
        <w:rPr>
          <w:sz w:val="20"/>
          <w:szCs w:val="20"/>
          <w:color w:val="auto"/>
        </w:rPr>
      </w:pPr>
    </w:p>
    <w:p>
      <w:pPr>
        <w:ind w:right="40" w:firstLine="228"/>
        <w:spacing w:after="0" w:line="262" w:lineRule="auto"/>
        <w:rPr>
          <w:sz w:val="20"/>
          <w:szCs w:val="20"/>
          <w:color w:val="auto"/>
        </w:rPr>
      </w:pPr>
      <w:r>
        <w:rPr>
          <w:rFonts w:ascii="Arial" w:cs="Arial" w:eastAsia="Arial" w:hAnsi="Arial"/>
          <w:sz w:val="18"/>
          <w:szCs w:val="18"/>
          <w:b w:val="1"/>
          <w:bCs w:val="1"/>
          <w:color w:val="auto"/>
        </w:rPr>
        <w:t>With respect to the projected fourth quarter results for 2011, our independent registered public accounting firm has not compiled, examined, or performed any procedures with respect to this information, nor have they expressed any opinion or any other form of assurance on such information or its achievability, and assume no responsibility for, and disclaim any association with, it.</w:t>
      </w:r>
    </w:p>
    <w:p>
      <w:pPr>
        <w:spacing w:after="0" w:line="138"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Based on current industry outlook, we expect our EBIT, excluding the HCT gain of approximately $800 million, in the fourth quarter of 2011 to be similar to the fourth quarter of 2010 as a result of seasonal trends in North America and weakness in Europe.</w:t>
      </w:r>
    </w:p>
    <w:p>
      <w:pPr>
        <w:spacing w:after="0" w:line="132"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EBIT for the year ending December 31, 2011 is expected to show solid improvement over 2010. However, we do not expect to achieve our target to break even on an EBIT-adjusted basis before restructuring charges in Europe, due to deteriorating economic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320" w:firstLine="228"/>
        <w:spacing w:after="0" w:line="306" w:lineRule="auto"/>
        <w:rPr>
          <w:sz w:val="20"/>
          <w:szCs w:val="20"/>
          <w:color w:val="auto"/>
        </w:rPr>
      </w:pPr>
      <w:r>
        <w:rPr>
          <w:rFonts w:ascii="Arial" w:cs="Arial" w:eastAsia="Arial" w:hAnsi="Arial"/>
          <w:sz w:val="16"/>
          <w:szCs w:val="16"/>
          <w:color w:val="auto"/>
        </w:rPr>
        <w:t>As the fourth quarter of 2011 is still in progress, any forecast of our operating results is inherently speculative, is subject to substantial uncertainty, and our actual results may differ materially from management’s views. Refer to the section entitled “Risk Factors” for a discussion of risks that could affect our future operating results. Our views for the fourth quarter rely in large part upon assumptions and analyses we have developed.</w:t>
      </w:r>
    </w:p>
    <w:p>
      <w:pPr>
        <w:spacing w:after="0" w:line="107"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As a result of the foregoing considerations and the other limitations of non-GAAP measures described elsewhere, investors are cautioned not to place undue reliance on this forecasted financial information. There are material limitations inherent in stating our views of our results for future periods. Refer to “Risk Factors” and “Management’s Discussion and Analysis of Financial Condition and Results of Operations” included herein.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 and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Automotive sales and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36,328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34,060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111,270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Total net sales and revenue</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36,719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34,060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112,286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98,710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Automotive cost of sales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automotive expenses, net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34,913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32,327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106,685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93,882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1,726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Production and Vehicle Sales Volume</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Management believes that production volume and vehicle sales data provide meaningful information regarding our automotive operating results. Production volumes manufactured by our assembly facilities are generally aligned with current period net sales and revenue, as we generally recognize revenue upon the release of the vehicle to the carrier responsible for transporting it to a dealer, which is shortly after the completion of production. Vehicle sales data, which includes retail and fleet sales, does not correlate directly to the revenue we recognize during the period. However, vehicle sales data is indicative of the underlying demand for our vehicles, and is the basis for our market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5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Production volume (a)</w:t>
            </w: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GMNA</w:t>
            </w:r>
          </w:p>
        </w:tc>
        <w:tc>
          <w:tcPr>
            <w:tcW w:w="540" w:type="dxa"/>
            <w:vAlign w:val="bottom"/>
          </w:tcPr>
          <w:p>
            <w:pPr>
              <w:jc w:val="right"/>
              <w:spacing w:after="0"/>
              <w:rPr>
                <w:sz w:val="20"/>
                <w:szCs w:val="20"/>
                <w:color w:val="auto"/>
              </w:rPr>
            </w:pPr>
            <w:r>
              <w:rPr>
                <w:rFonts w:ascii="Arial" w:cs="Arial" w:eastAsia="Arial" w:hAnsi="Arial"/>
                <w:sz w:val="18"/>
                <w:szCs w:val="18"/>
                <w:color w:val="auto"/>
              </w:rPr>
              <w:t>740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2,350</w:t>
            </w:r>
          </w:p>
        </w:tc>
        <w:tc>
          <w:tcPr>
            <w:tcW w:w="54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GMIO (b)</w:t>
            </w:r>
          </w:p>
        </w:tc>
        <w:tc>
          <w:tcPr>
            <w:tcW w:w="540" w:type="dxa"/>
            <w:vAlign w:val="bottom"/>
          </w:tcPr>
          <w:p>
            <w:pPr>
              <w:jc w:val="right"/>
              <w:spacing w:after="0"/>
              <w:rPr>
                <w:sz w:val="20"/>
                <w:szCs w:val="20"/>
                <w:color w:val="auto"/>
              </w:rPr>
            </w:pPr>
            <w:r>
              <w:rPr>
                <w:rFonts w:ascii="Arial" w:cs="Arial" w:eastAsia="Arial" w:hAnsi="Arial"/>
                <w:sz w:val="18"/>
                <w:szCs w:val="18"/>
                <w:color w:val="auto"/>
              </w:rPr>
              <w:t>968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2,937</w:t>
            </w:r>
          </w:p>
        </w:tc>
        <w:tc>
          <w:tcPr>
            <w:tcW w:w="54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GMSA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Worldwide</w:t>
            </w: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2,221</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2,104</w:t>
            </w:r>
          </w:p>
        </w:tc>
        <w:tc>
          <w:tcPr>
            <w:tcW w:w="42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6,948</w:t>
            </w:r>
          </w:p>
        </w:tc>
        <w:tc>
          <w:tcPr>
            <w:tcW w:w="540" w:type="dxa"/>
            <w:vAlign w:val="bottom"/>
          </w:tcPr>
          <w:p>
            <w:pPr>
              <w:jc w:val="right"/>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volume includes vehicles produced by certain joint ventures.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2010 (a)</w:t>
            </w:r>
          </w:p>
        </w:tc>
        <w:tc>
          <w:tcPr>
            <w:tcW w:w="2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36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jc w:val="right"/>
              <w:ind w:right="38"/>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6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Vehicle sales (c)(d)(e)</w:t>
            </w: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gridSpan w:val="2"/>
          </w:tcPr>
          <w:p>
            <w:pPr>
              <w:ind w:left="440"/>
              <w:spacing w:after="0"/>
              <w:rPr>
                <w:sz w:val="20"/>
                <w:szCs w:val="20"/>
                <w:color w:val="auto"/>
              </w:rPr>
            </w:pPr>
            <w:r>
              <w:rPr>
                <w:rFonts w:ascii="Arial" w:cs="Arial" w:eastAsia="Arial" w:hAnsi="Arial"/>
                <w:sz w:val="18"/>
                <w:szCs w:val="18"/>
                <w:color w:val="auto"/>
              </w:rPr>
              <w:t>GMNA</w:t>
            </w:r>
          </w:p>
        </w:tc>
        <w:tc>
          <w:tcPr>
            <w:tcW w:w="460" w:type="dxa"/>
            <w:vAlign w:val="bottom"/>
          </w:tcPr>
          <w:p>
            <w:pPr>
              <w:jc w:val="right"/>
              <w:spacing w:after="0"/>
              <w:rPr>
                <w:sz w:val="20"/>
                <w:szCs w:val="20"/>
                <w:color w:val="auto"/>
              </w:rPr>
            </w:pPr>
            <w:r>
              <w:rPr>
                <w:rFonts w:ascii="Arial" w:cs="Arial" w:eastAsia="Arial" w:hAnsi="Arial"/>
                <w:sz w:val="18"/>
                <w:szCs w:val="18"/>
                <w:color w:val="auto"/>
              </w:rPr>
              <w:t>745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2,213</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1,940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ind w:left="440"/>
              <w:spacing w:after="0"/>
              <w:rPr>
                <w:sz w:val="20"/>
                <w:szCs w:val="20"/>
                <w:color w:val="auto"/>
              </w:rPr>
            </w:pPr>
            <w:r>
              <w:rPr>
                <w:rFonts w:ascii="Arial" w:cs="Arial" w:eastAsia="Arial" w:hAnsi="Arial"/>
                <w:sz w:val="18"/>
                <w:szCs w:val="18"/>
                <w:color w:val="auto"/>
              </w:rPr>
              <w:t>GMIO (f)(g)</w:t>
            </w:r>
          </w:p>
        </w:tc>
        <w:tc>
          <w:tcPr>
            <w:tcW w:w="460" w:type="dxa"/>
            <w:vAlign w:val="bottom"/>
          </w:tcPr>
          <w:p>
            <w:pPr>
              <w:jc w:val="right"/>
              <w:spacing w:after="0"/>
              <w:rPr>
                <w:sz w:val="20"/>
                <w:szCs w:val="20"/>
                <w:color w:val="auto"/>
              </w:rPr>
            </w:pPr>
            <w:r>
              <w:rPr>
                <w:rFonts w:ascii="Arial" w:cs="Arial" w:eastAsia="Arial" w:hAnsi="Arial"/>
                <w:sz w:val="18"/>
                <w:szCs w:val="18"/>
                <w:color w:val="auto"/>
              </w:rPr>
              <w:t>816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2,457</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GMSA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19.8%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w:t>
            </w:r>
          </w:p>
        </w:tc>
        <w:tc>
          <w:tcPr>
            <w:tcW w:w="100" w:type="dxa"/>
            <w:vAlign w:val="bottom"/>
            <w:shd w:val="clear" w:color="auto" w:fill="CCEEFF"/>
          </w:tcPr>
          <w:p>
            <w:pPr>
              <w:spacing w:after="0"/>
              <w:rPr>
                <w:sz w:val="18"/>
                <w:szCs w:val="18"/>
                <w:color w:val="auto"/>
              </w:rPr>
            </w:pPr>
          </w:p>
        </w:tc>
      </w:tr>
      <w:tr>
        <w:trPr>
          <w:trHeight w:val="222"/>
        </w:trPr>
        <w:tc>
          <w:tcPr>
            <w:tcW w:w="6020" w:type="dxa"/>
            <w:vAlign w:val="bottom"/>
            <w:gridSpan w:val="2"/>
          </w:tcPr>
          <w:p>
            <w:pPr>
              <w:ind w:left="440"/>
              <w:spacing w:after="0"/>
              <w:rPr>
                <w:sz w:val="20"/>
                <w:szCs w:val="20"/>
                <w:color w:val="auto"/>
              </w:rPr>
            </w:pPr>
            <w:r>
              <w:rPr>
                <w:rFonts w:ascii="Arial" w:cs="Arial" w:eastAsia="Arial" w:hAnsi="Arial"/>
                <w:sz w:val="18"/>
                <w:szCs w:val="18"/>
                <w:color w:val="auto"/>
              </w:rPr>
              <w:t>Worldwide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2,245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2,062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6,788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11.9%</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6,218</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Saab Automobile AB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jc w:val="both"/>
        <w:ind w:left="460" w:right="22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end customer. GME, GMIO and GMSA vehicle sales primarily represent estimated sales to the end customer. In countries where end customer data is not readily available other data sources, such as wholesale volumes, are used to estimate vehicle sales.</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700" w:type="dxa"/>
            <w:vAlign w:val="bottom"/>
          </w:tcPr>
          <w:p>
            <w:pPr>
              <w:spacing w:after="0"/>
              <w:rPr>
                <w:sz w:val="14"/>
                <w:szCs w:val="14"/>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7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Joint venture sales in China</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SGM</w:t>
            </w:r>
          </w:p>
        </w:tc>
        <w:tc>
          <w:tcPr>
            <w:tcW w:w="540" w:type="dxa"/>
            <w:vAlign w:val="bottom"/>
          </w:tcPr>
          <w:p>
            <w:pPr>
              <w:jc w:val="right"/>
              <w:spacing w:after="0"/>
              <w:rPr>
                <w:sz w:val="20"/>
                <w:szCs w:val="20"/>
                <w:color w:val="auto"/>
              </w:rPr>
            </w:pPr>
            <w:r>
              <w:rPr>
                <w:rFonts w:ascii="Arial" w:cs="Arial" w:eastAsia="Arial" w:hAnsi="Arial"/>
                <w:sz w:val="18"/>
                <w:szCs w:val="18"/>
                <w:color w:val="auto"/>
              </w:rPr>
              <w:t>306</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906</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Joint venture sales in India</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SAIC GM Investment Limited (HKJV)</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3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vehicle sales in China as part of our global market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88"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b w:val="1"/>
          <w:bCs w:val="1"/>
          <w:i w:val="1"/>
          <w:iCs w:val="1"/>
          <w:color w:val="auto"/>
        </w:rPr>
        <w:t>Reconciliation of Consolidated, Automotive and GM Financial Segment Results</w:t>
      </w:r>
    </w:p>
    <w:p>
      <w:pPr>
        <w:spacing w:after="0" w:line="1"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Management believes EBIT provides meaningful supplemental information regarding our automotive segments’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We believe EBIT is useful in allowing for greater transparency of our core operations and it is therefore used by management in its financial and operational decision-making.</w:t>
      </w:r>
    </w:p>
    <w:p>
      <w:pPr>
        <w:spacing w:after="0" w:line="143"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4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following table summarizes the reconciliation of our automotive segments EBIT and GM Financial’s income before income taxes to Net income attributable to stockholders (dollars in millions):</w:t>
      </w:r>
    </w:p>
    <w:p>
      <w:pPr>
        <w:spacing w:after="0" w:line="156"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Three Months Ended</w:t>
            </w:r>
          </w:p>
        </w:tc>
        <w:tc>
          <w:tcPr>
            <w:tcW w:w="800" w:type="dxa"/>
            <w:vAlign w:val="bottom"/>
          </w:tcPr>
          <w:p>
            <w:pPr>
              <w:spacing w:after="0"/>
              <w:rPr>
                <w:sz w:val="14"/>
                <w:szCs w:val="14"/>
                <w:color w:val="auto"/>
              </w:rPr>
            </w:pPr>
          </w:p>
        </w:tc>
        <w:tc>
          <w:tcPr>
            <w:tcW w:w="2120" w:type="dxa"/>
            <w:vAlign w:val="bottom"/>
          </w:tcPr>
          <w:p>
            <w:pPr>
              <w:jc w:val="center"/>
              <w:ind w:right="732"/>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60" w:type="dxa"/>
            <w:vAlign w:val="bottom"/>
          </w:tcPr>
          <w:p>
            <w:pPr>
              <w:spacing w:after="0"/>
              <w:rPr>
                <w:sz w:val="14"/>
                <w:szCs w:val="14"/>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4"/>
                <w:szCs w:val="14"/>
                <w:color w:val="auto"/>
              </w:rPr>
            </w:pPr>
          </w:p>
        </w:tc>
        <w:tc>
          <w:tcPr>
            <w:tcW w:w="2120" w:type="dxa"/>
            <w:vAlign w:val="bottom"/>
          </w:tcPr>
          <w:p>
            <w:pPr>
              <w:jc w:val="center"/>
              <w:ind w:right="752"/>
              <w:spacing w:after="0"/>
              <w:rPr>
                <w:sz w:val="20"/>
                <w:szCs w:val="20"/>
                <w:color w:val="auto"/>
              </w:rPr>
            </w:pPr>
            <w:r>
              <w:rPr>
                <w:rFonts w:ascii="Arial" w:cs="Arial" w:eastAsia="Arial" w:hAnsi="Arial"/>
                <w:sz w:val="14"/>
                <w:szCs w:val="14"/>
                <w:b w:val="1"/>
                <w:bCs w:val="1"/>
                <w:color w:val="auto"/>
                <w:w w:val="85"/>
              </w:rPr>
              <w:t>September 30,</w:t>
            </w:r>
          </w:p>
        </w:tc>
      </w:tr>
      <w:tr>
        <w:trPr>
          <w:trHeight w:val="148"/>
        </w:trPr>
        <w:tc>
          <w:tcPr>
            <w:tcW w:w="7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2060" w:type="dxa"/>
            <w:vAlign w:val="bottom"/>
            <w:tcBorders>
              <w:top w:val="single" w:sz="8" w:color="auto"/>
            </w:tcBorders>
          </w:tcPr>
          <w:p>
            <w:pPr>
              <w:jc w:val="right"/>
              <w:ind w:right="392"/>
              <w:spacing w:after="0" w:line="148"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80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2120" w:type="dxa"/>
            <w:vAlign w:val="bottom"/>
            <w:tcBorders>
              <w:top w:val="single" w:sz="8" w:color="auto"/>
            </w:tcBorders>
          </w:tcPr>
          <w:p>
            <w:pPr>
              <w:jc w:val="right"/>
              <w:ind w:right="432"/>
              <w:spacing w:after="0" w:line="148" w:lineRule="exact"/>
              <w:rPr>
                <w:sz w:val="20"/>
                <w:szCs w:val="20"/>
                <w:color w:val="auto"/>
              </w:rPr>
            </w:pPr>
            <w:r>
              <w:rPr>
                <w:rFonts w:ascii="Arial" w:cs="Arial" w:eastAsia="Arial" w:hAnsi="Arial"/>
                <w:sz w:val="14"/>
                <w:szCs w:val="14"/>
                <w:b w:val="1"/>
                <w:bCs w:val="1"/>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Automotive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GMNA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$7,342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$ 4,935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GME (a)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GMIO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GMSA (a)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163</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automotive EBIT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2,245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40"/>
              <w:spacing w:after="0"/>
              <w:rPr>
                <w:sz w:val="20"/>
                <w:szCs w:val="20"/>
                <w:color w:val="auto"/>
              </w:rPr>
            </w:pPr>
            <w:r>
              <w:rPr>
                <w:rFonts w:ascii="Arial" w:cs="Arial" w:eastAsia="Arial" w:hAnsi="Arial"/>
                <w:sz w:val="18"/>
                <w:szCs w:val="18"/>
                <w:color w:val="auto"/>
              </w:rPr>
              <w:t>Corporate and eliminations</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30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Automotive interest expense</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263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expense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b w:val="1"/>
                <w:bCs w:val="1"/>
                <w:color w:val="auto"/>
              </w:rPr>
              <w:t>Automotive Financing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 Financial income before income taxes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income attributable to stockholders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8,465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$ 4,766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 and Net income attributable to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7"/>
              </w:rPr>
              <w:t>2011 vs. 2010 Change</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GMNA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67,122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6,151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20,480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3,318</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GMSA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Financial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Total operating segments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39,138</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119,632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104,552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2,891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15,080</w:t>
            </w:r>
          </w:p>
        </w:tc>
        <w:tc>
          <w:tcPr>
            <w:tcW w:w="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(2,419)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7"/>
              </w:rPr>
              <w:t>7.8%</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3"/>
              </w:rPr>
              <w:t>13.8%</w:t>
            </w: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34,060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112,286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98,710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2,659</w:t>
            </w:r>
          </w:p>
        </w:tc>
        <w:tc>
          <w:tcPr>
            <w:tcW w:w="3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13,576</w:t>
            </w:r>
          </w:p>
        </w:tc>
        <w:tc>
          <w:tcPr>
            <w:tcW w:w="3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In the three months ended September 30, 2011 Total net sales and revenue increased by $2.7 billion (or 7.8%) due primarily to: (1) increased wholesale volumes of $1.4 billion representing 75,000 vehicles, primarily in GMNA of $0.9 billion due to increased industry demand and recent vehicle launches and in GMIO of $0.7 billion driven by industry growth throughout the region; (2) favorable net foreign currency translation effect of $0.9 billion, primarily in GME of $0.4 billion, in GMIO of $0.3 billion and in GMSA of $0.2 billion due to the strengthening of major currencies against the U.S. Dollar; (3) favorable vehicle pricing effect of $0.4 billion, primarily in GMNA of $0.3 billion due to model year price increases; (4) increased finance charge income of $0.4 billion due to the acquisition of GM Financial; (5) increased revenues from Customer Care and Aftersales of $0.1 billion in GMNA due to increased volumes; and (6) increased revenue of $0.1 billion due to the acquisition of GM Strasbourg in GME; partially offset by (7) unfavorable vehicle mix of $0.4 billion primarily in GMNA of $0.8 billion, partially offset by favorable vehicle mix in GME of $0.2 billion and in GMIO of $0.1 billion; and (8) decreased revenue of $0.2 billion due to the sale of Nexteer Automotive (Nexteer) in GMNA in November 2010.</w:t>
      </w:r>
    </w:p>
    <w:p>
      <w:pPr>
        <w:spacing w:after="0" w:line="120" w:lineRule="exact"/>
        <w:rPr>
          <w:sz w:val="20"/>
          <w:szCs w:val="20"/>
          <w:color w:val="auto"/>
        </w:rPr>
      </w:pPr>
    </w:p>
    <w:p>
      <w:pPr>
        <w:ind w:right="140" w:firstLine="228"/>
        <w:spacing w:after="0" w:line="283" w:lineRule="auto"/>
        <w:rPr>
          <w:sz w:val="20"/>
          <w:szCs w:val="20"/>
          <w:color w:val="auto"/>
        </w:rPr>
      </w:pPr>
      <w:r>
        <w:rPr>
          <w:rFonts w:ascii="Arial" w:cs="Arial" w:eastAsia="Arial" w:hAnsi="Arial"/>
          <w:sz w:val="16"/>
          <w:szCs w:val="16"/>
          <w:color w:val="auto"/>
        </w:rPr>
        <w:t>In the nine months ended September 30, 2011 Total net sales and revenue increased by $13.6 billion (or 13.8%) due primarily to: (1) increased wholesale volumes of $7.5 billion representing 438,000 vehicles, primarily in GMNA of $5.6 billion due to increased industry demand and recent vehicle launches and in GMIO of $1.6 billion driven by industry growth throughout the region; (2) favorable net foreign currency translation effect of $2.9 billion, primarily in GME of $1.2 billion, in GMIO of $0.8 billion and in GMSA of $0.7 billion due to the strengthening of major currencies against the U.S. Dollar; (3) favorable vehicle pricing effect of $1.0 billion, primarily in GMNA of $0.6 billion due to model year price increases and reduced sales allowances and in GMSA of $0.3 billion driven by the hyperinflationary economy in Venezuela; (4) increased finance charge income of $1.0 billion due to the acquisition of GM Financial; (5) favorable vehicle mix of $0.8 billion, primarily in GME of $0.8 billion and in GMIO of $0.3 billion, partially offset by unfavorable vehicle mix in GMNA of $0.3 billion;</w:t>
      </w:r>
    </w:p>
    <w:p>
      <w:pPr>
        <w:ind w:right="180" w:firstLine="8"/>
        <w:spacing w:after="0" w:line="281" w:lineRule="auto"/>
        <w:tabs>
          <w:tab w:leader="none" w:pos="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increased revenues from OnStar and Customer Care and Aftersales of $0.4 billion in GMNA due to increased volumes; (7) increased revenue of $0.4 billion due to the acquisition of GM Strasbourg in GME; and (8) increased powertrain engine and transmission sales of $0.4 billion in GME; partially offset by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revenue of $0.8 billion due to the sale of Nexteer in GMNA in November 2010.</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Automotive cost of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31,734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29,587</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$97,212</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$85,750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Automotive gross margin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4,473</w:t>
            </w: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$14,058</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$12,960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356"/>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57"/>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60" w:firstLine="228"/>
        <w:spacing w:after="0" w:line="287" w:lineRule="auto"/>
        <w:rPr>
          <w:sz w:val="20"/>
          <w:szCs w:val="20"/>
          <w:color w:val="auto"/>
        </w:rPr>
      </w:pPr>
      <w:r>
        <w:rPr>
          <w:rFonts w:ascii="Arial" w:cs="Arial" w:eastAsia="Arial" w:hAnsi="Arial"/>
          <w:sz w:val="16"/>
          <w:szCs w:val="16"/>
          <w:color w:val="auto"/>
        </w:rPr>
        <w:t>In the three months ended September 30, 2011 Automotive cost of sales increased by $2.1 billion (or 7.3%), in line with increases in Total net sales and revenue, due primarily to: (1) unfavorable foreign currency translation effect of $0.9 billion, primarily in GME of $0.4 billion, in GMIO of $0.3 billion and in GMSA of $0.2 billion due to the strengthening of major currencies against the U.S. Dollar; (2) increased production costs related to wholesale volume increases of $0.8 billion, primarily in GMNA of $0.6 billion and in GMIO of $0.6 billion, partially offset by increased eliminations of $0.3 billion; (3) increased material and manufacturing costs of $0.4 billion, due primarily to higher commodity prices across the regions; (4) increased engineering costs of $0.3 billion to support new product development; (5) unfavorable vehicle mix of $0.2 billion, primarily in GMIO of $0.1 billion and in GME of $0.1 billion; and (6) increased costs of $0.1 billion due to the acquisition of GM Strasbourg in GME; partially offset by (7) favorable foreign currency remeasurement of $0.3 billion in GMNA due to the weakening of the Canadian Dollar against the U.S. Dollar; and (8) decreased amortization expense of $0.3 billion due to impairment charges for product-specific tooling assets in the corresponding period in 2010 and the effect of double-declining amortization of technology intangibles which were recorded on July 10, 2009.</w:t>
      </w:r>
    </w:p>
    <w:p>
      <w:pPr>
        <w:spacing w:after="0" w:line="123"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In the nine months ended September 30, 2011 Automotive cost of sales increased by $11.5 billion (or 13.4%), in line with increases in Total net sales and revenue, due primarily to: (1) increased production costs related to wholesale volume increases of $5.1 billion, in GMNA of $4.0 billion, in GMIO of $1.4 billion and in GME of $0.7 billion, partially offset by increased eliminations of $1.5 billion; (2) unfavorable foreign currency translation effect of $2.9 billion, primarily in GME of $1.2 billion, in GMIO of $0.8 billion and in GMSA of $0.8 billion due to the strengthening of major currencies against the U.S. Dollar;</w:t>
      </w:r>
    </w:p>
    <w:p>
      <w:pPr>
        <w:spacing w:after="0" w:line="3" w:lineRule="exact"/>
        <w:rPr>
          <w:sz w:val="20"/>
          <w:szCs w:val="20"/>
          <w:color w:val="auto"/>
        </w:rPr>
      </w:pPr>
    </w:p>
    <w:p>
      <w:pPr>
        <w:jc w:val="both"/>
        <w:ind w:right="220" w:firstLine="8"/>
        <w:spacing w:after="0" w:line="281"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unfavorable vehicle mix of $2.0 billion, primarily in GMNA of $0.9 billion, in GME of $0.6 billion and in GMIO of $0.4 billion; (4) increased material and manufacturing costs of $1.1 billion, due primarily to higher commodity prices across the regions; (5) increased engineering costs of $1.0 billion to support new product development; (6) higher costs of $0.4 billion related to the increased revenue in GME Powertrain and GMNA Customer Care and Aftersales; and</w:t>
      </w:r>
    </w:p>
    <w:p>
      <w:pPr>
        <w:spacing w:after="0" w:line="2" w:lineRule="exact"/>
        <w:rPr>
          <w:rFonts w:ascii="Arial" w:cs="Arial" w:eastAsia="Arial" w:hAnsi="Arial"/>
          <w:sz w:val="16"/>
          <w:szCs w:val="16"/>
          <w:color w:val="auto"/>
        </w:rPr>
      </w:pPr>
    </w:p>
    <w:p>
      <w:pPr>
        <w:ind w:right="100" w:firstLine="8"/>
        <w:spacing w:after="0" w:line="320" w:lineRule="auto"/>
        <w:tabs>
          <w:tab w:leader="none" w:pos="249"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increased costs of $0.3 billion due to the acquisition of GM Strasbourg in GME; partially offset by (8) decreased amortization expense of $0.6 billion due to impairment charges for product-specific tooling assets in the corresponding period in 2010 and the effect of double-declining amortization of technology intangibles which were recorded on July 10, 2009 and (9) higher restructuring charges in GME of $0.5 billion incurred in the corresponding period in 2010 to restructure our European operations; and (10) increase in net pension and OPEB income of $0.3 billion due to December 31, 2010 GMNA plan remeasurements.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47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74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Automotive selling, general and administrative expense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$ 2,942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$ 2,710</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$ 8,860</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$ 8,017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the three months ended September 30, 2011 Automotive selling, general and administrative expense increased by $0.2 billion (or 8.6%) due primarily to increased advertising and sales promotion expenses of $0.2 billion, primarily in GMNA of $0.1 billion to support media campaigns, and increased administrative expense of $0.1 billion.</w:t>
      </w:r>
    </w:p>
    <w:p>
      <w:pPr>
        <w:spacing w:after="0" w:line="140"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In the nine months ended September 30, 2011 Automotive selling, general and administrative expense increased by $0.8 billion (or 10.5%) due primarily to increased advertising and sales promotion expenses of $0.6 billion, primarily in GMNA of $0.3 billion and in GMIO of $0.1 billion to support media campaigns and new product launches. We also had charges of $0.1 billion in GME related to a single customer’s default under various commercial supply agreements.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87"/>
              <w:spacing w:after="0"/>
              <w:rPr>
                <w:sz w:val="20"/>
                <w:szCs w:val="20"/>
                <w:color w:val="auto"/>
              </w:rPr>
            </w:pPr>
            <w:r>
              <w:rPr>
                <w:rFonts w:ascii="Arial" w:cs="Arial" w:eastAsia="Arial" w:hAnsi="Arial"/>
                <w:sz w:val="14"/>
                <w:szCs w:val="14"/>
                <w:b w:val="1"/>
                <w:bCs w:val="1"/>
                <w:color w:val="auto"/>
                <w:w w:val="87"/>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400" w:type="dxa"/>
            <w:vAlign w:val="bottom"/>
          </w:tcPr>
          <w:p>
            <w:pPr>
              <w:spacing w:after="0"/>
              <w:rPr>
                <w:sz w:val="14"/>
                <w:szCs w:val="14"/>
                <w:color w:val="auto"/>
              </w:rPr>
            </w:pPr>
          </w:p>
        </w:tc>
        <w:tc>
          <w:tcPr>
            <w:tcW w:w="124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September 30,</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74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2010</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impairment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395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3"/>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nine months ended September 30, 2011 Goodwill impairment charges increased by $0.4 billion due to Goodwill impairment charges recorded in GME.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Refer to Notes 2 and 9 to our condensed consolidated financial statements for additional information related to our Goodwill impairment charges.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180" w:type="dxa"/>
            <w:vAlign w:val="bottom"/>
          </w:tcPr>
          <w:p>
            <w:pPr>
              <w:spacing w:after="0"/>
              <w:rPr>
                <w:sz w:val="14"/>
                <w:szCs w:val="14"/>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5"/>
              </w:rPr>
              <w:t>2011 vs. 2010 Change</w:t>
            </w:r>
          </w:p>
        </w:tc>
        <w:tc>
          <w:tcPr>
            <w:tcW w:w="10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1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263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(52.4)%</w:t>
            </w:r>
          </w:p>
        </w:tc>
      </w:tr>
    </w:tbl>
    <w:p>
      <w:pPr>
        <w:spacing w:after="0" w:line="154"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In the three months ended September 30, 2011 Automotive interest expense decreased by $0.2 billion (or 61.6%) due primarily to a reduction in our global average debt balance of $3.9 billion driven by the repayment in 2010 of notes issued to the UAW Retiree Medical Benefits Trust (VEBA Notes) and debt facilities held at certain of our foreign subsidiaries.</w:t>
      </w:r>
    </w:p>
    <w:p>
      <w:pPr>
        <w:spacing w:after="0" w:line="140"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In the nine months ended September 30, 2011 Automotive interest expense decreased by $0.4 billion (or 52.4%) due primarily to a reduction in our global average debt balance of $6.3 billion driven by the repayment in 2010 of loans, which we assumed upon entering into agreements with the United States Department of the Treasury (UST Loans) and the Canadian government (Canadian Loan) and VEBA Notes.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4"/>
                <w:szCs w:val="14"/>
                <w:color w:val="auto"/>
              </w:rPr>
            </w:pPr>
          </w:p>
        </w:tc>
        <w:tc>
          <w:tcPr>
            <w:tcW w:w="1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4"/>
                <w:szCs w:val="14"/>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2011 vs. 2010 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9"/>
              </w:rPr>
              <w:t>2011 vs. 2010 Change</w:t>
            </w:r>
          </w:p>
        </w:tc>
      </w:tr>
      <w:tr>
        <w:trPr>
          <w:trHeight w:val="142"/>
        </w:trPr>
        <w:tc>
          <w:tcPr>
            <w:tcW w:w="4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r>
      <w:tr>
        <w:trPr>
          <w:trHeight w:val="210"/>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Interest income and other non-operating income,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152</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$ 1,064</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In the three months ended September 30, 2011 Interest income and other non-operating income, net decreased by $0.2 billion (or 59.7%) due primarily to derivative losses of $0.1 billion and net foreign exchange losses of $0.1 billion on debt balances.</w:t>
      </w:r>
    </w:p>
    <w:p>
      <w:pPr>
        <w:spacing w:after="0" w:line="132"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In the nine months ended September 30, 2011 Interest income and other non-operating income, net increased by $0.3 billion (or 45.0%), due primarily to: (1) a gain of $0.3 billion recorded on the sale of our Ally Financial preferred stock; and (2) increased deferred revenue recognized of $0.1 billion in GMIO related to a service contract; partially offset by (3) a gain on the sale of Saab of $0.1 billion in the corresponding period in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4240" w:type="dxa"/>
            <w:vAlign w:val="bottom"/>
          </w:tcPr>
          <w:p>
            <w:pPr>
              <w:spacing w:after="0"/>
              <w:rPr>
                <w:sz w:val="14"/>
                <w:szCs w:val="14"/>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September 30,</w:t>
            </w: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7"/>
              </w:rPr>
              <w:t>2011 vs. 2010 Change</w:t>
            </w:r>
          </w:p>
        </w:tc>
      </w:tr>
      <w:tr>
        <w:trPr>
          <w:trHeight w:val="142"/>
        </w:trPr>
        <w:tc>
          <w:tcPr>
            <w:tcW w:w="42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In the three months ended September 30, 2011 Income tax expense was $0.1 billion compared to a tax benefit of $25 million in the corresponding period in 2010. This increase in tax expense is due primarily to tax expense attributable to entities included in our effective tax rate calculation.</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the nine months ended September 30, 2011 Income tax expense decreased by $0.7 billion (or 78.3%) due primarily to: (1) decrease in tax expense due to recognition of previously unrecognized tax benefits of $0.4 billion, which includes reductions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expense of $0.2 billion and to valuation allowances of $0.1 billion; (2) decrease in tax expense attributable to entities included in our effective tax rate calculation of $0.2 billion; and (3) decrease in tax expense attributable to a taxable foreign currency gain in Venezuela of $0.1 billion recorded in the corresponding period in 2010.</w:t>
      </w:r>
    </w:p>
    <w:p>
      <w:pPr>
        <w:spacing w:after="0" w:line="140"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 recorded effective tax rate is lower than the applicable statutory tax rate in all periods, due primarily to income earned in jurisdictions for which a full valuation allowance is recorded.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Income, net of tax and Gain on Disposal of Investments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Nine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9"/>
              </w:rPr>
              <w:t>2011 vs. 2010 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2011 vs. 2010 Change</w:t>
            </w:r>
          </w:p>
        </w:tc>
      </w:tr>
      <w:tr>
        <w:trPr>
          <w:trHeight w:val="142"/>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Amount</w:t>
            </w: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3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China JVs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$ 1,061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New Delphi (including gain on disposition)</w:t>
            </w: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1,630</w:t>
            </w:r>
          </w:p>
        </w:tc>
        <w:tc>
          <w:tcPr>
            <w:tcW w:w="3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n.m.</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Total equity income, net of tax and gain on</w:t>
            </w: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disposal of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$ 2,903</w:t>
            </w: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1,738</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September 30, 2011 the change in Equity income, net of tax and gain on disposal of investments was insignificant.</w:t>
      </w:r>
    </w:p>
    <w:p>
      <w:pPr>
        <w:spacing w:after="0" w:line="194" w:lineRule="exact"/>
        <w:rPr>
          <w:sz w:val="20"/>
          <w:szCs w:val="20"/>
          <w:color w:val="auto"/>
        </w:rPr>
      </w:pPr>
    </w:p>
    <w:p>
      <w:pPr>
        <w:ind w:right="460" w:firstLine="228"/>
        <w:spacing w:after="0" w:line="259" w:lineRule="auto"/>
        <w:rPr>
          <w:sz w:val="20"/>
          <w:szCs w:val="20"/>
          <w:color w:val="auto"/>
        </w:rPr>
      </w:pPr>
      <w:r>
        <w:rPr>
          <w:rFonts w:ascii="Arial" w:cs="Arial" w:eastAsia="Arial" w:hAnsi="Arial"/>
          <w:sz w:val="18"/>
          <w:szCs w:val="18"/>
          <w:color w:val="auto"/>
        </w:rPr>
        <w:t>In the nine months ended September 30, 2011 Equity income, net of tax and gain on disposal of investments increased by $1.7 billion or (149.2%) due primarily to a gain of $1.6 billion recorded on the sale of our Delphi Automotive LLP (New Delphi) Class A Membership Interests in GMNA and increased equity income related to our China JVs of $0.1 billion in GMIO.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100" w:type="dxa"/>
            <w:vAlign w:val="bottom"/>
            <w:shd w:val="clear" w:color="auto" w:fill="CCEEFF"/>
          </w:tcPr>
          <w:p>
            <w:pPr>
              <w:ind w:left="4020"/>
              <w:spacing w:after="0" w:line="12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20,297</w:t>
            </w: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11,680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$332 and $252)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10,512</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15,220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2,834</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64,010</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7,534</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21,556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28,605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10,498</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3,969</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10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72,162</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74,913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Assets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136,172</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127,966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SPEs of $8,433 and $7,156)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8,918</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Other assets (including leased assets, net transferred to SPEs of $101 and $0)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1,005</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Assets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12,325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10,932</w:t>
            </w:r>
          </w:p>
        </w:tc>
        <w:tc>
          <w:tcPr>
            <w:tcW w:w="60" w:type="dxa"/>
            <w:vAlign w:val="bottom"/>
            <w:shd w:val="clear" w:color="auto" w:fill="CCEEFF"/>
          </w:tcPr>
          <w:p>
            <w:pPr>
              <w:spacing w:after="0"/>
              <w:rPr>
                <w:sz w:val="12"/>
                <w:szCs w:val="12"/>
                <w:color w:val="auto"/>
              </w:rPr>
            </w:pPr>
          </w:p>
        </w:tc>
      </w:tr>
      <w:tr>
        <w:trPr>
          <w:trHeight w:val="156"/>
        </w:trPr>
        <w:tc>
          <w:tcPr>
            <w:tcW w:w="9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148,497</w:t>
            </w:r>
          </w:p>
        </w:tc>
        <w:tc>
          <w:tcPr>
            <w:tcW w:w="320" w:type="dxa"/>
            <w:vAlign w:val="bottom"/>
          </w:tcPr>
          <w:p>
            <w:pPr>
              <w:spacing w:after="0"/>
              <w:rPr>
                <w:sz w:val="13"/>
                <w:szCs w:val="13"/>
                <w:color w:val="auto"/>
              </w:rPr>
            </w:pPr>
          </w:p>
        </w:tc>
        <w:tc>
          <w:tcPr>
            <w:tcW w:w="4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ind w:left="3420"/>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25,646</w:t>
            </w: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Short-term debt and current portion of long-term debt (including certain debt at GM Korea of $130 and $70)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1,543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$63 and $111)</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24,559</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51,748</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47,157</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2,667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Pensions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18,684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12,684</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10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42,877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47,223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94,625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Securitization notes payable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6,902</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1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Liabilities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7,359</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102,881</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101,739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Series A (276,101,695 shares issued and outstanding (each with a $25.00 liquidation preference) at September 30, 2011 and December 31, 2010)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w w:val="97"/>
              </w:rPr>
              <w:t>Series B (100,000,000 shares issued and outstanding (each with a $50.00 liquidation preference) at September 30, 2011 and December 31, 2010)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Common stock, $0.01 par value (5,000,000,000 shares authorized, 1,564,366,673 shares issued and outstanding at September 30, 2011 and 1,500,136,998</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1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 issued and outstanding at December 31, 2010)</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26,330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6,595</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1,412</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44,744</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872</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45,616</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60" w:type="dxa"/>
            <w:vAlign w:val="bottom"/>
            <w:shd w:val="clear" w:color="auto" w:fill="CCEEFF"/>
          </w:tcPr>
          <w:p>
            <w:pPr>
              <w:spacing w:after="0"/>
              <w:rPr>
                <w:sz w:val="12"/>
                <w:szCs w:val="12"/>
                <w:color w:val="auto"/>
              </w:rPr>
            </w:pPr>
          </w:p>
        </w:tc>
      </w:tr>
      <w:tr>
        <w:trPr>
          <w:trHeight w:val="156"/>
        </w:trPr>
        <w:tc>
          <w:tcPr>
            <w:tcW w:w="9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148,497</w:t>
            </w:r>
          </w:p>
        </w:tc>
        <w:tc>
          <w:tcPr>
            <w:tcW w:w="320" w:type="dxa"/>
            <w:vAlign w:val="bottom"/>
          </w:tcPr>
          <w:p>
            <w:pPr>
              <w:spacing w:after="0"/>
              <w:rPr>
                <w:sz w:val="13"/>
                <w:szCs w:val="13"/>
                <w:color w:val="auto"/>
              </w:rPr>
            </w:pPr>
          </w:p>
        </w:tc>
        <w:tc>
          <w:tcPr>
            <w:tcW w:w="4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Marketable securities of $11.7 billion increased $6.1 billion (or 110.3%) due to investments in securities with maturities exceeding 90 days resulting primarily from our improved liquidity and cash position.</w:t>
      </w:r>
    </w:p>
    <w:p>
      <w:pPr>
        <w:spacing w:after="0" w:line="132"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Accounts and notes receivable of $10.5 billion increased by $1.8 billion (or 20.8%) due primarily to: (1) increase related to the termination and modification of wholesale advance agreements with Ally Financial in GMNA, which had provided for accelerated receipt of payment on dealer sales financed through Ally Financial of $2.2 billion; and (2) increased sales volume in GMNA of $0.9 billion; partially offset by (3) collection of 2010 dividends of $0.9 billion primarily from our China JVs and (4) unfavorable foreign currency translation effect of $0.2 billion.</w:t>
      </w:r>
    </w:p>
    <w:p>
      <w:pPr>
        <w:spacing w:after="0" w:line="143"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Inventories of $15.2 billion increased by $3.1 billion (or 25.5%) due primarily to: (1) increased raw materials, finished goods and consigned inventory of $2.9 billion to support increased forecasted production and to build up inventory from seasonally low levels in December 2010 to support increased demand for our products; and (2) increased repurchases of leased vehicles of $0.3 billion; partially offset by (3) an unfavorable foreign currency translation effect of $0.3 billion, primarily in GMIO and GMSA, due to the strengthening of the U.S. Dollar against major currencies.</w:t>
      </w:r>
    </w:p>
    <w:p>
      <w:pPr>
        <w:spacing w:after="0" w:line="11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Equipment on operating leases, net of $3.5 billion increased by $0.9 billion (or 35.0%) due primarily to an increase of $0.6 billion in GMNA primarily related to vehicles leased to daily rental car companies (vehicles leased to U.S. daily rental car companies increased to 144,000 vehicles at September 30, 2011 from 118,000 vehicles at December 31, 2010), and an increase of $0.3 billion in GME due primarily to an increase in leased vehicles to 63,000 vehicles at September 30, 2011 from 40,000 vehicles at December 31,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Equity in net assets of nonconsolidated affiliates of $7.5 billion decreased by $1.0 billion (or 11.7%) due primarily to a decrease of $2.0 billion resulting from the March 2011 sale of our interest in New Delphi. This reduction was partially offset by equity income of $1.2 billion primarily related to our China JVs.</w:t>
      </w:r>
    </w:p>
    <w:p>
      <w:pPr>
        <w:spacing w:after="0" w:line="85"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Property, net of $21.6 billion increased by $2.3 billion (or 12.1%) due primarily to: (1) capital expenditures of $5.3 billion; and (2) new capital leases of $0.4 billion; partially offset by (3) depreciation of $2.8 billion; (4) unfavorable foreign currency translation and remeasurement effects of $0.3 billion primarily in GMIO and GMSA due to the strengthening of the U.S. Dollar against major currencies; (5) decreases of $0.1 billion associated with the deconsolidation of VM Motori (VMM); and (6) decreases of $0.1 billion associated with disposals.</w:t>
      </w:r>
    </w:p>
    <w:p>
      <w:pPr>
        <w:spacing w:after="0" w:line="14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Goodwill of $28.6 billion decreased by $1.9 billion (or 6.3%) due to impairment charges of $1.9 billion recognized upon our adoption of Accounting Standard Update (ASU) 2010-28, “Intangibles — Goodwill and Other: When to Perform Step 2 of the Goodwill Impairment Test for Reporting Units with Zero or Negative Carrying Amounts” (ASU 2010-28). The impairment charges, in GME, resulted in the recognition of a cumulative-effect adjustment to beginning Retained earnings of $1.5 billion and an impairment charge of $0.4 billion recorded in Goodwill impairment charges during the three months ended March 31, 2011.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net of $10.5 billion decreased by $1.4 billion (or 11.6%) due primarily to amortization of $1.4 billion.</w:t>
      </w:r>
    </w:p>
    <w:p>
      <w:pPr>
        <w:spacing w:after="0" w:line="17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Other assets and deferred income taxes of $4.0 billion decreased $0.8 billion (or 16.5%) due primarily to the sale of our investment in Ally Financial preferred stock of $0.7 billion.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Accounts payable of $25.6 billion increased by $4.1 billion (or 19.3%) due primarily to: (1) increased payables of $3.0 billion for materials due to increased production volume; and (2) an increase in accounts payable for capital projects of $1.2 billion as we prepare for new vehicle launches; partially offset by (3) favorable foreign currency translation and remeasurement effects of $0.6 billion due to the weakening of most major currencies against the U.S. Dollar.</w:t>
      </w:r>
    </w:p>
    <w:p>
      <w:pPr>
        <w:spacing w:after="0" w:line="10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Short-term debt and current portion of long-term debt of $1.5 billion decreased by $0.1 billion (or 4.5%) due primarily to payments on short-term debt of $1.1 billion, partially offset by reclassifications of $0.8 billion from long-term debt to short-term debt.</w:t>
      </w:r>
    </w:p>
    <w:p>
      <w:pPr>
        <w:spacing w:after="0" w:line="132"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Accrued liabilities of $24.6 billion increased by $0.5 billion (or 2.1%) due primarily to: (1) an increase in customer deposits primarily related to the increased number of vehicles leased to daily rental car companies of $1.8 billion; and (2) an increase in product warranty and recall campaign accrual due to recent claims experience of $0.5 billion; partially offset by (3) net decreases in various accruals of $0.7 billion; (4) a decrease in income taxes of $0.5 billion due primarily to settlements of income tax liability in GMSA; (5) a decrease in dealer and customer sales allowances of $0.3 billion in GMNA; (6) favorable foreign currency translation and remeasurement effects of $0.2 billion due to the weakening of most major currencies against the U.S. Dollar; and (7) a net decrease in payroll and employee benefits accruals of $0.1 billion.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Long-term debt of $2.7 billion decreased $0.3 billion (or 11.5%) due primarily to: (1) reclassifications of $0.8 billion from long-term debt to short-term debt; and (2) favorable foreign currency translation and remeasurement effects of $0.1 billion primarily in GMIO and GMSA due to weakening of major currencies against the U.S. Dollar; partially offset by (3) capital leases of $0.4 billion primarily in GME and GMNA; and (4) amortization of debt discounts of $0.1 billion.</w:t>
      </w:r>
    </w:p>
    <w:p>
      <w:pPr>
        <w:spacing w:after="0" w:line="107"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Pensions liabilities of $18.7 billion decreased by $3.2 billion (or 14.7%) due primarily to: (1) contributions and benefit payments of $2.6 billion, including contribution of common stock to our U.S. hourly and salaried pension plans of $1.9 billion; (2) decrease related to the revaluation of pension plans of $0.3 billion in GME associated with goodwill impairment testing; and (3) expected return on assets in excess of service and interest expense of $0.3 billion.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GM Financial Assets</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Finance receivables, net of $8.9 billion increased by $0.7 billion (or 8.8%) due primarily to new loan originations of $3.8 billion partially offset by principal collections and gross charge offs of $3.1 billion.</w:t>
      </w:r>
    </w:p>
    <w:p>
      <w:pPr>
        <w:spacing w:after="0" w:line="132"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Other assets of $1.0 billion increased by $0.6 billion (or 164.5%) due primarily to an increase in new leased vehicle originations of $0.5 billion and an increase in cash and cash equivalents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GM Financial Liabilities</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Securitization notes payable of $6.9 billion increased by $0.8 billion (or 12.6%) due primarily to the issuance of new securitization notes payable of $3.7 billion partially offset by a normal principal amortization of $2.9 billion of the securitization notes payable.</w:t>
      </w:r>
    </w:p>
    <w:p>
      <w:pPr>
        <w:spacing w:after="0" w:line="13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Credit facilities of $0.6 billion decreased by $0.3 billion (or 33.5%) due primarily to lower utilization of the credit facilities as a result of the issuance of $3.7 billion of securitization notes payable and $0.5 billion of 6.75% senior notes.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liabilities of $0.8 billion increased by $0.4 billion (or 100.8%) due primarily to the issuance of $0.5 billion of 6.75% senior notes in June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 segments is subsequently discussed.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4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67,122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61,045</w:t>
            </w:r>
          </w:p>
        </w:tc>
        <w:tc>
          <w:tcPr>
            <w:tcW w:w="100" w:type="dxa"/>
            <w:vAlign w:val="bottom"/>
            <w:shd w:val="clear" w:color="auto" w:fill="CCEEFF"/>
          </w:tcPr>
          <w:p>
            <w:pPr>
              <w:spacing w:after="0"/>
              <w:rPr>
                <w:sz w:val="18"/>
                <w:szCs w:val="18"/>
                <w:color w:val="auto"/>
              </w:rPr>
            </w:pP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2,195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2,125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ind w:lef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6"/>
          </w:tcPr>
          <w:p>
            <w:pPr>
              <w:jc w:val="right"/>
              <w:ind w:right="312"/>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4"/>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Production volume</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Cars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8"/>
                <w:szCs w:val="18"/>
                <w:color w:val="auto"/>
                <w:w w:val="93"/>
              </w:rPr>
              <w:t>267</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52"/>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Trucks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3"/>
              </w:rPr>
              <w:t>473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360" w:type="dxa"/>
            <w:vAlign w:val="bottom"/>
            <w:gridSpan w:val="6"/>
            <w:shd w:val="clear" w:color="auto" w:fill="CCEEFF"/>
          </w:tcPr>
          <w:p>
            <w:pPr>
              <w:jc w:val="right"/>
              <w:ind w:right="252"/>
              <w:spacing w:after="0"/>
              <w:rPr>
                <w:sz w:val="20"/>
                <w:szCs w:val="20"/>
                <w:color w:val="auto"/>
              </w:rPr>
            </w:pPr>
            <w:r>
              <w:rPr>
                <w:rFonts w:ascii="Arial" w:cs="Arial" w:eastAsia="Arial" w:hAnsi="Arial"/>
                <w:sz w:val="18"/>
                <w:szCs w:val="18"/>
                <w:color w:val="auto"/>
              </w:rPr>
              <w:t>1,490</w:t>
            </w: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ind w:right="380"/>
              <w:spacing w:after="0"/>
              <w:rPr>
                <w:sz w:val="20"/>
                <w:szCs w:val="20"/>
                <w:color w:val="auto"/>
              </w:rPr>
            </w:pPr>
            <w:r>
              <w:rPr>
                <w:rFonts w:ascii="Arial" w:cs="Arial" w:eastAsia="Arial" w:hAnsi="Arial"/>
                <w:sz w:val="18"/>
                <w:szCs w:val="18"/>
                <w:color w:val="auto"/>
                <w:w w:val="93"/>
              </w:rPr>
              <w:t>740</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1360" w:type="dxa"/>
            <w:vAlign w:val="bottom"/>
            <w:gridSpan w:val="6"/>
          </w:tcPr>
          <w:p>
            <w:pPr>
              <w:jc w:val="right"/>
              <w:ind w:right="252"/>
              <w:spacing w:after="0"/>
              <w:rPr>
                <w:sz w:val="20"/>
                <w:szCs w:val="20"/>
                <w:color w:val="auto"/>
              </w:rPr>
            </w:pPr>
            <w:r>
              <w:rPr>
                <w:rFonts w:ascii="Arial" w:cs="Arial" w:eastAsia="Arial" w:hAnsi="Arial"/>
                <w:sz w:val="18"/>
                <w:szCs w:val="18"/>
                <w:color w:val="auto"/>
              </w:rPr>
              <w:t>2,350</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9"/>
          </w:tcPr>
          <w:p>
            <w:pPr>
              <w:jc w:val="center"/>
              <w:ind w:right="66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ind w:left="72"/>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ind w:left="160"/>
              <w:spacing w:after="0" w:line="142" w:lineRule="exact"/>
              <w:rPr>
                <w:sz w:val="20"/>
                <w:szCs w:val="20"/>
                <w:color w:val="auto"/>
              </w:rPr>
            </w:pPr>
            <w:r>
              <w:rPr>
                <w:rFonts w:ascii="Arial" w:cs="Arial" w:eastAsia="Arial" w:hAnsi="Arial"/>
                <w:sz w:val="14"/>
                <w:szCs w:val="14"/>
                <w:b w:val="1"/>
                <w:bCs w:val="1"/>
                <w:color w:val="auto"/>
              </w:rPr>
              <w:t>2010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178"/>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GM as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 %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 %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 % of</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360" w:type="dxa"/>
            <w:vAlign w:val="bottom"/>
            <w:gridSpan w:val="3"/>
          </w:tcPr>
          <w:p>
            <w:pPr>
              <w:ind w:left="40"/>
              <w:spacing w:after="0"/>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Industry</w:t>
            </w: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GM</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w:t>
            </w: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Total GMNA</w:t>
            </w:r>
          </w:p>
        </w:tc>
        <w:tc>
          <w:tcPr>
            <w:tcW w:w="340" w:type="dxa"/>
            <w:vAlign w:val="bottom"/>
          </w:tcPr>
          <w:p>
            <w:pPr>
              <w:jc w:val="right"/>
              <w:spacing w:after="0"/>
              <w:rPr>
                <w:sz w:val="20"/>
                <w:szCs w:val="20"/>
                <w:color w:val="auto"/>
              </w:rPr>
            </w:pPr>
            <w:r>
              <w:rPr>
                <w:rFonts w:ascii="Arial" w:cs="Arial" w:eastAsia="Arial" w:hAnsi="Arial"/>
                <w:sz w:val="18"/>
                <w:szCs w:val="18"/>
                <w:color w:val="auto"/>
              </w:rPr>
              <w:t>745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660</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558</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U.S. - Cars.</w:t>
            </w:r>
          </w:p>
        </w:tc>
        <w:tc>
          <w:tcPr>
            <w:tcW w:w="340" w:type="dxa"/>
            <w:vAlign w:val="bottom"/>
          </w:tcPr>
          <w:p>
            <w:pPr>
              <w:jc w:val="right"/>
              <w:spacing w:after="0"/>
              <w:rPr>
                <w:sz w:val="20"/>
                <w:szCs w:val="20"/>
                <w:color w:val="auto"/>
              </w:rPr>
            </w:pPr>
            <w:r>
              <w:rPr>
                <w:rFonts w:ascii="Arial" w:cs="Arial" w:eastAsia="Arial" w:hAnsi="Arial"/>
                <w:sz w:val="18"/>
                <w:szCs w:val="18"/>
                <w:color w:val="auto"/>
              </w:rPr>
              <w:t>230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204</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 Trucks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354</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15.3%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220"/>
              <w:spacing w:after="0"/>
              <w:rPr>
                <w:sz w:val="20"/>
                <w:szCs w:val="20"/>
                <w:color w:val="auto"/>
              </w:rPr>
            </w:pPr>
            <w:r>
              <w:rPr>
                <w:rFonts w:ascii="Arial" w:cs="Arial" w:eastAsia="Arial" w:hAnsi="Arial"/>
                <w:sz w:val="18"/>
                <w:szCs w:val="18"/>
                <w:color w:val="auto"/>
              </w:rPr>
              <w:t>Other North America</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sales primarily represent sales to the end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time of delivery to the daily rental car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2010 (a)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GMNA vehicle sales by brand (b)(c)(d)</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Buick</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Cadillac</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Chevrolet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529</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469</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1,590</w:t>
            </w:r>
          </w:p>
        </w:tc>
        <w:tc>
          <w:tcPr>
            <w:tcW w:w="60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Other-Opel</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core brands</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2,213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HUMMER</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3"/>
            <w:vMerge w:val="continue"/>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Saab</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other brands</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vMerge w:val="continue"/>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total</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2,213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primarily represent sales to the end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500" w:type="dxa"/>
            <w:vAlign w:val="bottom"/>
          </w:tcPr>
          <w:p>
            <w:pPr>
              <w:spacing w:after="0"/>
              <w:rPr>
                <w:sz w:val="14"/>
                <w:szCs w:val="1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7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45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$21,884</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$67,122</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$61,045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the three months ended September 30, 2011 Total net sales and revenue increased by $0.4 billion (or 1.8%) due primarily to: (1) increased wholesale volumes of $0.9 billion representing 33,000 vehicles (or 4.5%) due to increased industry demand and successful recent vehicle launches such as the Chevrolet Cruze, Chevrolet Equinox and GMC Terrain; (2) favorable vehicle pricing effect of $0.3 billion; (3) favorable net foreign currency remeasurement of $0.1 billion driven primarily by a stronger Canadian Dollar against the U.S. Dollar; and (4) increased revenues from Customer Care and Aftersales of $0.1 billion due primarily to increased volumes; partially offset by (5) unfavorable vehicle mix of $0.8 billion; and (6) decreased revenue of $0.2 billion due to the sale of Nexteer in November 2010.</w:t>
      </w:r>
    </w:p>
    <w:p>
      <w:pPr>
        <w:spacing w:after="0" w:line="144" w:lineRule="exact"/>
        <w:rPr>
          <w:sz w:val="20"/>
          <w:szCs w:val="20"/>
          <w:color w:val="auto"/>
        </w:rPr>
      </w:pPr>
    </w:p>
    <w:p>
      <w:pPr>
        <w:ind w:right="120" w:firstLine="228"/>
        <w:spacing w:after="0" w:line="303" w:lineRule="auto"/>
        <w:rPr>
          <w:sz w:val="20"/>
          <w:szCs w:val="20"/>
          <w:color w:val="auto"/>
        </w:rPr>
      </w:pPr>
      <w:r>
        <w:rPr>
          <w:rFonts w:ascii="Arial" w:cs="Arial" w:eastAsia="Arial" w:hAnsi="Arial"/>
          <w:sz w:val="15"/>
          <w:szCs w:val="15"/>
          <w:color w:val="auto"/>
        </w:rPr>
        <w:t>In the nine months ended September 30, 2011 Total net sales and revenue increased by $6.1 billion (or 10.0%) due primarily to: (1) increased wholesale volumes of $5.6 billion representing 221,000 vehicles (or 10.3%) due to increased industry demand and successful recent vehicle launches; (2) favorable vehicle pricing effect of $0.6 billion; (3) increased revenues from OnStar and Customer Care and Aftersales of $0.4 billion due primarily to increased volumes; and</w:t>
      </w:r>
    </w:p>
    <w:p>
      <w:pPr>
        <w:spacing w:after="0" w:line="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favorable net foreign currency remeasurement of $0.4 billion driven primarily by a stronger Canadian Dollar against the U.S. Dollar; partially offset by</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revenue of $0.8 billion due to the sale of Nexteer in November 2010; and (6) unfavorable vehicle mix of $0.3 billion.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2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2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2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2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$ 2,195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$ 2,125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$ 7,342</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$ 4,935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20" w:firstLine="228"/>
        <w:spacing w:after="0" w:line="283" w:lineRule="auto"/>
        <w:rPr>
          <w:sz w:val="20"/>
          <w:szCs w:val="20"/>
          <w:color w:val="auto"/>
        </w:rPr>
      </w:pPr>
      <w:r>
        <w:rPr>
          <w:rFonts w:ascii="Arial" w:cs="Arial" w:eastAsia="Arial" w:hAnsi="Arial"/>
          <w:sz w:val="16"/>
          <w:szCs w:val="16"/>
          <w:color w:val="auto"/>
        </w:rPr>
        <w:t>In the three months ended September 30, 2011 EBIT increased by $0.1 billion (or 3.3%) due primarily to: (1) favorable foreign currency remeasurement of $0.5 billion driven primarily by the weakening of the Canadian Dollar against the U.S. Dollar; (2) favorable vehicle pricing effect of $0.3 billion; (3) decreased amortization expense of $0.3 billion due to impairment charges for product-specific tooling assets in the corresponding period in 2010 and the effect of double-declining amortization of technology intangibles which were recorded on July 10, 2009; (4) increased net wholesale volumes of $0.3 billion due to increased industry demand and successful recent vehicle launches such as the Chevrolet Cruze, Chevrolet Equinox and GMC Terrain; and (5) increase in net pension and OPEB income of $0.1 billion; partially offset by (6) unfavorable net vehicle mix of $0.7 billion; (7) increased material prices and freight of $0.1 billion;</w:t>
      </w:r>
    </w:p>
    <w:p>
      <w:pPr>
        <w:spacing w:after="0" w:line="1" w:lineRule="exact"/>
        <w:rPr>
          <w:sz w:val="20"/>
          <w:szCs w:val="20"/>
          <w:color w:val="auto"/>
        </w:rPr>
      </w:pPr>
    </w:p>
    <w:p>
      <w:pPr>
        <w:jc w:val="both"/>
        <w:ind w:right="440" w:firstLine="8"/>
        <w:spacing w:after="0" w:line="255"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engineering expense and other technology fees of $0.1 billion to support new product development; (9) increased restructuring charges of $0.1 billion; (10) increased advertising and sales promotion expense of $0.1 billion to support media campaigns for our products; and (11) charges of $0.1 billion resulting from the ratification of the Labor Agreement.</w:t>
      </w:r>
    </w:p>
    <w:p>
      <w:pPr>
        <w:spacing w:after="0" w:line="144"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nine months ended September 30, 2011 EBIT increased by $2.4 billion (or 48.8%) due primarily to: (1) a gain of $1.6 billion on the sale of our New Delphi Class A Membership Interests; (2) increased net wholesale volumes of $1.6 billion due to increased industry demand and successful recent vehicle launches; (3) favorable vehicle pricing effect of $0.6 billion; (4) decreased amortization expense of $0.6 billion due to impairment charges for product-specific tooling assets in the corresponding period in 2010 and the effect of double-declining amortization of technology intangibles which were recorded on July 10, 2009; (5) favorable foreign currency remeasurement of $0.5 billion driven primarily by the weakening of the Canadian Dollar against the U.S. Dollar; (6) increase in net pension and OPEB income of $0.3 billion due to December 31, 2010 plan remeasurements; and (7) favorable manufacturing performance of $0.1 billion; partially offset by (8) unfavorable net vehicle mix of $1.2 billion; (9) increased engineering expense and other technology fees of $0.6 billion to support new product development; (10) increased material prices and freight of $0.4 billion; (11) increased warranty expense of $0.4 billion partially offset by a reduction in charges of $0.2 billion during the three months ended June 30, 2010, for a recall campaign on windshield fluid heaters; (12) increased advertising and sales promotion expenses of $0.3 billion primarily to support media campaigns for our products; (13) reduction in favorable adjustments of $0.2 billion to restructuring reserves primarily due to increased production capacity utilization in the corresponding period in 2010; and (14) charges of $0.1 billion resulting from the ratification of the Labor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20,480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$17,162</w:t>
            </w:r>
          </w:p>
        </w:tc>
        <w:tc>
          <w:tcPr>
            <w:tcW w:w="100" w:type="dxa"/>
            <w:vAlign w:val="bottom"/>
            <w:shd w:val="clear" w:color="auto" w:fill="CCEEFF"/>
          </w:tcPr>
          <w:p>
            <w:pPr>
              <w:spacing w:after="0"/>
              <w:rPr>
                <w:sz w:val="18"/>
                <w:szCs w:val="18"/>
                <w:color w:val="auto"/>
              </w:rPr>
            </w:pPr>
          </w:p>
        </w:tc>
      </w:tr>
      <w:tr>
        <w:trPr>
          <w:trHeight w:val="228"/>
        </w:trPr>
        <w:tc>
          <w:tcPr>
            <w:tcW w:w="5060" w:type="dxa"/>
            <w:vAlign w:val="bottom"/>
          </w:tcPr>
          <w:p>
            <w:pPr>
              <w:spacing w:after="0"/>
              <w:rPr>
                <w:sz w:val="20"/>
                <w:szCs w:val="20"/>
                <w:color w:val="auto"/>
              </w:rPr>
            </w:pPr>
            <w:r>
              <w:rPr>
                <w:rFonts w:ascii="Arial" w:cs="Arial" w:eastAsia="Arial" w:hAnsi="Arial"/>
                <w:sz w:val="18"/>
                <w:szCs w:val="18"/>
                <w:b w:val="1"/>
                <w:bCs w:val="1"/>
                <w:color w:val="auto"/>
              </w:rPr>
              <w:t>EBIT (Loss)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680" w:type="dxa"/>
            <w:vAlign w:val="bottom"/>
            <w:gridSpan w:val="2"/>
          </w:tcPr>
          <w:p>
            <w:pPr>
              <w:spacing w:after="0"/>
              <w:rPr>
                <w:sz w:val="20"/>
                <w:szCs w:val="20"/>
                <w:color w:val="auto"/>
              </w:rPr>
            </w:pPr>
            <w:r>
              <w:rPr>
                <w:rFonts w:ascii="Arial" w:cs="Arial" w:eastAsia="Arial" w:hAnsi="Arial"/>
                <w:sz w:val="18"/>
                <w:szCs w:val="18"/>
                <w:color w:val="auto"/>
                <w:w w:val="91"/>
              </w:rPr>
              <w:t>$ (1,196)</w:t>
            </w: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Three Months Ended</w:t>
            </w: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2010</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volume</w:t>
            </w:r>
          </w:p>
        </w:tc>
        <w:tc>
          <w:tcPr>
            <w:tcW w:w="3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r>
      <w:tr>
        <w:trPr>
          <w:trHeight w:val="363"/>
        </w:trPr>
        <w:tc>
          <w:tcPr>
            <w:tcW w:w="3480" w:type="dxa"/>
            <w:vAlign w:val="bottom"/>
          </w:tcPr>
          <w:p>
            <w:pPr>
              <w:spacing w:after="0"/>
              <w:rPr>
                <w:sz w:val="24"/>
                <w:szCs w:val="24"/>
                <w:color w:val="auto"/>
              </w:rPr>
            </w:pPr>
          </w:p>
        </w:tc>
        <w:tc>
          <w:tcPr>
            <w:tcW w:w="3940" w:type="dxa"/>
            <w:vAlign w:val="bottom"/>
          </w:tcPr>
          <w:p>
            <w:pPr>
              <w:jc w:val="right"/>
              <w:ind w:right="1532"/>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rPr>
              <w:t>2010 (a)</w:t>
            </w:r>
          </w:p>
        </w:tc>
        <w:tc>
          <w:tcPr>
            <w:tcW w:w="2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78"/>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r>
      <w:tr>
        <w:trPr>
          <w:trHeight w:val="129"/>
        </w:trPr>
        <w:tc>
          <w:tcPr>
            <w:tcW w:w="6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9"/>
              </w:rPr>
              <w:t>GM as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100" w:type="dxa"/>
            <w:vAlign w:val="bottom"/>
          </w:tcPr>
          <w:p>
            <w:pPr>
              <w:spacing w:after="0"/>
              <w:rPr>
                <w:sz w:val="11"/>
                <w:szCs w:val="11"/>
                <w:color w:val="auto"/>
              </w:rPr>
            </w:pPr>
          </w:p>
        </w:tc>
      </w:tr>
      <w:tr>
        <w:trPr>
          <w:trHeight w:val="149"/>
        </w:trPr>
        <w:tc>
          <w:tcPr>
            <w:tcW w:w="6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 % of</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6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(c)(d)(e)(f)</w:t>
            </w: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Total GME</w:t>
            </w:r>
          </w:p>
        </w:tc>
        <w:tc>
          <w:tcPr>
            <w:tcW w:w="340" w:type="dxa"/>
            <w:vAlign w:val="bottom"/>
          </w:tcPr>
          <w:p>
            <w:pPr>
              <w:jc w:val="right"/>
              <w:spacing w:after="0"/>
              <w:rPr>
                <w:sz w:val="20"/>
                <w:szCs w:val="20"/>
                <w:color w:val="auto"/>
              </w:rPr>
            </w:pPr>
            <w:r>
              <w:rPr>
                <w:rFonts w:ascii="Arial" w:cs="Arial" w:eastAsia="Arial" w:hAnsi="Arial"/>
                <w:sz w:val="18"/>
                <w:szCs w:val="18"/>
                <w:color w:val="auto"/>
              </w:rPr>
              <w:t>407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1,319</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1,236</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Germany</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Russia</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Uzbekistan</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93.7%</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96.8%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Spain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HUMMER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forecast volumes, are used to estimate vehicles sales.</w:t>
      </w:r>
    </w:p>
    <w:p>
      <w:pPr>
        <w:spacing w:after="0" w:line="50" w:lineRule="exact"/>
        <w:rPr>
          <w:rFonts w:ascii="Arial" w:cs="Arial" w:eastAsia="Arial" w:hAnsi="Arial"/>
          <w:sz w:val="18"/>
          <w:szCs w:val="18"/>
          <w:color w:val="auto"/>
        </w:rPr>
      </w:pPr>
    </w:p>
    <w:p>
      <w:pPr>
        <w:ind w:left="460" w:right="24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GMIO records the financial results (primarily Automotive sales and revenue and Automotive cost of sales) of Chevrolet brand vehicles that it distributes and sells in Europe. These Chevrolet brand vehicles, when sold in Europe, are included in GME vehicle sales volume and market share data because vehicle sales volumes are reported in the geographical region in which they are sold, regardless of where they were produced. Chevrolet brand vehicles sales included in GME vehicle sales volume and market share data were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2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Three Months Ended</w:t>
            </w: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42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2010</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Chevrolet brand vehicles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7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3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$ 6,151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$ 5,657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$20,480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$17,162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firstLine="228"/>
        <w:spacing w:after="0" w:line="283" w:lineRule="auto"/>
        <w:rPr>
          <w:sz w:val="20"/>
          <w:szCs w:val="20"/>
          <w:color w:val="auto"/>
        </w:rPr>
      </w:pPr>
      <w:r>
        <w:rPr>
          <w:rFonts w:ascii="Arial" w:cs="Arial" w:eastAsia="Arial" w:hAnsi="Arial"/>
          <w:sz w:val="16"/>
          <w:szCs w:val="16"/>
          <w:color w:val="auto"/>
        </w:rPr>
        <w:t>In the three months ended September 30, 2011 Total net sales and revenue increased by $0.5 billion (or 8.7%) due primarily to: (1) favorable foreign currency translation effect of $0.4 billion, due primarily to the strengthening of the Euro and British Pound against the U.S. Dollar; (2) favorable vehicle mix of $0.2 billion due primarily to increased sales of the new generation Opel Meriva and the new generation Opel Astra; and (3) revenue from GM Strasbourg of $0.1 billion, as the entity was acquired in October 2010; partially offset by (4) decreased wholesale volumes of $0.2 billion representing 9,000 vehicles (or 3.1%) due to a decrease in the United Kingdom by 7,000 vehicles (or 9.4%), a decrease in exports to the United States by 6,000 vehicles attributable primarily to the end of production of the Buick Regal in Germany as production was shifted to Canada, decreases in Italy by 5,000 vehicles (or 18.8%), in Spain by 3,000 vehicles (or 20.8%), in France by 2,000 vehicles (or 9.4%), and a net decrease of 3,000 vehicles in all other countries within GME; partially offset by increases in Germany by</w:t>
      </w:r>
    </w:p>
    <w:p>
      <w:pPr>
        <w:spacing w:after="0"/>
        <w:rPr>
          <w:sz w:val="20"/>
          <w:szCs w:val="20"/>
          <w:color w:val="auto"/>
        </w:rPr>
      </w:pPr>
      <w:r>
        <w:rPr>
          <w:rFonts w:ascii="Arial" w:cs="Arial" w:eastAsia="Arial" w:hAnsi="Arial"/>
          <w:sz w:val="18"/>
          <w:szCs w:val="18"/>
          <w:color w:val="auto"/>
        </w:rPr>
        <w:t>12,000 vehicles (or 22.1%) and in Russia by 5,000 vehicles (or 38.4%); and (5) the deconsolidation of VMM in June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In the nine months ended September 30, 2011 Total net sales and revenue increased by $3.3 billion (or 19.3%) due primarily to: (1) favorable foreign currency translation effect of $1.2 billion, due primarily to the strengthening of the Euro and British Pound against the U.S. Dollar; (2) increased wholesale volumes of $0.8 billion representing 58,000 vehicles (or 6.4%) due to increases in Germany by 39,000 vehicles (or 23.8%), in Russia by 25,000 vehicles (or 97.1%), in Turkey by 16,000 vehicles (or 65.1%), partially offset by decreases in Spain of 12,000 vehicles (or 19.8%), and in Italy by 11,000 vehicles (or 10.8%);</w:t>
      </w:r>
    </w:p>
    <w:p>
      <w:pPr>
        <w:spacing w:after="0" w:line="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favorable vehicle mix of $0.8 billion due primarily to increased sales of the Opel Insignia, new generation Opel Meriva, and new generation Opel Astra;</w:t>
      </w:r>
    </w:p>
    <w:p>
      <w:pPr>
        <w:spacing w:after="0" w:line="32" w:lineRule="exact"/>
        <w:rPr>
          <w:rFonts w:ascii="Arial" w:cs="Arial" w:eastAsia="Arial" w:hAnsi="Arial"/>
          <w:sz w:val="16"/>
          <w:szCs w:val="16"/>
          <w:color w:val="auto"/>
        </w:rPr>
      </w:pPr>
    </w:p>
    <w:p>
      <w:pPr>
        <w:jc w:val="both"/>
        <w:ind w:right="100" w:firstLine="8"/>
        <w:spacing w:after="0" w:line="255"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 from GM Strasbourg of $0.4 billion; and (5) increased powertrain engine and transmission sales of $0.4 billion, primarily in support of the Chevrolet Cruze and Chevrolet Volt; partially offset by (6) a reduction in Saab brand sales of $0.2 billion related to the sale of Saab in 2010; and (7) the deconsolidation of VMM.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EBIT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18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0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9"/>
              </w:rPr>
              <w:t>2011 vs. 2010 Change</w:t>
            </w:r>
          </w:p>
        </w:tc>
        <w:tc>
          <w:tcPr>
            <w:tcW w:w="12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9"/>
              </w:rPr>
              <w:t>2011 vs. 2010 Change</w:t>
            </w:r>
          </w:p>
        </w:tc>
      </w:tr>
      <w:tr>
        <w:trPr>
          <w:trHeight w:val="142"/>
        </w:trPr>
        <w:tc>
          <w:tcPr>
            <w:tcW w:w="404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EBIT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(292)</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(559)</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(580)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228"/>
        <w:spacing w:after="0" w:line="318" w:lineRule="auto"/>
        <w:rPr>
          <w:sz w:val="20"/>
          <w:szCs w:val="20"/>
          <w:color w:val="auto"/>
        </w:rPr>
      </w:pPr>
      <w:r>
        <w:rPr>
          <w:rFonts w:ascii="Arial" w:cs="Arial" w:eastAsia="Arial" w:hAnsi="Arial"/>
          <w:sz w:val="15"/>
          <w:szCs w:val="15"/>
          <w:color w:val="auto"/>
        </w:rPr>
        <w:t>In the three months ended September 30, 2011 EBIT loss decreased by $0.3 billion (or 47.8%) due primarily to: (1) restructuring charges of $0.1 billion recorded during the corresponding period in 2010 for separation programs announced in Belgium; (2) favorable net vehicle mix of $0.1 billion due to increased sales of new generation Opel Meriva and new generation Opel Astra; (3) decreased manufacturing costs of $0.1 billion related to the closing of the Antwerp, Belgium facility and European wide labor savings; and (4) favorable net foreign currency effects of $0.1 billion on foreign denominated debt, trade payables and receivables transactions; partially offset by (5) increased engineering expense and other technology fees of $0.1 billion associated with new generation vehicles.</w:t>
      </w:r>
    </w:p>
    <w:p>
      <w:pPr>
        <w:spacing w:after="0" w:line="100"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In the nine months ended September 30, 2011 EBIT loss decreased by $0.6 billion (or 51.5%) due primarily to: (1) higher restructuring charges of $0.5 billion recorded during the corresponding period in 2010 for separation programs announced in Belgium, Spain, and the United Kingdom; (2) decreased manufacturing costs of $0.3 billion related to the closing of the Antwerp, Belgium facility and European wide labor savings; (3) favorable net vehicle mix of $0.2 billion due to increased sales of the Opel Insignia, new generation Opel Meriva, and new generation Opel Astra; (4) increased net wholesale volumes of $0.2 billion; (5) an increase of $0.1 billion in an embedded foreign currency exchange derivative associated with a long-term supply agreement entered into in 2010; and (6) EBIT from GM Strasbourg of $0.1 billion; partially offset by (7) Goodwill impairment charges of $0.4 billion; (8) unfavorable net foreign currency effects of $0.1 billion on foreign denominated debt, trade payables and trade receivables transactions; (9) charges of $0.1 billion related to a single customer’s default under various commercial supply agreements; and (10) a nonrecurring gain on the sale of Saab of $0.1 billion recorded in the corresponding period in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3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82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5,101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15,417</w:t>
            </w:r>
          </w:p>
        </w:tc>
        <w:tc>
          <w:tcPr>
            <w:tcW w:w="100" w:type="dxa"/>
            <w:vAlign w:val="bottom"/>
            <w:shd w:val="clear" w:color="auto" w:fill="CCEEFF"/>
          </w:tcPr>
          <w:p>
            <w:pPr>
              <w:spacing w:after="0"/>
              <w:rPr>
                <w:sz w:val="18"/>
                <w:szCs w:val="18"/>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r>
      <w:tr>
        <w:trPr>
          <w:trHeight w:val="350"/>
        </w:trPr>
        <w:tc>
          <w:tcPr>
            <w:tcW w:w="3820" w:type="dxa"/>
            <w:vAlign w:val="bottom"/>
          </w:tcPr>
          <w:p>
            <w:pPr>
              <w:spacing w:after="0"/>
              <w:rPr>
                <w:sz w:val="24"/>
                <w:szCs w:val="24"/>
                <w:color w:val="auto"/>
              </w:rPr>
            </w:pPr>
          </w:p>
        </w:tc>
        <w:tc>
          <w:tcPr>
            <w:tcW w:w="4340" w:type="dxa"/>
            <w:vAlign w:val="bottom"/>
          </w:tcPr>
          <w:p>
            <w:pPr>
              <w:jc w:val="right"/>
              <w:ind w:right="227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9"/>
              </w:rPr>
              <w:t>Three Months Ended</w:t>
            </w:r>
          </w:p>
        </w:tc>
        <w:tc>
          <w:tcPr>
            <w:tcW w:w="50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8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Production volume</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Consolidated entities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253</w:t>
            </w: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820</w:t>
            </w: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8"/>
                <w:szCs w:val="18"/>
                <w:color w:val="auto"/>
              </w:rPr>
              <w:t>SGM</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892</w:t>
            </w:r>
          </w:p>
        </w:tc>
        <w:tc>
          <w:tcPr>
            <w:tcW w:w="5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SGMW and FAW-GM(a)</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940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94</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285</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production volume</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2,937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218"/>
              <w:spacing w:after="0" w:line="142" w:lineRule="exact"/>
              <w:rPr>
                <w:sz w:val="20"/>
                <w:szCs w:val="20"/>
                <w:color w:val="auto"/>
              </w:rPr>
            </w:pPr>
            <w:r>
              <w:rPr>
                <w:rFonts w:ascii="Arial" w:cs="Arial" w:eastAsia="Arial" w:hAnsi="Arial"/>
                <w:sz w:val="14"/>
                <w:szCs w:val="14"/>
                <w:b w:val="1"/>
                <w:bCs w:val="1"/>
                <w:color w:val="auto"/>
              </w:rPr>
              <w:t>2010 (a)</w:t>
            </w:r>
          </w:p>
        </w:tc>
        <w:tc>
          <w:tcPr>
            <w:tcW w:w="2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36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78"/>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r>
      <w:tr>
        <w:trPr>
          <w:trHeight w:val="129"/>
        </w:trPr>
        <w:tc>
          <w:tcPr>
            <w:tcW w:w="6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100" w:type="dxa"/>
            <w:vAlign w:val="bottom"/>
          </w:tcPr>
          <w:p>
            <w:pPr>
              <w:spacing w:after="0"/>
              <w:rPr>
                <w:sz w:val="11"/>
                <w:szCs w:val="11"/>
                <w:color w:val="auto"/>
              </w:rPr>
            </w:pPr>
          </w:p>
        </w:tc>
      </w:tr>
      <w:tr>
        <w:trPr>
          <w:trHeight w:val="149"/>
        </w:trPr>
        <w:tc>
          <w:tcPr>
            <w:tcW w:w="6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 % of</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 % of</w:t>
            </w:r>
          </w:p>
        </w:tc>
      </w:tr>
      <w:tr>
        <w:trPr>
          <w:trHeight w:val="161"/>
        </w:trPr>
        <w:tc>
          <w:tcPr>
            <w:tcW w:w="6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(c)(d)(e)(f)</w:t>
            </w: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Total GMIO</w:t>
            </w:r>
          </w:p>
        </w:tc>
        <w:tc>
          <w:tcPr>
            <w:tcW w:w="340" w:type="dxa"/>
            <w:vAlign w:val="bottom"/>
          </w:tcPr>
          <w:p>
            <w:pPr>
              <w:jc w:val="right"/>
              <w:spacing w:after="0"/>
              <w:rPr>
                <w:sz w:val="20"/>
                <w:szCs w:val="20"/>
                <w:color w:val="auto"/>
              </w:rPr>
            </w:pPr>
            <w:r>
              <w:rPr>
                <w:rFonts w:ascii="Arial" w:cs="Arial" w:eastAsia="Arial" w:hAnsi="Arial"/>
                <w:sz w:val="18"/>
                <w:szCs w:val="18"/>
                <w:color w:val="auto"/>
              </w:rPr>
              <w:t>816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745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2,457</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Vehicle sales-consolidated entities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Australia</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Middle East Operations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South Korea</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Vehicle sales-primarily joint ventures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China (g)(h)</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India (g)</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HUMMER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right="20" w:hanging="452"/>
        <w:spacing w:after="0" w:line="298"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GMIO records the financial results (primarily Automotive sales and revenue and Automotive cost of sales) of Chevrolet brand vehicles that it distributes and sells in Europe. These Chevrolet brand vehicles, when sold in Europe, are included in GME vehicle sales volume and market share data because vehicle sales volumes are reported in the geographical region in which they are sold, regardless of where they were produced. Chevrolet brand vehicle sales included in GME vehicle sales volume and market share data were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Three Months Ended</w:t>
            </w: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860" w:type="dxa"/>
            <w:vAlign w:val="bottom"/>
          </w:tcPr>
          <w:p>
            <w:pPr>
              <w:spacing w:after="0"/>
              <w:rPr>
                <w:sz w:val="14"/>
                <w:szCs w:val="14"/>
                <w:color w:val="auto"/>
              </w:rPr>
            </w:pPr>
          </w:p>
        </w:tc>
        <w:tc>
          <w:tcPr>
            <w:tcW w:w="20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8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Chevrolet brand vehicles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780" w:type="dxa"/>
            <w:vAlign w:val="bottom"/>
          </w:tcPr>
          <w:p>
            <w:pPr>
              <w:spacing w:after="0"/>
              <w:rPr>
                <w:sz w:val="14"/>
                <w:szCs w:val="14"/>
                <w:color w:val="auto"/>
              </w:rPr>
            </w:pPr>
          </w:p>
        </w:tc>
        <w:tc>
          <w:tcPr>
            <w:tcW w:w="20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7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Joint venture vehicle sales in China</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SGM</w:t>
            </w: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906</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Joint venture vehicle sales in India</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HKJV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38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vehicle sales in China as part of our global market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458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5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$ 6,294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$ 5,101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$18,337</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$15,417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the three months ended September 30, 2011 Total net sales and revenue increased by $1.2 billion (or 23.4%) due primarily to: (1) increased wholesale volumes of $0.7 billion representing 18,000 vehicles (or 6.0%) primarily in GM Korea Company, formerly GM Daewoo Auto &amp; Technology Co. (GM Korea) by 9,000 vehicles (or 5.2%) driven by strong industry growth leading to increased domestic and export demand for medium vehicles such as the Chevrolet Cruze and Chevrolet Orlando; in Australia increased by 5,000 vehicles (or 15.8%) driven by industry growth; in the Middle East Operations increased by 2,000 vehicles (or 4.4%) driven by industry growth; in South Africa increased by 1,000 vehicles (or 6.0%) driven by industry and market share growth especially on demand for the Chevrolet Cruze and the recent launch of the new generation Chevrolet Captiva and Chevrolet Orlando, and partially offset by a decrease in Egypt of 4,000 vehicles (or 26.8%) resulting from the unstable political situation in the country; (2) favorable net foreign currency translation effect of $0.3 billion driven by the strengthening of major currencies such as the Australian Dollar, the Korean Won and the Euro against the U.S. Dollar; and (3) favorable vehicle mix of $0.1 billion driven by launches of the Chevrolet Orlando.</w:t>
      </w:r>
    </w:p>
    <w:p>
      <w:pPr>
        <w:spacing w:after="0" w:line="120"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the nine months ended September 30, 2011 Total net sales and revenue increased by $2.9 billion (or 18.9%) due primarily to: (1) increased wholesale volumes of $1.6 billion representing 69,000 vehicles (or 7.8%) primarily in GM Korea by 65,000 vehicles (or 12.9%) driven by strong industry growth leading to increased domestic and export demand for medium and mini vehicles such as the Chevrolet Cruze and Chevrolet Aveo; in the Middle East Operations increased by 19,000 vehicles (or 16.7%) driven by industry growth; in South Africa by 10,000 vehicles (or 25.5%) driven by industry growth and strong sales performance such as the Chevrolet Cruze and the launch of the new generation Chevrolet Captiva and Chevrolet Orlando; partially offset by a decrease in Egypt of 11,000 vehicles (or 30.2%) driven by the unstable political situation in the country and in Australia by 7,000 vehicles (or 6.9%) resulting from government incentives expiring in December 2009 driving higher deliveries in the first half of 2010 and increased sales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second half of 2010 driven by industry growth; (2) favorable net foreign currency translation of $0.8 billion driven by the strengthening of major currencies such as the Australian Dollar, the Korean Won and the Euro against the U.S. Dollar; and (3) favorable vehicle mix of $0.3 billion driven by launches of the Alpheon and Chevrolet Orlando.</w:t>
      </w:r>
    </w:p>
    <w:p>
      <w:pPr>
        <w:spacing w:after="0" w:line="140"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The vehicle sales related to our China and India joint ventures are not reflected in Total net sales and revenue (our operations in India were deconsolidated effective February 2010). The results of our joint ventures are recorded in Equity income, net of tax and gain on disposal of investments.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400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80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7"/>
              </w:rPr>
              <w:t>2011 vs. 2010 Change</w:t>
            </w:r>
          </w:p>
        </w:tc>
        <w:tc>
          <w:tcPr>
            <w:tcW w:w="12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2011 vs. 2010 Change</w:t>
            </w:r>
          </w:p>
        </w:tc>
      </w:tr>
      <w:tr>
        <w:trPr>
          <w:trHeight w:val="142"/>
        </w:trPr>
        <w:tc>
          <w:tcPr>
            <w:tcW w:w="40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6"/>
              </w:rPr>
              <w:t>Amount</w:t>
            </w:r>
          </w:p>
        </w:tc>
        <w:tc>
          <w:tcPr>
            <w:tcW w:w="3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365</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$ 1,418</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(26.5)%</w:t>
            </w:r>
          </w:p>
        </w:tc>
      </w:tr>
    </w:tbl>
    <w:p>
      <w:pPr>
        <w:spacing w:after="0" w:line="154"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the three months ended September 30, 2011 EBIT decreased by $0.2 billion (or 29.3%) due primarily to: (1) increased engineering expenses and other technology fees of $0.2 billion to support new product development; (2) unfavorable net foreign currency translation effect of $0.1 billion; (3) derivative losses of $0.1 billion primarily due to losses in GM Korea; partially offset by (4) favorable net wholesale volume effect of $0.2 billion; and (5) non-controlling interest attributable to minority shareholders of $0.1 billion and other collectively insignificant items.</w:t>
      </w:r>
    </w:p>
    <w:p>
      <w:pPr>
        <w:spacing w:after="0" w:line="143"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the nine months ended September 30, 2011 EBIT decreased by $0.5 billion (or 26.5%) due primarily to: (1) increased engineering expenses and other technology fees of $0.4 billion to support new product development; (2) unfavorable net vehicle mix of $0.1 billion; (3) unfavorable net foreign currency translation effect of $0.1 billion; (4) derivative losses of $0.1 billion primarily due to losses in GM Korea; (5) increased advertising and sales promotion of $0.1 billion to support media campaigns for launches of new products and the launch of the Chevrolet brand in Korea; (6) increased material prices of $0.1 billion; and</w:t>
      </w:r>
    </w:p>
    <w:p>
      <w:pPr>
        <w:spacing w:after="0" w:line="3" w:lineRule="exact"/>
        <w:rPr>
          <w:sz w:val="20"/>
          <w:szCs w:val="20"/>
          <w:color w:val="auto"/>
        </w:rPr>
      </w:pPr>
    </w:p>
    <w:p>
      <w:pPr>
        <w:jc w:val="both"/>
        <w:ind w:right="200" w:firstLine="8"/>
        <w:spacing w:after="0" w:line="302"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charges at HKJV of $0.1 billion driven by changes in Indian tax regulations which significantly extended the period of time over which we will earn certain incentives; partially offset by (8) favorable net wholesale volumes of $0.3 billion; (9) decreased non-controlling interest attributable to minority shareholders of $0.2 billion; and (10) increased equity income, net of tax, $0.1 billion primarily from the operating results of our China JVs.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10,928</w:t>
            </w:r>
          </w:p>
        </w:tc>
        <w:tc>
          <w:tcPr>
            <w:tcW w:w="100" w:type="dxa"/>
            <w:vAlign w:val="bottom"/>
            <w:shd w:val="clear" w:color="auto" w:fill="CCEEFF"/>
          </w:tcPr>
          <w:p>
            <w:pPr>
              <w:spacing w:after="0"/>
              <w:rPr>
                <w:sz w:val="18"/>
                <w:szCs w:val="18"/>
                <w:color w:val="auto"/>
              </w:rPr>
            </w:pPr>
          </w:p>
        </w:tc>
      </w:tr>
      <w:tr>
        <w:trPr>
          <w:trHeight w:val="228"/>
        </w:trPr>
        <w:tc>
          <w:tcPr>
            <w:tcW w:w="8140" w:type="dxa"/>
            <w:vAlign w:val="bottom"/>
          </w:tcPr>
          <w:p>
            <w:pPr>
              <w:spacing w:after="0"/>
              <w:rPr>
                <w:sz w:val="20"/>
                <w:szCs w:val="20"/>
                <w:color w:val="auto"/>
              </w:rPr>
            </w:pPr>
            <w:r>
              <w:rPr>
                <w:rFonts w:ascii="Arial" w:cs="Arial" w:eastAsia="Arial" w:hAnsi="Arial"/>
                <w:sz w:val="18"/>
                <w:szCs w:val="18"/>
                <w:b w:val="1"/>
                <w:bCs w:val="1"/>
                <w:color w:val="auto"/>
              </w:rPr>
              <w:t>EBIT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Three Months Ended</w:t>
            </w:r>
          </w:p>
        </w:tc>
        <w:tc>
          <w:tcPr>
            <w:tcW w:w="1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3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76"/>
              </w:rPr>
              <w:t>2010</w:t>
            </w: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volume</w:t>
            </w:r>
          </w:p>
        </w:tc>
        <w:tc>
          <w:tcPr>
            <w:tcW w:w="3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r>
      <w:tr>
        <w:trPr>
          <w:trHeight w:val="363"/>
        </w:trPr>
        <w:tc>
          <w:tcPr>
            <w:tcW w:w="3480" w:type="dxa"/>
            <w:vAlign w:val="bottom"/>
          </w:tcPr>
          <w:p>
            <w:pPr>
              <w:spacing w:after="0"/>
              <w:rPr>
                <w:sz w:val="24"/>
                <w:szCs w:val="24"/>
                <w:color w:val="auto"/>
              </w:rPr>
            </w:pPr>
          </w:p>
        </w:tc>
        <w:tc>
          <w:tcPr>
            <w:tcW w:w="3940" w:type="dxa"/>
            <w:vAlign w:val="bottom"/>
          </w:tcPr>
          <w:p>
            <w:pPr>
              <w:jc w:val="right"/>
              <w:ind w:right="1532"/>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7"/>
          </w:tcPr>
          <w:p>
            <w:pPr>
              <w:jc w:val="center"/>
              <w:ind w:right="7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left="92"/>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7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29"/>
        </w:trPr>
        <w:tc>
          <w:tcPr>
            <w:tcW w:w="5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100" w:type="dxa"/>
            <w:vAlign w:val="bottom"/>
          </w:tcPr>
          <w:p>
            <w:pPr>
              <w:spacing w:after="0"/>
              <w:rPr>
                <w:sz w:val="11"/>
                <w:szCs w:val="11"/>
                <w:color w:val="auto"/>
              </w:rPr>
            </w:pPr>
          </w:p>
        </w:tc>
      </w:tr>
      <w:tr>
        <w:trPr>
          <w:trHeight w:val="149"/>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as a %</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as a %</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as a %</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as a %</w:t>
            </w:r>
          </w:p>
        </w:tc>
      </w:tr>
      <w:tr>
        <w:trPr>
          <w:trHeight w:val="149"/>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5"/>
              </w:rPr>
              <w:t>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61"/>
        </w:trPr>
        <w:tc>
          <w:tcPr>
            <w:tcW w:w="596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Industry</w:t>
            </w:r>
          </w:p>
        </w:tc>
        <w:tc>
          <w:tcPr>
            <w:tcW w:w="380" w:type="dxa"/>
            <w:vAlign w:val="bottom"/>
            <w:gridSpan w:val="2"/>
          </w:tcPr>
          <w:p>
            <w:pPr>
              <w:ind w:left="6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Industry</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Industry</w:t>
            </w: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(a)(b)(c)</w:t>
            </w: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Total GMSA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277</w:t>
            </w:r>
          </w:p>
        </w:tc>
        <w:tc>
          <w:tcPr>
            <w:tcW w:w="1020" w:type="dxa"/>
            <w:vAlign w:val="bottom"/>
            <w:gridSpan w:val="3"/>
          </w:tcPr>
          <w:p>
            <w:pPr>
              <w:ind w:left="300"/>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19.8%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740</w:t>
            </w:r>
          </w:p>
        </w:tc>
        <w:tc>
          <w:tcPr>
            <w:tcW w:w="760" w:type="dxa"/>
            <w:vAlign w:val="bottom"/>
            <w:gridSpan w:val="2"/>
          </w:tcPr>
          <w:p>
            <w:pPr>
              <w:jc w:val="center"/>
              <w:ind w:left="235"/>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Brazil</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161</w:t>
            </w:r>
          </w:p>
        </w:tc>
        <w:tc>
          <w:tcPr>
            <w:tcW w:w="10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471</w:t>
            </w:r>
          </w:p>
        </w:tc>
        <w:tc>
          <w:tcPr>
            <w:tcW w:w="7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6"/>
              </w:rPr>
              <w:t>18.8%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Argentina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20" w:type="dxa"/>
            <w:vAlign w:val="bottom"/>
            <w:gridSpan w:val="3"/>
          </w:tcPr>
          <w:p>
            <w:pPr>
              <w:ind w:left="300"/>
              <w:spacing w:after="0"/>
              <w:rPr>
                <w:sz w:val="20"/>
                <w:szCs w:val="20"/>
                <w:color w:val="auto"/>
              </w:rPr>
            </w:pPr>
            <w:r>
              <w:rPr>
                <w:rFonts w:ascii="Arial" w:cs="Arial" w:eastAsia="Arial" w:hAnsi="Arial"/>
                <w:sz w:val="18"/>
                <w:szCs w:val="18"/>
                <w:color w:val="auto"/>
              </w:rPr>
              <w:t>16.6%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16.1%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center"/>
              <w:ind w:left="235"/>
              <w:spacing w:after="0"/>
              <w:rPr>
                <w:sz w:val="20"/>
                <w:szCs w:val="20"/>
                <w:color w:val="auto"/>
              </w:rPr>
            </w:pPr>
            <w:r>
              <w:rPr>
                <w:rFonts w:ascii="Arial" w:cs="Arial" w:eastAsia="Arial" w:hAnsi="Arial"/>
                <w:sz w:val="18"/>
                <w:szCs w:val="18"/>
                <w:color w:val="auto"/>
                <w:w w:val="86"/>
              </w:rPr>
              <w:t>16.4%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Colombia</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32.8%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6"/>
              </w:rPr>
              <w:t>34.3%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Ecuador</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020" w:type="dxa"/>
            <w:vAlign w:val="bottom"/>
            <w:gridSpan w:val="3"/>
          </w:tcPr>
          <w:p>
            <w:pPr>
              <w:ind w:left="300"/>
              <w:spacing w:after="0"/>
              <w:rPr>
                <w:sz w:val="20"/>
                <w:szCs w:val="20"/>
                <w:color w:val="auto"/>
              </w:rPr>
            </w:pPr>
            <w:r>
              <w:rPr>
                <w:rFonts w:ascii="Arial" w:cs="Arial" w:eastAsia="Arial" w:hAnsi="Arial"/>
                <w:sz w:val="18"/>
                <w:szCs w:val="18"/>
                <w:color w:val="auto"/>
              </w:rPr>
              <w:t>43.0%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41.2%</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jc w:val="center"/>
              <w:ind w:left="235"/>
              <w:spacing w:after="0"/>
              <w:rPr>
                <w:sz w:val="20"/>
                <w:szCs w:val="20"/>
                <w:color w:val="auto"/>
              </w:rPr>
            </w:pPr>
            <w:r>
              <w:rPr>
                <w:rFonts w:ascii="Arial" w:cs="Arial" w:eastAsia="Arial" w:hAnsi="Arial"/>
                <w:sz w:val="18"/>
                <w:szCs w:val="18"/>
                <w:color w:val="auto"/>
                <w:w w:val="86"/>
              </w:rPr>
              <w:t>40.9%</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Chile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17.3%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86"/>
              </w:rPr>
              <w:t>17.1%</w:t>
            </w:r>
          </w:p>
        </w:tc>
        <w:tc>
          <w:tcPr>
            <w:tcW w:w="100" w:type="dxa"/>
            <w:vAlign w:val="bottom"/>
            <w:shd w:val="clear" w:color="auto" w:fill="CCEEFF"/>
          </w:tcPr>
          <w:p>
            <w:pPr>
              <w:spacing w:after="0"/>
              <w:rPr>
                <w:sz w:val="18"/>
                <w:szCs w:val="18"/>
                <w:color w:val="auto"/>
              </w:rPr>
            </w:pPr>
          </w:p>
        </w:tc>
      </w:tr>
      <w:tr>
        <w:trPr>
          <w:trHeight w:val="222"/>
        </w:trPr>
        <w:tc>
          <w:tcPr>
            <w:tcW w:w="5960" w:type="dxa"/>
            <w:vAlign w:val="bottom"/>
          </w:tcPr>
          <w:p>
            <w:pPr>
              <w:ind w:left="220"/>
              <w:spacing w:after="0"/>
              <w:rPr>
                <w:sz w:val="20"/>
                <w:szCs w:val="20"/>
                <w:color w:val="auto"/>
              </w:rPr>
            </w:pPr>
            <w:r>
              <w:rPr>
                <w:rFonts w:ascii="Arial" w:cs="Arial" w:eastAsia="Arial" w:hAnsi="Arial"/>
                <w:sz w:val="18"/>
                <w:szCs w:val="18"/>
                <w:color w:val="auto"/>
              </w:rPr>
              <w:t>Venezuela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ind w:left="300"/>
              <w:spacing w:after="0"/>
              <w:rPr>
                <w:sz w:val="20"/>
                <w:szCs w:val="20"/>
                <w:color w:val="auto"/>
              </w:rPr>
            </w:pPr>
            <w:r>
              <w:rPr>
                <w:rFonts w:ascii="Arial" w:cs="Arial" w:eastAsia="Arial" w:hAnsi="Arial"/>
                <w:sz w:val="18"/>
                <w:szCs w:val="18"/>
                <w:color w:val="auto"/>
              </w:rPr>
              <w:t>34.8%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42.0%</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760" w:type="dxa"/>
            <w:vAlign w:val="bottom"/>
            <w:gridSpan w:val="2"/>
          </w:tcPr>
          <w:p>
            <w:pPr>
              <w:jc w:val="center"/>
              <w:ind w:left="235"/>
              <w:spacing w:after="0"/>
              <w:rPr>
                <w:sz w:val="20"/>
                <w:szCs w:val="20"/>
                <w:color w:val="auto"/>
              </w:rPr>
            </w:pPr>
            <w:r>
              <w:rPr>
                <w:rFonts w:ascii="Arial" w:cs="Arial" w:eastAsia="Arial" w:hAnsi="Arial"/>
                <w:sz w:val="18"/>
                <w:szCs w:val="18"/>
                <w:color w:val="auto"/>
                <w:w w:val="86"/>
              </w:rPr>
              <w:t>41.7%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50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7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45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$ 4,418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$12,677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In the three months ended September 30, 2011 Total net sales and revenue increased by $0.4 billion (or 10.6%) due primarily to: (1) increased wholesale volumes of $0.1 billion representing 16,000 vehicles (or 6.0%), primarily in Argentina by 12,000 vehicles (or 39.7%), in Colombia by 5,000 vehicles (or 19.3%), in Peru by 2,000 vehicles (or 85.1%) driven by improved macroeconomic conditions and industry growth throughout the region, partially offset by decreased wholesale volumes in Venezuela of 3,000 vehicles (or 22.9%) due to deteriorated market share driven by lower production; (2) favorable net foreign currency translation effect of $0.2 billion, due primarily to the strengthening of major currencies such as the Brazilian Real and Colombian Peso against the U.S. Dollar; (3) favorable vehicle mix of $0.1 billion; and (4) favorable vehicle pricing effect of $0.1 billion driven by the hyperinflationary economy in Venezuela.</w:t>
      </w:r>
    </w:p>
    <w:p>
      <w:pPr>
        <w:spacing w:after="0" w:line="120"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the nine months ended September 30, 2011 Total net sales and revenue increased by $1.7 billion (or 16.0%) due primarily to: (1) increased wholesale volumes of $0.7 billion representing 65,000 vehicles (or 8.7%) primarily in Argentina by 26,000 vehicles (or 33.1%), in Colombia by 22,000 vehicles (or 36.1%), in Chile by 8,000 vehicles (or 20.8%), in Ecuador by 6,000 vehicles (or 15.9%) and in Peru by 6,000 vehicles (or 104.1%) driven by improved macroeconomic conditions and industry growth throughout the region, partially offset by decreased wholesale volumes in Brazil of 4,000 vehicles (or 0.8%) due to deteriorated market share driven by increased competition and aggressive pricing in the market; (2) favorable net foreign currency translation effect of $0.7 billion, due primarily to the strengthening of major currencies such as the Brazilian Real and Colombian Peso against the U.S. Dollar; and (3) favorable vehicle pricing effect of $0.3 billion driven by the hyperinflationary economy in Venezuela.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EBIT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2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7"/>
              </w:rPr>
              <w:t>2011 vs. 2010 Change</w:t>
            </w:r>
          </w:p>
        </w:tc>
      </w:tr>
      <w:tr>
        <w:trPr>
          <w:trHeight w:val="142"/>
        </w:trPr>
        <w:tc>
          <w:tcPr>
            <w:tcW w:w="256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 (Loss)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(44)</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the three months ended September 30, 2011 GMSA incurred an EBIT loss as compared to EBIT of $0.2 billion in the corresponding period in 2010 due primarily to: (1) increased material and manufacturing costs of $0.2 billion; and (2) foreign currency transaction gains of $0.1 billion recorded in 2010 due to the preferential foreign currency exchange rates in Venezuela, which CADIVI discontinued in 2011; partially offset by (3) favorable vehicle pricing effect of $0.1 billion, primarily in Venezuela driven by the hyperinflationary economy.</w:t>
      </w:r>
    </w:p>
    <w:p>
      <w:pPr>
        <w:spacing w:after="0" w:line="143"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In the nine months ended September 30, 2011 EBIT decreased by $0.5 billion (or 83.5%) due primarily to: (1) increased material, freight and manufacturing costs of $0.7 billion; and (2) foreign currency transaction gains of $0.2 billion recorded in the corresponding period in 2010 due to the preferential foreign currency exchange rates in Venezuela, which CADIVI discontinued in 2011; partially offset by (3) favorable vehicle pricing effect of $0.3 billion, primarily in Venezuela driven by the hyperinflationary economy; and (4) favorable net foreign currency translation effect of $0.1 billion.</w:t>
      </w:r>
    </w:p>
    <w:p>
      <w:pPr>
        <w:spacing w:after="0" w:line="113" w:lineRule="exact"/>
        <w:rPr>
          <w:sz w:val="20"/>
          <w:szCs w:val="20"/>
          <w:color w:val="auto"/>
        </w:rPr>
      </w:pPr>
    </w:p>
    <w:p>
      <w:pPr>
        <w:ind w:right="120" w:firstLine="228"/>
        <w:spacing w:after="0" w:line="323" w:lineRule="auto"/>
        <w:rPr>
          <w:sz w:val="20"/>
          <w:szCs w:val="20"/>
          <w:color w:val="auto"/>
        </w:rPr>
      </w:pPr>
      <w:r>
        <w:rPr>
          <w:rFonts w:ascii="Arial" w:cs="Arial" w:eastAsia="Arial" w:hAnsi="Arial"/>
          <w:sz w:val="15"/>
          <w:szCs w:val="15"/>
          <w:color w:val="auto"/>
        </w:rPr>
        <w:t>In January 2010 the Venezuelan government announced that the official fixed exchange rate of 2.15 BsF to $1.00 would be changed to a dual rate system that includes a 2.60 BsF to $1.00 essentials rate for food, technology and heavy machine importers and a 4.30 BsF to $1.00 non-essentials rate for all others. This devaluation required remeasurement of our Venezuelan subsidiaries’ non-U.S. Dollar denominated monetary assets and liabilities. We used a rate of 4.30 BsF to $1.00 to determine the remeasurement, which resulted in a charge of $25 million recorded in Automotive cost of sales in the corresponding period in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w w:val="91"/>
              </w:rPr>
              <w:t>Three Months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Ended</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0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2011</w:t>
            </w:r>
          </w:p>
        </w:tc>
        <w:tc>
          <w:tcPr>
            <w:tcW w:w="10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ind w:right="180" w:firstLine="228"/>
        <w:spacing w:after="0" w:line="335" w:lineRule="auto"/>
        <w:rPr>
          <w:sz w:val="20"/>
          <w:szCs w:val="20"/>
          <w:color w:val="auto"/>
        </w:rPr>
      </w:pPr>
      <w:r>
        <w:rPr>
          <w:rFonts w:ascii="Arial" w:cs="Arial" w:eastAsia="Arial" w:hAnsi="Arial"/>
          <w:sz w:val="15"/>
          <w:szCs w:val="15"/>
          <w:color w:val="auto"/>
        </w:rPr>
        <w:t>In the three months ended September 30, 2011 Total revenue included finance charge income of $348 million and other income of $43 million. The effective yield on GM Financial’s finance receivables was 14.9% for the three months ended September 30, 2011. The effective yield represents finance charges and fees recorded in earnings and the accretion of the purchase accounting premium during the period as a percentage of average finance receivables.</w:t>
      </w:r>
    </w:p>
    <w:p>
      <w:pPr>
        <w:spacing w:after="0" w:line="88"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In the nine months ended September 30, 2011 Total revenue included finance charge income of $907 million and other income of $109 million. The effective yield on GM Financial’s finance receivables was 13.5% for the nine months ended September 30, 2011.</w:t>
      </w:r>
    </w:p>
    <w:p>
      <w:pPr>
        <w:spacing w:after="0" w:line="132"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Net margin is the difference between finance charge income and other income earned on GM Financial’s finance receivables and the cost to fund the receivables as well as the cost of debt incurred for general corporate purposes.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net margin and as a percentage of average earning assets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52"/>
              <w:spacing w:after="0"/>
              <w:rPr>
                <w:sz w:val="20"/>
                <w:szCs w:val="20"/>
                <w:color w:val="auto"/>
              </w:rPr>
            </w:pPr>
            <w:r>
              <w:rPr>
                <w:rFonts w:ascii="Arial" w:cs="Arial" w:eastAsia="Arial" w:hAnsi="Arial"/>
                <w:sz w:val="14"/>
                <w:szCs w:val="14"/>
                <w:b w:val="1"/>
                <w:bCs w:val="1"/>
                <w:color w:val="auto"/>
                <w:w w:val="85"/>
              </w:rPr>
              <w:t>September 30, 2011</w:t>
            </w: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September 30, 2011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 income and other income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391</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1,016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GM Financial margin</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335</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0" w:type="dxa"/>
            <w:vAlign w:val="bottom"/>
            <w:vMerge w:val="restart"/>
          </w:tcPr>
          <w:p>
            <w:pPr>
              <w:jc w:val="right"/>
              <w:ind w:right="1172"/>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171"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the three months ended September 30, 2011 results included: (1) Total revenue of $391 million; partially offset by (2) operating and leased vehicle expenses of $106 million; (3) interest expense of $56 million; and (4) provision for loan losses of $51 million. GM Financial’s operating expenses are primarily related to personnel costs that include base salary and wages, performance incentives and benefits as well as related employment taxes. Provisions for loan losses are charged to income to bring the allowance for loan losses to a level which management considers adequate to absorb probable credit losses inherent in the portfolio of finance receivables originated since October 1, 2010. Interest expense represents interest on GM Financial’s warehouse credit facilities, securitization notes payable and other unsecured debt.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debt outstanding in the three months ended September 30, 2011 was $7.7 billion and the effective rate of interest paid was 2.9%.</w:t>
      </w:r>
    </w:p>
    <w:p>
      <w:pPr>
        <w:spacing w:after="0" w:line="171"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In the nine months ended September 30, 2011 results included: (1) Total revenue of $1.0 billion; partially offset by (2) operating and leased vehicle expenses of $289 million; (3) interest expense of $140 million; and (4) provision for loan losses of $135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debt outstanding in the nine months ended September 30, 2011 was $7.5 billion and the effective rate of interest paid was 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center"/>
              <w:ind w:left="82"/>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28"/>
        </w:trPr>
        <w:tc>
          <w:tcPr>
            <w:tcW w:w="3580" w:type="dxa"/>
            <w:vAlign w:val="bottom"/>
          </w:tcPr>
          <w:p>
            <w:pPr>
              <w:spacing w:after="0"/>
              <w:rPr>
                <w:sz w:val="20"/>
                <w:szCs w:val="20"/>
                <w:color w:val="auto"/>
              </w:rPr>
            </w:pPr>
            <w:r>
              <w:rPr>
                <w:rFonts w:ascii="Arial" w:cs="Arial" w:eastAsia="Arial" w:hAnsi="Arial"/>
                <w:sz w:val="18"/>
                <w:szCs w:val="18"/>
                <w:b w:val="1"/>
                <w:bCs w:val="1"/>
                <w:color w:val="auto"/>
                <w:w w:val="90"/>
              </w:rPr>
              <w:t>Net income (loss) attributable to stockholders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(38)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(1,431)</w:t>
            </w:r>
          </w:p>
        </w:tc>
      </w:tr>
      <w:tr>
        <w:trPr>
          <w:trHeight w:val="364"/>
        </w:trPr>
        <w:tc>
          <w:tcPr>
            <w:tcW w:w="358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98"/>
              </w:rPr>
              <w:t>Corporate Total Net Sales and Revenue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30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00" w:type="dxa"/>
            <w:vAlign w:val="bottom"/>
            <w:gridSpan w:val="6"/>
          </w:tcPr>
          <w:p>
            <w:pPr>
              <w:ind w:left="20"/>
              <w:spacing w:after="0"/>
              <w:rPr>
                <w:sz w:val="20"/>
                <w:szCs w:val="20"/>
                <w:color w:val="auto"/>
              </w:rPr>
            </w:pPr>
            <w:r>
              <w:rPr>
                <w:rFonts w:ascii="Arial" w:cs="Arial" w:eastAsia="Arial" w:hAnsi="Arial"/>
                <w:sz w:val="14"/>
                <w:szCs w:val="14"/>
                <w:b w:val="1"/>
                <w:bCs w:val="1"/>
                <w:color w:val="auto"/>
                <w:w w:val="87"/>
              </w:rPr>
              <w:t>2011 vs. 2010 Change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5"/>
              </w:rPr>
              <w:t>2011 vs. 2010 Change</w:t>
            </w:r>
          </w:p>
        </w:tc>
      </w:tr>
      <w:tr>
        <w:trPr>
          <w:trHeight w:val="142"/>
        </w:trPr>
        <w:tc>
          <w:tcPr>
            <w:tcW w:w="3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77"/>
              </w:rPr>
              <w:t>(60)</w:t>
            </w:r>
          </w:p>
        </w:tc>
        <w:tc>
          <w:tcPr>
            <w:tcW w:w="4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5"/>
              </w:rPr>
              <w:t>(54.5)%</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September 30, 2011 the change in Total net sales and revenue was insignificant.</w:t>
      </w:r>
    </w:p>
    <w:p>
      <w:pPr>
        <w:spacing w:after="0" w:line="171"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the nine months ended September 30, 2011 Total net sales and revenue decreased by $0.1 billion (or 54.5%) due primarily to decreased revenue earned on portfolio management services performed for third parties due to the planned reduction of third party assets managed, and decreased lease financing revenues related to the liquidation of the portfolio of automotive retail leases. Average outstanding retail leases on-hand decreased to a de minimus amount at September 30, 2011 compared to 9,000 at September 30,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Net Income (Loss) Attributable to Stockholders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Three Months Ended</w:t>
            </w: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2011 vs. 2010 Change</w:t>
            </w:r>
          </w:p>
        </w:tc>
      </w:tr>
      <w:tr>
        <w:trPr>
          <w:trHeight w:val="142"/>
        </w:trPr>
        <w:tc>
          <w:tcPr>
            <w:tcW w:w="36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6"/>
              </w:rPr>
              <w:t>Amount</w:t>
            </w:r>
          </w:p>
        </w:tc>
        <w:tc>
          <w:tcPr>
            <w:tcW w:w="3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stockholders</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(209)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(103)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$(1,431)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In the three months ended September 30, 2011 Net loss attributable to stockholders increased by $0.2 billion due primarily to: (1) intercompany activity of $0.2 billion that is eliminated in consolidation; (2) increased income tax expense of $0.1 billion due primarily to tax expense attributable to entities included in our effective tax rate calculation; and (3) increased other expense items of $0.1 billion; partially offset by (4) decreased interest expense of $0.2 billion due primarily to a reduction in our global average debt balance of $3.9 billion driven by the repayment in 2010 of the VEBA Notes and debt facilities held at certain of our foreign subsidiaries.</w:t>
      </w:r>
    </w:p>
    <w:p>
      <w:pPr>
        <w:spacing w:after="0" w:line="143"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the nine months ended September 30, 2011 Net loss attributable to stockholders decreased by $1.3 billion (or 92.8%) due primarily to: (1) decreased income tax expense of $0.7 billion due primarily to decreased tax expense attributable to entities included in our effective tax rate calculation of $0.2 billion, decreased tax expense due to recognition of previously unrecognized tax benefits of $0.4 billion, which included reductions to interest expense of $0.2 billion and to valuation allowances of $0.1 billion, and decreased tax expense attributable to a taxable foreign currency gain in Venezuela of $0.1 billion recorded in the corresponding period in 2010; (2) decreased interest expense of $0.4 billion due primarily to a reduction in our global average debt balance of $6.3 billion driven by the repayment in 2010 of the UST Loans, Canadian Loan and VEBA Notes; and (3) a gain of $0.3 billion related to the sale of our Ally Financial preferred stock; partially offset by (4) intercompany activity of $0.2 billion that is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this report and our 2010 Form 10-K, some of which are outside our control. Macroeconomic conditions could limit our ability to successfully execute our business plans and, therefore, adversely affect our liquidity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40" w:firstLine="228"/>
        <w:spacing w:after="0" w:line="284"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pension contributions and OPEB payments;</w:t>
      </w:r>
    </w:p>
    <w:p>
      <w:pPr>
        <w:spacing w:after="0" w:line="1" w:lineRule="exact"/>
        <w:rPr>
          <w:sz w:val="20"/>
          <w:szCs w:val="20"/>
          <w:color w:val="auto"/>
        </w:rPr>
      </w:pPr>
    </w:p>
    <w:p>
      <w:pPr>
        <w:ind w:right="900" w:firstLine="8"/>
        <w:spacing w:after="0" w:line="323"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capital expenditures; (3) payments to reduce debt and other long-term obligations; and (4) certain South American income and indirect tax-related administrative proceedings may require that we deposit funds in escrow or make payments which may range up to $0.7 billion.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continue to monitor and evaluate opportunities to optimize our liquidity position and capital structure in order to strengthen our balance sheet.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Financial Leverage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Reducing our financial leverage remains a key strategic initiative. We continue to evaluate potential repayments of long-term obligations prior to maturity.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such repayments may negatively affect our liquidity in the short-term.</w:t>
      </w:r>
    </w:p>
    <w:p>
      <w:pPr>
        <w:spacing w:after="0" w:line="165"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the nine months ended September 30, 2011 we prepaid and retired in full debt facilities of $1.0 billion held by certain of our subsidiaries, primarily in GMNA and GMSA. We recorded a loss on extinguishment of these debt facilities of $45 million. Our overall debt balances have not significantly changed during the nine months ended September 30, 2011 as a result of these repayments due to increases in other debt facilities which fluctuate with sales volume.</w:t>
      </w:r>
    </w:p>
    <w:p>
      <w:pPr>
        <w:spacing w:after="0" w:line="10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plan asset for funding purposes at the time of contribution and as a plan asset valued at $1.9 billion for accounting purposes in July 2011. This contribution was made as part of our continuing efforts to mitigate risk in our balance sheet and fully fund long-term obligations.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wholesale financing arrangements, our U.S. dealers typically borrow money from financial institutions to fund their vehicle purchases from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2011 we terminated a wholesale advance agreement which provided for accelerated receipt of payments made by Ally Financial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U.S. dealers pursuant to Ally Financial’s wholesale financing arrangements with dealers. Similar modifications were made in Canada and Mexico.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wholesale advance agreements cover the period for which vehicles are in transit between assembly plants and dealerships. We no longer receive payments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 of the date vehicles purchased by dealers are scheduled to be delivered in GMNA, resulting in an increase to our accounts receivable balance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billion at September 30, 2011. The amount of the increase to our accounts receivable balance depends on sales volumes, seasonal fluctuations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We expect the increase to our accounts receivable balances to moderate over the remainder of 2011.</w:t>
      </w:r>
    </w:p>
    <w:p>
      <w:pPr>
        <w:spacing w:after="0" w:line="165"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In January 2011 we withdrew our application for loans available under Section 136 of the Energy Independence Security Act of 2007. This decision is consistent with our stated goal to minimize our outstanding debt.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Actions including Reduction in Non-core Assets</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During the three months ended September 30, 2011 we accumulated Canadian Dollar denominated deposits and investments of $2.3 billion. These deposits and investments will incur foreign exchange gains or losses based on the movement of the Canadian Dollar in relation to the U.S. Dollar and will therefore reduce our net Canadian Dollar foreign exchange exposure, which primarily relates to pension and OPEB liabilities. We expect to accumulate and maintain a sufficient amount of Canadian Dollar deposits and investments to offset the liabilities denominated in Canadian Dollars. These funds continue to be available to fund our normal ongoing operations and are included in our available liquidity.</w:t>
      </w:r>
    </w:p>
    <w:p>
      <w:pPr>
        <w:spacing w:after="0" w:line="116" w:lineRule="exact"/>
        <w:rPr>
          <w:sz w:val="20"/>
          <w:szCs w:val="20"/>
          <w:color w:val="auto"/>
        </w:rPr>
      </w:pPr>
    </w:p>
    <w:p>
      <w:pPr>
        <w:ind w:right="260" w:firstLine="228"/>
        <w:spacing w:after="0" w:line="335" w:lineRule="auto"/>
        <w:rPr>
          <w:sz w:val="20"/>
          <w:szCs w:val="20"/>
          <w:color w:val="auto"/>
        </w:rPr>
      </w:pPr>
      <w:r>
        <w:rPr>
          <w:rFonts w:ascii="Arial" w:cs="Arial" w:eastAsia="Arial" w:hAnsi="Arial"/>
          <w:sz w:val="15"/>
          <w:szCs w:val="15"/>
          <w:color w:val="auto"/>
        </w:rPr>
        <w:t>In March 2011 we sold our Class A Membership Interests in New Delphi to New Delphi for $3.8 billion and recognized a gain of $1.6 billion. We had acquired our stake in October 2009 in conjunction with the creation of New Delphi. Also in March 2011 we sold our Ally Financial preferred stock for $1.0 billion and recognized a gain of $0.3 billion. Proceeds from these asset sales were used to strengthen liquidity and will be used for general corporate purposes.</w:t>
      </w:r>
    </w:p>
    <w:p>
      <w:pPr>
        <w:spacing w:after="0" w:line="88"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continue to monitor and explore the sale of other non-core assets. From time to time we consider the possibility of acquisitions, dispositions and strategic alliances that we believe would generate significant advantages and substantially strengthen our business.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Available liquidity includes cash, cash equivalents and marketable securities balances. At September 30, 2011 our available liquidity was $32.0 billion, not including funds available under credit facilities of $5.9 billion or in the HCT escrow account of $1.0 billion. The amount of available liquidity is subject to intra-month and seasonal fluctuations and includes balances held by various business units and subsidiaries worldwide that are needed to fund their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We manage our liquidity primarily at our U.S. and international treasury centers as well as at certain of our significant consolidated overseas subsidiaries. Our cash equivalents and marketable securities balances primarily include investments in U.S. government and agency obligations, time deposits and certificates of deposits, commercial paper, corporate debt securities and foreign government securities, and are primarily denominated in U.S. Dollars. We maintain cash balances in certain foreign currencies, such as the Canadian Dollar, to fund future payments on foreign currency denominated obligations thereby reducing a portion of the related foreign currency exposure. A portion of our total liquidity includes amounts deemed indefinitely reinvested in our foreign subsidiaries. We have used and will continue to use other methods, including inter-company loans, to utilize these funds across our global operations as needed. The following table summarizes our liquidity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11,680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31,977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5,858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37,835</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HCT escrow account (a)</w:t>
            </w:r>
          </w:p>
        </w:tc>
        <w:tc>
          <w:tcPr>
            <w:tcW w:w="2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983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the HCT escrow account</w:t>
            </w: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38,818</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Classified as restricted cash and marketable securities which is recorded in Other current assets and deferred income taxes.</w:t>
      </w:r>
    </w:p>
    <w:p>
      <w:pPr>
        <w:spacing w:after="0" w:line="171" w:lineRule="exact"/>
        <w:rPr>
          <w:sz w:val="20"/>
          <w:szCs w:val="20"/>
          <w:color w:val="auto"/>
        </w:rPr>
      </w:pPr>
    </w:p>
    <w:p>
      <w:pPr>
        <w:ind w:right="60" w:firstLine="228"/>
        <w:spacing w:after="0" w:line="370" w:lineRule="auto"/>
        <w:rPr>
          <w:sz w:val="20"/>
          <w:szCs w:val="20"/>
          <w:color w:val="auto"/>
        </w:rPr>
      </w:pPr>
      <w:r>
        <w:rPr>
          <w:rFonts w:ascii="Arial" w:cs="Arial" w:eastAsia="Arial" w:hAnsi="Arial"/>
          <w:sz w:val="15"/>
          <w:szCs w:val="15"/>
          <w:color w:val="auto"/>
        </w:rPr>
        <w:t>Total available liquidity increased by $5.3 billion in the nine months ended September 30, 2011 due primarily to positive cash flows from operating activities and proceeds from the sale of non-core assets partially offset by planned capital expenditures and repayments of debt obligations to reduce our financial leverage.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Amounts Available Under</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Total Credit Facilities</w:t>
            </w:r>
          </w:p>
        </w:tc>
        <w:tc>
          <w:tcPr>
            <w:tcW w:w="180" w:type="dxa"/>
            <w:vAlign w:val="bottom"/>
          </w:tcPr>
          <w:p>
            <w:pPr>
              <w:spacing w:after="0"/>
              <w:rPr>
                <w:sz w:val="14"/>
                <w:szCs w:val="14"/>
                <w:color w:val="auto"/>
              </w:rPr>
            </w:pPr>
          </w:p>
        </w:tc>
        <w:tc>
          <w:tcPr>
            <w:tcW w:w="14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0"/>
              </w:rPr>
              <w:t>Credit Facilities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2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Committed</w:t>
            </w:r>
          </w:p>
        </w:tc>
        <w:tc>
          <w:tcPr>
            <w:tcW w:w="314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5,436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6,142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5,306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Uncommitted</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6,061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6,632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5,858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960" w:type="dxa"/>
            <w:vAlign w:val="bottom"/>
            <w:vMerge w:val="restart"/>
          </w:tcPr>
          <w:p>
            <w:pPr>
              <w:jc w:val="right"/>
              <w:ind w:right="492"/>
              <w:spacing w:after="0"/>
              <w:rPr>
                <w:sz w:val="20"/>
                <w:szCs w:val="20"/>
                <w:color w:val="auto"/>
              </w:rPr>
            </w:pPr>
            <w:r>
              <w:rPr>
                <w:rFonts w:ascii="Arial" w:cs="Arial" w:eastAsia="Arial" w:hAnsi="Arial"/>
                <w:sz w:val="18"/>
                <w:szCs w:val="18"/>
                <w:color w:val="auto"/>
              </w:rPr>
              <w:t>88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Amounts Available Under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Total Credit Facilities</w:t>
            </w:r>
          </w:p>
        </w:tc>
        <w:tc>
          <w:tcPr>
            <w:tcW w:w="180" w:type="dxa"/>
            <w:vAlign w:val="bottom"/>
          </w:tcPr>
          <w:p>
            <w:pPr>
              <w:spacing w:after="0"/>
              <w:rPr>
                <w:sz w:val="14"/>
                <w:szCs w:val="14"/>
                <w:color w:val="auto"/>
              </w:rPr>
            </w:pPr>
          </w:p>
        </w:tc>
        <w:tc>
          <w:tcPr>
            <w:tcW w:w="1420" w:type="dxa"/>
            <w:vAlign w:val="bottom"/>
            <w:gridSpan w:val="4"/>
          </w:tcPr>
          <w:p>
            <w:pPr>
              <w:jc w:val="center"/>
              <w:ind w:left="320"/>
              <w:spacing w:after="0"/>
              <w:rPr>
                <w:sz w:val="20"/>
                <w:szCs w:val="20"/>
                <w:color w:val="auto"/>
              </w:rPr>
            </w:pPr>
            <w:r>
              <w:rPr>
                <w:rFonts w:ascii="Arial" w:cs="Arial" w:eastAsia="Arial" w:hAnsi="Arial"/>
                <w:sz w:val="14"/>
                <w:szCs w:val="14"/>
                <w:b w:val="1"/>
                <w:bCs w:val="1"/>
                <w:color w:val="auto"/>
                <w:w w:val="90"/>
              </w:rPr>
              <w:t>Credit Facilities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4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Secured Revolving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5,000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GM Hong Kong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6,061</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6,632</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5,858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credit facilities of $200 million at December 31, 2010 which we terminated in July 2011 following the repayment of $30 million which was outstanding under the facility.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credit facilities available primarily at our foreign subsidiaries.</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At September 30, 2011 and December 31, 2010 our secured revolving credit facility comprised $5.0 billion of the amounts available under committed credit facilities and other committed credit facilities had $306 million and $475 million available.</w:t>
      </w:r>
    </w:p>
    <w:p>
      <w:pPr>
        <w:spacing w:after="0" w:line="132"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While we do not believe that we will draw on the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secured by a substantial portion of our domestic assets, including accounts receivable, inventory, property, plants, and equipment, real estate, intercompany loans, intellectual property, trademarks and direct investments in Ally Financial. Obligations are also secured by the equity interests in certain of our direct domestic subsidiaries, as well as up to 65% of the voting equity interests in certain of our direct foreign subsidiaries, in each case, subject to certain exceptions. The collateral securing the secured revolving credit facility does not include, among other assets, cash, cash equivalents, marketable securities, as well as our investment in GM Financial and our equity interests in our China JVs and in GM Korea. If we receive an investment grade corporate rating from two or more of the credit rating agencies (Fitch, Moody’s and S&amp;P), we may no longer have to post collateral under the terms of the facility. Under the facility, we have access to a $5.0 billion credit line facility and an additional $2.0 billion non-loan facility which may be used for other collateral requirements.</w:t>
      </w:r>
    </w:p>
    <w:p>
      <w:pPr>
        <w:spacing w:after="0" w:line="12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and Marketable Securities</w:t>
      </w:r>
    </w:p>
    <w:p>
      <w:pPr>
        <w:spacing w:after="0" w:line="171"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Pursuant to an agreement among GMCL, Export Development of Canada and an escrow agent we had $1.0 billion remaining in an escrow account at September 30, 2011 to fund certain of GMCL’s healthcare obligations. GMCL is obligated to make a payment to the HCT of CAD $1.0 billion within 10 days of the HCT implementation date, October 31, 2011, which it will fund out of these escrow funds, adjusted for the net difference between the amount of retiree monthly contributions received during the period January 1, 2010 through the HCT implementation date less the cost of benefits paid for claims incurred by covered employees during this period and certain related costs. Refer to Note 15 to the condensed consolidated financial statements for additional information on the HCT settlement.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In the nine months ended September 30, 2011 we had positive cash flows from operating activities of $6.2 billion due primarily to: (1) Net income of $8.2 billion, which included non-cash charges of $5.2 billion resulting from depreciation, impairment and amortization expense (including Goodwill impairment and amortization of debt issuance costs and discounts) and which also included gains of $1.9 billion related to the sale of our Class A Membership Interests in New Delphi and our Ally Financial preferred stock; partially offset by (2) unfavorable changes in working capital of $3.1 billion driven primarily by an increase in accounts receivable related to the termination of the wholesale advance agreements and an increase in inventory partially offset by increases in accounts payable balances related to increased production; (3) pension contributions and OPEB payments of $1.2 billion; and (4) unfavorable changes in other operating assets of $0.8 billion.</w:t>
      </w:r>
    </w:p>
    <w:p>
      <w:pPr>
        <w:spacing w:after="0" w:line="14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nine months ended September 30, 2010 we had positive cash flows from operating activities of $8.3 billion due primarily to: (1) Net income of $5.0 billion, which included non-cash charges of $5.3 billion resulting from depreciation, impairment and amortization expense (including amortization of debt issuance costs and discounts); (2) increase in income tax related balances of $0.5 billion; partially offset by (3) pension contributions and OPEB payments of $1.3 billion; and (4) unfavorable changes in working capital of $1.3 billion. The unfavorable changes in working capital were related to increases in accounts receivables and inventories, partially offset by an increase in accounts payable.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the nine months ended September 30, 2011 we had negative cash flows from investing activities of $5.0 billion due primarily to: (1) net investments in marketable securities of $6.1 billion; and (2) capital expenditures of $4.1 billion; partially offset by (3) proceeds received from the sale of our Class A Membership Interests in New Delphi and our Ally Financial preferred stock of $4.8 billion; and (4) a net decrease in restricted cash and marketable securities of $0.4 billion.</w:t>
      </w:r>
    </w:p>
    <w:p>
      <w:pPr>
        <w:spacing w:after="0" w:line="143"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In the nine months ended September 30, 2010 we had positive cash flows from investing activities of $4.1 billion due primarily to: (1) a reduction in restricted cash and marketable securities of $12.7 billion due primarily to withdrawals from the escrow account related to the secured credit agreement with the UST;</w:t>
      </w: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liquidations of operating leases of $0.3 billion; and (3) an increase in cash of $0.1 billion from the consolidation of General Motors Egypt; partially offset by</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investments in marketable securities with maturities greater than 90 days of $5.9 billion; and (5) capital expenditures of $3.1 billion.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the nine months ended September 30, 2011 we had negative cash flows from financing activities of $1.6 billion due primarily to: (1) net payments on debt facilities of $0.8 billion primarily related to our early payments to retire debt facilities in GMNA and GMSA; (2) dividend payments on our Series A and Series B Preferred Stock of $0.6 billion; and (3) payment to acquire additional interest in GM Korea of $0.1 billion. Refer to Note 3 to the condensed consolidated financial statements for additional information on the acquisition of additional interest in GM Korea.</w:t>
      </w:r>
    </w:p>
    <w:p>
      <w:pPr>
        <w:spacing w:after="0" w:line="113"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In the nine months ended September 30, 2010 we had negative cash flows from financing activities of $7.9 billion due primarily to: (1) repayments on the UST Loans and Canadian Loan of $5.7 billion and $1.3 billion; (2) payments on other debt of $0.8 billion; (3) dividend payments on our Series A Preferred Stock of $0.6 billion; and (4) payments on a program announced in March 2009 to provide financial assistance to automotive suppliers of $0.2 billion;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proceeds from other debt of $0.7 billion.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Status of Credit Ratings</w:t>
      </w:r>
    </w:p>
    <w:p>
      <w:pPr>
        <w:spacing w:after="0" w:line="171"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We receive a general corporate credit rating and a facility-specific credit rating for our $5.0 billion secured revolving credit facility, from four independent credit rating agencies: Dominion Bond Rating Services (DBRS), Fitch Ratings (Fitch), Moody’s Investor Service (Moody’s), and Standard &amp; Poor’s (S&amp;P). These ratings indicate the agencies’ assessment of a company’s creditworthiness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such as its ability to timely pay principal and interest on debt securities, dividends on preferred securities and other contractual obligations. Lower credit ratings generally represent higher borrowing costs and reduced access to capital markets for a company. The agencies consider a number of business and financial factors when determining ratings including, but not limited to, our competitive position, sustainability of our profits and cash flows, our balance sheet and liquidity profile and our ability to meet obligations under adverse economic scenarios.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DBRS, Moody’s, Fitch, and S&amp;P currently regard our corporate credit rating as non-investment grade. The following table summarizes our credit ratings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3"/>
              </w:rPr>
              <w:t>Secured</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Revolving</w:t>
            </w: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1"/>
              </w:rPr>
              <w:t>Rating Agency</w:t>
            </w:r>
          </w:p>
        </w:tc>
        <w:tc>
          <w:tcPr>
            <w:tcW w:w="2820" w:type="dxa"/>
            <w:vAlign w:val="bottom"/>
          </w:tcPr>
          <w:p>
            <w:pPr>
              <w:spacing w:after="0"/>
              <w:rPr>
                <w:sz w:val="12"/>
                <w:szCs w:val="12"/>
                <w:color w:val="auto"/>
              </w:rPr>
            </w:pPr>
          </w:p>
        </w:tc>
        <w:tc>
          <w:tcPr>
            <w:tcW w:w="22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Corporate</w:t>
            </w:r>
          </w:p>
        </w:tc>
        <w:tc>
          <w:tcPr>
            <w:tcW w:w="1080" w:type="dxa"/>
            <w:vAlign w:val="bottom"/>
          </w:tcPr>
          <w:p>
            <w:pPr>
              <w:spacing w:after="0"/>
              <w:rPr>
                <w:sz w:val="12"/>
                <w:szCs w:val="12"/>
                <w:color w:val="auto"/>
              </w:rPr>
            </w:pPr>
          </w:p>
        </w:tc>
        <w:tc>
          <w:tcPr>
            <w:tcW w:w="19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Credit</w:t>
            </w:r>
          </w:p>
        </w:tc>
        <w:tc>
          <w:tcPr>
            <w:tcW w:w="1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Senior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91"/>
              </w:rPr>
              <w:t>Facility</w:t>
            </w:r>
          </w:p>
        </w:tc>
        <w:tc>
          <w:tcPr>
            <w:tcW w:w="1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Unsecured</w:t>
            </w:r>
          </w:p>
        </w:tc>
        <w:tc>
          <w:tcPr>
            <w:tcW w:w="56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DBRS</w:t>
            </w:r>
          </w:p>
        </w:tc>
        <w:tc>
          <w:tcPr>
            <w:tcW w:w="2820" w:type="dxa"/>
            <w:vAlign w:val="bottom"/>
          </w:tcPr>
          <w:p>
            <w:pPr>
              <w:spacing w:after="0"/>
              <w:rPr>
                <w:sz w:val="16"/>
                <w:szCs w:val="16"/>
                <w:color w:val="auto"/>
              </w:rPr>
            </w:pPr>
          </w:p>
        </w:tc>
        <w:tc>
          <w:tcPr>
            <w:tcW w:w="2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BB (high)</w:t>
            </w:r>
          </w:p>
        </w:tc>
        <w:tc>
          <w:tcPr>
            <w:tcW w:w="10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BBB (low)</w:t>
            </w:r>
          </w:p>
        </w:tc>
        <w:tc>
          <w:tcPr>
            <w:tcW w:w="120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1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Fitch</w:t>
            </w:r>
          </w:p>
        </w:tc>
        <w:tc>
          <w:tcPr>
            <w:tcW w:w="5040" w:type="dxa"/>
            <w:vAlign w:val="bottom"/>
            <w:gridSpan w:val="2"/>
          </w:tcPr>
          <w:p>
            <w:pPr>
              <w:ind w:left="2820"/>
              <w:spacing w:after="0"/>
              <w:rPr>
                <w:sz w:val="20"/>
                <w:szCs w:val="20"/>
                <w:color w:val="auto"/>
              </w:rPr>
            </w:pPr>
            <w:r>
              <w:rPr>
                <w:rFonts w:ascii="Arial" w:cs="Arial" w:eastAsia="Arial" w:hAnsi="Arial"/>
                <w:sz w:val="18"/>
                <w:szCs w:val="18"/>
                <w:color w:val="auto"/>
              </w:rPr>
              <w:t>BB</w:t>
            </w:r>
          </w:p>
        </w:tc>
        <w:tc>
          <w:tcPr>
            <w:tcW w:w="3060" w:type="dxa"/>
            <w:vAlign w:val="bottom"/>
            <w:gridSpan w:val="3"/>
          </w:tcPr>
          <w:p>
            <w:pPr>
              <w:ind w:left="1080"/>
              <w:spacing w:after="0"/>
              <w:rPr>
                <w:sz w:val="20"/>
                <w:szCs w:val="20"/>
                <w:color w:val="auto"/>
              </w:rPr>
            </w:pPr>
            <w:r>
              <w:rPr>
                <w:rFonts w:ascii="Arial" w:cs="Arial" w:eastAsia="Arial" w:hAnsi="Arial"/>
                <w:sz w:val="18"/>
                <w:szCs w:val="18"/>
                <w:color w:val="auto"/>
              </w:rPr>
              <w:t>BBB-</w:t>
            </w:r>
          </w:p>
        </w:tc>
        <w:tc>
          <w:tcPr>
            <w:tcW w:w="184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w w:val="85"/>
              </w:rPr>
              <w:t>Positive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Moody’s</w:t>
            </w:r>
          </w:p>
        </w:tc>
        <w:tc>
          <w:tcPr>
            <w:tcW w:w="5040" w:type="dxa"/>
            <w:vAlign w:val="bottom"/>
            <w:gridSpan w:val="2"/>
          </w:tcPr>
          <w:p>
            <w:pPr>
              <w:ind w:left="2820"/>
              <w:spacing w:after="0"/>
              <w:rPr>
                <w:sz w:val="20"/>
                <w:szCs w:val="20"/>
                <w:color w:val="auto"/>
              </w:rPr>
            </w:pPr>
            <w:r>
              <w:rPr>
                <w:rFonts w:ascii="Arial" w:cs="Arial" w:eastAsia="Arial" w:hAnsi="Arial"/>
                <w:sz w:val="18"/>
                <w:szCs w:val="18"/>
                <w:color w:val="auto"/>
              </w:rPr>
              <w:t>Ba1</w:t>
            </w:r>
          </w:p>
        </w:tc>
        <w:tc>
          <w:tcPr>
            <w:tcW w:w="3060" w:type="dxa"/>
            <w:vAlign w:val="bottom"/>
            <w:gridSpan w:val="3"/>
          </w:tcPr>
          <w:p>
            <w:pPr>
              <w:ind w:left="1080"/>
              <w:spacing w:after="0"/>
              <w:rPr>
                <w:sz w:val="20"/>
                <w:szCs w:val="20"/>
                <w:color w:val="auto"/>
              </w:rPr>
            </w:pPr>
            <w:r>
              <w:rPr>
                <w:rFonts w:ascii="Arial" w:cs="Arial" w:eastAsia="Arial" w:hAnsi="Arial"/>
                <w:sz w:val="18"/>
                <w:szCs w:val="18"/>
                <w:color w:val="auto"/>
              </w:rPr>
              <w:t>Baa2</w:t>
            </w:r>
          </w:p>
        </w:tc>
        <w:tc>
          <w:tcPr>
            <w:tcW w:w="184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w w:val="85"/>
              </w:rPr>
              <w:t>Positive</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S&amp;P</w:t>
            </w:r>
          </w:p>
        </w:tc>
        <w:tc>
          <w:tcPr>
            <w:tcW w:w="5040" w:type="dxa"/>
            <w:vAlign w:val="bottom"/>
            <w:gridSpan w:val="2"/>
          </w:tcPr>
          <w:p>
            <w:pPr>
              <w:ind w:left="2820"/>
              <w:spacing w:after="0"/>
              <w:rPr>
                <w:sz w:val="20"/>
                <w:szCs w:val="20"/>
                <w:color w:val="auto"/>
              </w:rPr>
            </w:pPr>
            <w:r>
              <w:rPr>
                <w:rFonts w:ascii="Arial" w:cs="Arial" w:eastAsia="Arial" w:hAnsi="Arial"/>
                <w:sz w:val="18"/>
                <w:szCs w:val="18"/>
                <w:color w:val="auto"/>
              </w:rPr>
              <w:t>BB+</w:t>
            </w:r>
          </w:p>
        </w:tc>
        <w:tc>
          <w:tcPr>
            <w:tcW w:w="3060" w:type="dxa"/>
            <w:vAlign w:val="bottom"/>
            <w:gridSpan w:val="3"/>
          </w:tcPr>
          <w:p>
            <w:pPr>
              <w:ind w:left="1080"/>
              <w:spacing w:after="0"/>
              <w:rPr>
                <w:sz w:val="20"/>
                <w:szCs w:val="20"/>
                <w:color w:val="auto"/>
              </w:rPr>
            </w:pPr>
            <w:r>
              <w:rPr>
                <w:rFonts w:ascii="Arial" w:cs="Arial" w:eastAsia="Arial" w:hAnsi="Arial"/>
                <w:sz w:val="18"/>
                <w:szCs w:val="18"/>
                <w:color w:val="auto"/>
              </w:rPr>
              <w:t>BBB</w:t>
            </w:r>
          </w:p>
        </w:tc>
        <w:tc>
          <w:tcPr>
            <w:tcW w:w="1840" w:type="dxa"/>
            <w:vAlign w:val="bottom"/>
            <w:gridSpan w:val="2"/>
          </w:tcPr>
          <w:p>
            <w:pP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r>
              <w:rPr>
                <w:rFonts w:ascii="Arial" w:cs="Arial" w:eastAsia="Arial" w:hAnsi="Arial"/>
                <w:sz w:val="18"/>
                <w:szCs w:val="18"/>
                <w:color w:val="auto"/>
              </w:rPr>
              <w:t>Stable</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Rating actions taken by the credit rating agencies from January 1, 2011 through November 1, 2011 were as follows: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DBRS: November 2011 — Upgraded corporate rating to BB (high) from BB.</w:t>
      </w:r>
    </w:p>
    <w:p>
      <w:pPr>
        <w:spacing w:after="0" w:line="171"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Fitch: October 2011 — Upgraded corporate rating to BB from BB- and upgraded secured revolving credit facility rating to BBB- from BB+. Outlook revised to positive from stable.</w:t>
      </w:r>
    </w:p>
    <w:p>
      <w:pPr>
        <w:spacing w:after="0" w:line="132"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Moody’s: October 2011 — Upgraded corporate rating to Ba1 from Ba2 and upgraded secured revolving credit facility rating to Baa2 from Baa3. Outlook revised to positive from stable.</w:t>
      </w:r>
    </w:p>
    <w:p>
      <w:pPr>
        <w:spacing w:after="0" w:line="132"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S&amp;P: September 2011 — Upgraded corporate rating to BB+ from BB- and upgraded our secured revolving credit facility rating to BBB from BB+. Outlook revised to stable from positive. February 2011 — Outlook revised to positive from stable.</w:t>
      </w:r>
    </w:p>
    <w:p>
      <w:pPr>
        <w:spacing w:after="0" w:line="132" w:lineRule="exact"/>
        <w:rPr>
          <w:sz w:val="20"/>
          <w:szCs w:val="20"/>
          <w:color w:val="auto"/>
        </w:rPr>
      </w:pPr>
    </w:p>
    <w:p>
      <w:pPr>
        <w:ind w:right="640" w:firstLine="228"/>
        <w:spacing w:after="0" w:line="268" w:lineRule="auto"/>
        <w:rPr>
          <w:sz w:val="20"/>
          <w:szCs w:val="20"/>
          <w:color w:val="auto"/>
        </w:rPr>
      </w:pPr>
      <w:r>
        <w:rPr>
          <w:rFonts w:ascii="Arial" w:cs="Arial" w:eastAsia="Arial" w:hAnsi="Arial"/>
          <w:sz w:val="18"/>
          <w:szCs w:val="18"/>
          <w:color w:val="auto"/>
        </w:rPr>
        <w:t>We continue to pursue obtaining investment grade status by maintaining a balance sheet with minimal financial leverage and demonstrating continued operating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color w:val="auto"/>
        </w:rPr>
        <w:t>—</w:t>
      </w:r>
      <w:r>
        <w:rPr>
          <w:rFonts w:ascii="Arial" w:cs="Arial" w:eastAsia="Arial" w:hAnsi="Arial"/>
          <w:sz w:val="18"/>
          <w:szCs w:val="18"/>
          <w:b w:val="1"/>
          <w:bCs w:val="1"/>
          <w:color w:val="auto"/>
        </w:rPr>
        <w:t xml:space="preserve">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GM Financial’s primary sources of cash are finance charge income, rental income, servicing fees, distributions from securitization trusts, borrowings under credit facilities, transfers of finance receivables to trusts in securitization transactions and collections, recoveries on finance receivables and net proceeds from senior notes transactions. GM Financial’s primary uses of cash are purchases of finance receivables and leased assets, repayment of credit facilities, securitization notes payable and other indebtedness, funding credit enhancement requirements for securitization transactions and credit facilities and operating expenses.</w:t>
      </w:r>
    </w:p>
    <w:p>
      <w:pPr>
        <w:spacing w:after="0" w:line="98"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GM Financial used cash of $3.8 billion for the purchases of finance receivables and $0.6 billion for the purchases of leased vehicles in the nine months ended September 30, 2011. Generally, these purchases were funded initially utilizing cash and borrowings under credit facilities and subsequently funded in securitization transactions. GM Financial received cash of $2.8 billion from collections and recoveries on receivables in the nine months ended September 30,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4"/>
              </w:rPr>
              <w:t>September 30, 2011</w:t>
            </w:r>
          </w:p>
        </w:tc>
        <w:tc>
          <w:tcPr>
            <w:tcW w:w="10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Borrowing capacity on unpledged eligible receivables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on unpledged eligible leased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Available liquidity</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14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In June 2011 GM Financial issued 6.75% senior notes of $500 million which are due in June 2018 with interest payable semiannually. On July 1, 2011 proceeds of $71 million from this offering were used to redeem all of GM Financial’s outstanding 8.50% senior notes due in 2015. The remaining proceeds will be used for general corporate purposes.</w:t>
      </w:r>
    </w:p>
    <w:p>
      <w:pPr>
        <w:spacing w:after="0" w:line="14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connection with the issuance of the 6.75% senior notes, GM Financial entered into a registration rights agreement that requires GM Financial to file a registration statement relating to the registration with the SEC of an exchange offer with respect to the 6.75% senior notes and the subsidiary guaranty. GM Financial filed the registration statement on September 12, 2011. If the registration statement has not been declared effective by the SEC within 210 days from the original issuance of the notes or ceases to remain effective, GM Financial will be required to pay the 6.75% senior note holders a maximum of $0.50 per week of additional interest per $1,000 of principal during the time the registration statement is not effective.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 The following table summarizes GM Financial’s credit facilities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September 30, 2011</w:t>
            </w: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 Amount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w:t>
            </w:r>
          </w:p>
        </w:tc>
        <w:tc>
          <w:tcPr>
            <w:tcW w:w="7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 Amount</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Outstanding</w:t>
            </w:r>
          </w:p>
        </w:tc>
      </w:tr>
      <w:tr>
        <w:trPr>
          <w:trHeight w:val="210"/>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 (a)</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U.S. lease warehouse facility (b)</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 lease warehouse facility (c)</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Medium-term note facility (d)</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funding facility (e)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that matures in January 2012. Borrowings on the facility are collateralized by leased assets.</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July 2011 GM Financial Canada Leasing Ltd., a subsidiary of GM Financial entered into a lease warehouse facility for lease originations in Canada that matures in July 2012. Borrowings on that facility are collateralized by leased assets. The facility amount represents CAD $600 million at September 30, 2011.</w:t>
      </w:r>
    </w:p>
    <w:p>
      <w:pPr>
        <w:spacing w:after="0" w:line="59"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facility is secured by asset-backed securities of $27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significant non-cash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charges related to investment in HKJV</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Impairment charges related to goodwill</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related vehicles leased to rental car companies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Impairment charges related to product-specific tooling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79"/>
              </w:rPr>
              <w:t>18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177"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jc w:val="both"/>
        <w:ind w:right="60" w:firstLine="228"/>
        <w:spacing w:after="0" w:line="335" w:lineRule="auto"/>
        <w:rPr>
          <w:sz w:val="20"/>
          <w:szCs w:val="20"/>
          <w:color w:val="auto"/>
        </w:rPr>
      </w:pPr>
      <w:r>
        <w:rPr>
          <w:rFonts w:ascii="Arial" w:cs="Arial" w:eastAsia="Arial" w:hAnsi="Arial"/>
          <w:sz w:val="15"/>
          <w:szCs w:val="15"/>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$1.1 billion and $1.0 billion at September 30, 2011 and December 31, 2010.</w:t>
      </w:r>
    </w:p>
    <w:p>
      <w:pPr>
        <w:spacing w:after="0" w:line="88"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Our agreement with Ally Financial requires the repurchase of Ally Financial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ended in August 2010 for vehicles invoiced through August 2009, ended in August 2011 for vehicles invoiced through August 2010 and ends in August 2012 for vehicles invoiced through August 2011.</w:t>
      </w:r>
    </w:p>
    <w:p>
      <w:pPr>
        <w:spacing w:after="0" w:line="113"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The maximum potential amount of future payments required to be made to Ally Financial under this guarantee would be based on the repurchase value of total eligible vehicles financed by Ally Financial in dealer stock and was estimated to be $19.4 billion and $18.8 billion at September 30, 2011 and December 31,</w:t>
      </w:r>
    </w:p>
    <w:p>
      <w:pPr>
        <w:ind w:right="80"/>
        <w:spacing w:after="0" w:line="302" w:lineRule="auto"/>
        <w:rPr>
          <w:sz w:val="20"/>
          <w:szCs w:val="20"/>
          <w:color w:val="auto"/>
        </w:rPr>
      </w:pPr>
      <w:r>
        <w:rPr>
          <w:rFonts w:ascii="Arial" w:cs="Arial" w:eastAsia="Arial" w:hAnsi="Arial"/>
          <w:sz w:val="16"/>
          <w:szCs w:val="16"/>
          <w:color w:val="auto"/>
        </w:rPr>
        <w:t>2010. If vehicles are required to be repurchased under this arrangement the total exposure would be reduced to the extent vehicles are able to be resold to another dealer or at auction. The fair value of the guarantee was $17 million and $21 million at September 30, 2011 and December 31, 2010 which considers the likelihood of dealers terminating and the estimated loss exposure for the ultimate disposition of vehicles.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Notes 17 and 24 to our condensed consolidated financial statements for additional information on guarantees we have provided.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Pension Funding Obligations</w:t>
      </w:r>
    </w:p>
    <w:p>
      <w:pPr>
        <w:spacing w:after="0" w:line="177" w:lineRule="exact"/>
        <w:rPr>
          <w:sz w:val="20"/>
          <w:szCs w:val="20"/>
          <w:color w:val="auto"/>
        </w:rPr>
      </w:pPr>
    </w:p>
    <w:p>
      <w:pPr>
        <w:ind w:right="240" w:firstLine="228"/>
        <w:spacing w:after="0" w:line="284" w:lineRule="auto"/>
        <w:rPr>
          <w:sz w:val="20"/>
          <w:szCs w:val="20"/>
          <w:color w:val="auto"/>
        </w:rPr>
      </w:pPr>
      <w:r>
        <w:rPr>
          <w:rFonts w:ascii="Arial" w:cs="Arial" w:eastAsia="Arial" w:hAnsi="Arial"/>
          <w:sz w:val="16"/>
          <w:szCs w:val="16"/>
          <w:color w:val="auto"/>
        </w:rPr>
        <w:t>We are subject to a variety of federal rules and regulations, including the Employee Retirement Income Security Act of 1974, as amended (ERISA) and the Pension Protection Act of 2006 (PPA), which govern the manner in which we fund and administer our pensions for our retired employees and their spouses. Additionally, the Pension Relief Act of 2010 (PRA) provides us with options to amortize any shortfall amortization base for U.S. qualified pension plans either</w:t>
      </w:r>
    </w:p>
    <w:p>
      <w:pPr>
        <w:spacing w:after="0" w:line="1" w:lineRule="exact"/>
        <w:rPr>
          <w:sz w:val="20"/>
          <w:szCs w:val="20"/>
          <w:color w:val="auto"/>
        </w:rPr>
      </w:pPr>
    </w:p>
    <w:p>
      <w:pPr>
        <w:jc w:val="both"/>
        <w:ind w:right="220" w:firstLine="8"/>
        <w:spacing w:after="0" w:line="331" w:lineRule="auto"/>
        <w:tabs>
          <w:tab w:leader="none" w:pos="249" w:val="left"/>
        </w:tabs>
        <w:numPr>
          <w:ilvl w:val="0"/>
          <w:numId w:val="69"/>
        </w:numPr>
        <w:rPr>
          <w:rFonts w:ascii="Arial" w:cs="Arial" w:eastAsia="Arial" w:hAnsi="Arial"/>
          <w:sz w:val="15"/>
          <w:szCs w:val="15"/>
          <w:color w:val="auto"/>
        </w:rPr>
      </w:pPr>
      <w:r>
        <w:rPr>
          <w:rFonts w:ascii="Arial" w:cs="Arial" w:eastAsia="Arial" w:hAnsi="Arial"/>
          <w:sz w:val="15"/>
          <w:szCs w:val="15"/>
          <w:color w:val="auto"/>
        </w:rPr>
        <w:t>over seven years with amortization starting two years after the election of this relief or (2) over 15 years. We have elected the 15-year amortization funding relief option for certain of our U.S. pension plans for the most recent pension funding valuation as of October 1, 2010. The election of the 15-year amortization option has enabled us to defer the funding requirements to future years. We do not have any required contributions payable to our U.S. qualified plans in 2011.</w:t>
      </w:r>
    </w:p>
    <w:p>
      <w:pPr>
        <w:spacing w:after="0" w:line="90"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The next pension funding valuation to be prepared based on the requirements of the PPA will be as of October 1, 2011. Based on the PPA, we have the option to select a funding interest rate for the valuation based on either the Full Yield Curve method or the 3-Segment method, both of which are considered to be acceptable methods. A hypothetical valuation at September 30, 2011, assuming either the Full Yield Curve rate or the 3-Segment rate at September 30, 2011 for the plan year beginning October 1, 2011 and for all future valuations, projects no required contributions through 2016. We have assumed that the pension plans earn the expected return of 8.0% and no further changes in funding interest rates.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funding interest rate and return on assets rate sensitivities for projected future required contributions are shown below (in billions):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8"/>
            <w:vMerge w:val="restart"/>
          </w:tcPr>
          <w:p>
            <w:pPr>
              <w:ind w:left="500"/>
              <w:spacing w:after="0"/>
              <w:rPr>
                <w:sz w:val="20"/>
                <w:szCs w:val="20"/>
                <w:color w:val="auto"/>
              </w:rPr>
            </w:pPr>
            <w:r>
              <w:rPr>
                <w:rFonts w:ascii="Arial" w:cs="Arial" w:eastAsia="Arial" w:hAnsi="Arial"/>
                <w:sz w:val="14"/>
                <w:szCs w:val="14"/>
                <w:b w:val="1"/>
                <w:bCs w:val="1"/>
                <w:color w:val="auto"/>
              </w:rPr>
              <w:t>Funding Interest Rate Sensitivity Table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Return</w:t>
            </w: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gridSpan w:val="8"/>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3"/>
          </w:tcPr>
          <w:p>
            <w:pPr>
              <w:jc w:val="center"/>
              <w:ind w:left="516"/>
              <w:spacing w:after="0" w:line="149" w:lineRule="exact"/>
              <w:rPr>
                <w:sz w:val="20"/>
                <w:szCs w:val="20"/>
                <w:color w:val="auto"/>
              </w:rPr>
            </w:pPr>
            <w:r>
              <w:rPr>
                <w:rFonts w:ascii="Arial" w:cs="Arial" w:eastAsia="Arial" w:hAnsi="Arial"/>
                <w:sz w:val="14"/>
                <w:szCs w:val="14"/>
                <w:b w:val="1"/>
                <w:bCs w:val="1"/>
                <w:color w:val="auto"/>
                <w:w w:val="92"/>
              </w:rPr>
              <w:t>7% - 100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50 Basis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25 Basis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80"/>
              </w:rPr>
              <w:t>25 Basis</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87"/>
              </w:rPr>
              <w:t>50 Basis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Point Increase</w:t>
            </w:r>
          </w:p>
        </w:tc>
        <w:tc>
          <w:tcPr>
            <w:tcW w:w="3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Increase</w:t>
            </w:r>
          </w:p>
        </w:tc>
        <w:tc>
          <w:tcPr>
            <w:tcW w:w="3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1"/>
              </w:rPr>
              <w:t>Base Line</w:t>
            </w:r>
          </w:p>
        </w:tc>
        <w:tc>
          <w:tcPr>
            <w:tcW w:w="3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Decrease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2"/>
              </w:rPr>
              <w:t>Point Decrease</w:t>
            </w:r>
          </w:p>
        </w:tc>
        <w:tc>
          <w:tcPr>
            <w:tcW w:w="6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jc w:val="right"/>
              <w:ind w:right="3272"/>
              <w:spacing w:after="0" w:line="202" w:lineRule="exact"/>
              <w:rPr>
                <w:sz w:val="20"/>
                <w:szCs w:val="20"/>
                <w:color w:val="auto"/>
              </w:rPr>
            </w:pPr>
            <w:r>
              <w:rPr>
                <w:rFonts w:ascii="Arial" w:cs="Arial" w:eastAsia="Arial" w:hAnsi="Arial"/>
                <w:sz w:val="18"/>
                <w:szCs w:val="18"/>
                <w:color w:val="auto"/>
                <w:w w:val="84"/>
              </w:rPr>
              <w:t>2011</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right"/>
              <w:ind w:right="3272"/>
              <w:spacing w:after="0"/>
              <w:rPr>
                <w:sz w:val="20"/>
                <w:szCs w:val="20"/>
                <w:color w:val="auto"/>
              </w:rPr>
            </w:pPr>
            <w:r>
              <w:rPr>
                <w:rFonts w:ascii="Arial" w:cs="Arial" w:eastAsia="Arial" w:hAnsi="Arial"/>
                <w:sz w:val="18"/>
                <w:szCs w:val="18"/>
                <w:color w:val="auto"/>
                <w:w w:val="84"/>
              </w:rPr>
              <w:t>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84"/>
              </w:rPr>
              <w:t>2013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jc w:val="right"/>
              <w:ind w:right="3272"/>
              <w:spacing w:after="0"/>
              <w:rPr>
                <w:sz w:val="20"/>
                <w:szCs w:val="20"/>
                <w:color w:val="auto"/>
              </w:rPr>
            </w:pPr>
            <w:r>
              <w:rPr>
                <w:rFonts w:ascii="Arial" w:cs="Arial" w:eastAsia="Arial" w:hAnsi="Arial"/>
                <w:sz w:val="18"/>
                <w:szCs w:val="18"/>
                <w:color w:val="auto"/>
                <w:w w:val="84"/>
              </w:rPr>
              <w:t>2014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84"/>
              </w:rPr>
              <w:t>2015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20" w:type="dxa"/>
            <w:vAlign w:val="bottom"/>
          </w:tcPr>
          <w:p>
            <w:pPr>
              <w:jc w:val="right"/>
              <w:ind w:right="3272"/>
              <w:spacing w:after="0"/>
              <w:rPr>
                <w:sz w:val="20"/>
                <w:szCs w:val="20"/>
                <w:color w:val="auto"/>
              </w:rPr>
            </w:pPr>
            <w:r>
              <w:rPr>
                <w:rFonts w:ascii="Arial" w:cs="Arial" w:eastAsia="Arial" w:hAnsi="Arial"/>
                <w:sz w:val="18"/>
                <w:szCs w:val="18"/>
                <w:color w:val="auto"/>
                <w:w w:val="84"/>
              </w:rPr>
              <w:t>2016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The hypothetical valuation and the funding interest rate and return on assets rate sensitivities consider our 2010 plan year election of relief for certain of our U.S. pension plans but do not consider the potential election of relief provisions that are available to us for the 2011 plan year valuation under the PRA.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At September 30, 2011 assets and liabilities classified in Level 3 were not significant. Prior to the three months ended December 31, 2010 significant assets and liabilities classified in Level 3, with the related Level 3 inputs, were as follows:</w:t>
      </w:r>
    </w:p>
    <w:p>
      <w:pPr>
        <w:spacing w:after="0" w:line="51" w:lineRule="exact"/>
        <w:rPr>
          <w:sz w:val="20"/>
          <w:szCs w:val="20"/>
          <w:color w:val="auto"/>
        </w:rPr>
      </w:pPr>
    </w:p>
    <w:p>
      <w:pPr>
        <w:ind w:left="660" w:hanging="436"/>
        <w:spacing w:after="0" w:line="291"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Foreign currency derivatives — Level 3 inputs used to determine the fair value of foreign currency derivative liabilities include the appropriate credit spread to measure our nonperformance risk. Given our nonperformance risk was not observable through a liquid credit default swap market we based this measurement on an analysis of comparable industrial companies to determine the appropriate credit spread which would be applied to us by market participants. In the three months ended December 31, 2010 we incorporated our published credit agency ratings into our credit rating conclusions. In the three months ended December 31, 2010 we determined that our nonperformance risk no longer represented a significant input in the determination of the fair value of our foreign currency derivative liabilities and transferred these liabilities to Level 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Refer to Note 19 to the condensed consolidated financial statements for additional information regarding fair value measurements of financial assets and financial liabilities. Refer to Note 16 to the condensed consolidated financial statements for additional information regarding derivative financial instruments.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Level 3 Assets and Liabilities</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At September 30, 2011 we used Level 3 inputs to measure net assets of $49 million (or less than 0.1% of our total assets included in the condensed consolidated balance sheet). These net assets included assets of $138 million (or 0.5% of the total assets measured at fair value), and liabilities of $89 million (or 56.0% of the total liabilities measured at fair value).</w:t>
      </w:r>
    </w:p>
    <w:p>
      <w:pPr>
        <w:spacing w:after="0" w:line="14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In the three months ended September 30, 2011 assets and liabilities measured using Level 3 inputs decreased $30 million from a net asset of $79 million to a net asset of $49 million due primarily to losses recorded during the period. In the nine months ended September 30, 2011 assets and liabilities measured using Level 3 inputs increased $63 million from a net liability of $14 million to a net asset of $49 million due primarily to unrealized gains on embedded derivatives, partially offset by unrealized losses on options.</w:t>
      </w:r>
    </w:p>
    <w:p>
      <w:pPr>
        <w:spacing w:after="0" w:line="143"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At December 31, 2010 we used Level 3 inputs to measure net liabilities of $14 million (or less than 0.1% of our total liabilities included in the condensed consolidated balance sheet). These net liabilities included assets of $10 million (or less than 0.1% of the total assets measured at fair value), and liabilities of $24 million (or 16.4% of the total liabilities measured at fair value).</w:t>
      </w:r>
    </w:p>
    <w:p>
      <w:pPr>
        <w:spacing w:after="0" w:line="140"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At December 31, 2010 our nonperformance risk remained unobservable through a liquid credit default swap market. During the three months ended December 31, 2010 we determined that our nonperformance risk no longer represented a significant input in the determination of the fair value of our derivatives. The effect of our nonperformance risk in the valuation was reduced due to the reduction in the remaining duration and magnitude of these net derivative liability positions. In October 2010 we transferred foreign currency derivatives with a fair market value of $183 million from Level 3 to Level 2.</w:t>
      </w:r>
    </w:p>
    <w:p>
      <w:pPr>
        <w:spacing w:after="0" w:line="11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Realized and unrealized gains and losses related to assets and liabilities measured using Level 3 inputs did not have a material effect on operations, liquidity or capital resources in the three and nine months ended September 30, 2011 and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Automotive Financing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GM Financial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30, 2011 significant assets and liabilities classified in Level 3, with the related Level 3 inputs, are as follows:</w:t>
      </w:r>
    </w:p>
    <w:p>
      <w:pPr>
        <w:spacing w:after="0" w:line="212" w:lineRule="exact"/>
        <w:rPr>
          <w:sz w:val="20"/>
          <w:szCs w:val="20"/>
          <w:color w:val="auto"/>
        </w:rPr>
      </w:pPr>
    </w:p>
    <w:p>
      <w:pPr>
        <w:ind w:left="660" w:right="40" w:hanging="436"/>
        <w:spacing w:after="0" w:line="298"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Interest rate swaps — Level 3 inputs are used to determine the fair value of GM Financial’s interest rate swaps because they are not exchange traded but instead traded in over-the-counter markets where quoted market prices are not readily available. The fair value of derivatives is derived using models that primarily use market observable inputs, such as interest rate yield curves and credit curves. The effects of GM Financial’s and the counterparties’ non-performance risk to the derivative trades are considered when measuring the fair value of derivative assets and liabilities.</w:t>
      </w:r>
    </w:p>
    <w:p>
      <w:pPr>
        <w:spacing w:after="0" w:line="113"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Refer to Note 19 to the condensed consolidated financial statements for additional information regarding fair value measurements of financial assets and financial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The declaration of any dividend on our common stock is a matter to be acted upon by our Board of Directors in its sole discretion. Since our formation, we have not paid any dividends on our common stock. We have no current plans to pay any dividends on our common stock.</w:t>
      </w:r>
    </w:p>
    <w:p>
      <w:pPr>
        <w:spacing w:after="0" w:line="132" w:lineRule="exact"/>
        <w:rPr>
          <w:sz w:val="20"/>
          <w:szCs w:val="20"/>
          <w:color w:val="auto"/>
        </w:rPr>
      </w:pPr>
    </w:p>
    <w:p>
      <w:pPr>
        <w:jc w:val="both"/>
        <w:ind w:right="120" w:firstLine="228"/>
        <w:spacing w:after="0" w:line="298" w:lineRule="auto"/>
        <w:rPr>
          <w:sz w:val="20"/>
          <w:szCs w:val="20"/>
          <w:color w:val="auto"/>
        </w:rPr>
      </w:pPr>
      <w:r>
        <w:rPr>
          <w:rFonts w:ascii="Arial" w:cs="Arial" w:eastAsia="Arial" w:hAnsi="Arial"/>
          <w:sz w:val="16"/>
          <w:szCs w:val="16"/>
          <w:color w:val="auto"/>
        </w:rPr>
        <w:t>So long as any share of our Series A Preferred Stock or Series B Preferred Stock remains outstanding, no dividend or distribution may be declared or paid on our common stock unless all accrued and unpaid dividends have been paid on our Series A Preferred Stock and Series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dividends paid on our Series A Preferred Stock and Series B Preferred Stock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 dividends paid</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Our payment of dividends in the future, if any, will be determined by our Board of Directors and will be paid out of funds legally available for that purpose and will depend on business conditions, our financial condition, earnings, liquidity and capital requirements, the covenants in our debt instruments, and other factors.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September 30, 2011 we employed 210,000 employees, of whom 141,000 (67%) were hourly employees and 69,000 (33%) were salaried employees. The following table summarizes worldwide employment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2011</w:t>
            </w:r>
          </w:p>
        </w:tc>
        <w:tc>
          <w:tcPr>
            <w:tcW w:w="1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GMNA</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GME</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GMIO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GMSA</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GM Financial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Total Worldwide</w:t>
            </w: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U.S. – Salaried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U.S. – Hourly</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2010 Form 10-K, with updates to our critical accounting estimates related to events occurring subsequent to the filing of our 2010 Form 10-K discussed below.</w:t>
      </w:r>
    </w:p>
    <w:p>
      <w:pPr>
        <w:spacing w:after="0" w:line="116"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jc w:val="both"/>
        <w:ind w:right="440" w:firstLine="228"/>
        <w:spacing w:after="0" w:line="259" w:lineRule="auto"/>
        <w:rPr>
          <w:sz w:val="20"/>
          <w:szCs w:val="20"/>
          <w:color w:val="auto"/>
        </w:rPr>
      </w:pPr>
      <w:r>
        <w:rPr>
          <w:rFonts w:ascii="Arial" w:cs="Arial" w:eastAsia="Arial" w:hAnsi="Arial"/>
          <w:sz w:val="18"/>
          <w:szCs w:val="18"/>
          <w:color w:val="auto"/>
        </w:rPr>
        <w:t>In December 2010 the Financial Accounting Standards Board (FASB) issued ASU 2010-28. The amendments in this ASU modify Step 1 of the goodwill impairment test for reporting units with zero or negative carrying amounts. For those reporting units, an entity is required to perform Step 2 of the goodwill impairment test if it is more likely than not that a goodwill impairment exists.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resulting goodwill impairment is recorded as a cumulative-effect adjustment to beginning Retained earnings at the date of adoption with future impairments recorded to earnings. We adopted the provisions of ASU 2010-28 on January 1, 2011. GME has a negative carrying amount and we determined that it was more likely than not that a goodwill impairment existed at January 1, 2011 and at March 31, 2011 due to decreases in our nonperformance risk and improvements in our incremental borrowing interest rates occurring since July 10, 2009 through March 31, 2011.</w:t>
      </w:r>
    </w:p>
    <w:p>
      <w:pPr>
        <w:spacing w:after="0" w:line="113"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The adoption of ASU 2010-28 resulted in the recognition of a cumulative-effect adjustment to beginning Retained earnings of $1.5 billion for our GME reporting unit. In addition, because GME continued to have a negative carrying amount and it was more likely than not further goodwill impairment existed at March 31, 2011, an impairment charge of $395 million was recorded in Goodwill impairment charges during the three months ended March 31, 2011. Both the impairment charge recorded as a result of the initial adoption of ASU 2010-28 and the March 31, 2011 measurement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the high quality corporate bond rates utilized to measure our employee benefit obligations since January 1, 2011; and (3) a decrease in credit spreads between high quality corporate bond rates and market interest rates for companies with similar nonperformance risk. Refer to Notes 2 and 9 to our condensed consolidated financial statements for additional information related to the adoption of ASU 2010-28.</w:t>
      </w:r>
    </w:p>
    <w:p>
      <w:pPr>
        <w:spacing w:after="0" w:line="123"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When applying fresh-start reporting certain accounts in GME, primarily employee benefit and income tax related, were recorded at amounts determined under specific U.S. GAAP rather than fair value, and the difference between the U.S. GAAP and fair value amounts gave rise to goodwill, which is a residual. Our employee benefit related accounts were recorded in accordance with Accounting Standards Codification (ASC) 712 “Compensation — Nonretirement Postemployment Benefits” and ASC 715 “Compensation Benefits.” The discount rates utilized to determine the fair value of these obligations were based on our incremental borrowing rates, which included our nonperformance risk. Our incremental borrowing rates are also affected by changes in market interest rates. Deferred income taxes were recorded in accordance with ASC 740, “Income Taxes.” Further, we recorded valuation allowances against certain of our deferred tax assets, which under ASC 852, “Reorganizations” also resulted in goodwill. If all identifiable assets and liabilities had been recorded at fair value upon application of fresh-start reporting, no goodwill would have resulted.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GME has a negative carrying amount and we determined that it was more likely than not that a goodwill impairment existed at January 1, 2011 and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31, 2011 due to decreases in our nonperformance risk and improvements in our incremental borrowing interest rates occurring since July 10, 2009 through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March 31, 2011. As such, despite the fair value of GME’s equity being greater than its carrying amount, we performed Step 2 of the goodwill impairment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analysis. The valuation methodologies utilized to perform our goodwill impairment testing for GME were consistent with those used in our application of fresh-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start reporting on July 10, 2009, as discussed in Note 2 to our consolidated financial statements contained in our 2010 Form 10-K, and in our 2010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testing at October 1, 2010. The fair value measures used in our analyses were Level 3 measures.</w:t>
      </w:r>
    </w:p>
    <w:p>
      <w:pPr>
        <w:spacing w:after="0" w:line="165" w:lineRule="exact"/>
        <w:rPr>
          <w:sz w:val="20"/>
          <w:szCs w:val="20"/>
          <w:color w:val="auto"/>
        </w:rPr>
      </w:pPr>
    </w:p>
    <w:p>
      <w:pPr>
        <w:ind w:right="20" w:firstLine="228"/>
        <w:spacing w:after="0" w:line="308" w:lineRule="auto"/>
        <w:rPr>
          <w:sz w:val="20"/>
          <w:szCs w:val="20"/>
          <w:color w:val="auto"/>
        </w:rPr>
      </w:pPr>
      <w:r>
        <w:rPr>
          <w:rFonts w:ascii="Arial" w:cs="Arial" w:eastAsia="Arial" w:hAnsi="Arial"/>
          <w:sz w:val="15"/>
          <w:szCs w:val="15"/>
          <w:color w:val="auto"/>
        </w:rPr>
        <w:t>Because the fair value of goodwill can be measured only as a residual amount and cannot be determined directly, we calculated GME’s implied goodwill in the same manner that goodwill is recognized in a business combination pursuant to ASC 805 “Business Combinations.” In performing our Step 2 analyses, we utilized a discounted cash flow methodology to estimate the fair values of GME at January 1, 2011 and March 31, 2011. These fair value estimates utilized a weighted-average cost of capital of 17.0% and 16.5% at January 1, 2011 and March 31, 2011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GME of 6.6% in 2011 increasing to industry sales of 22.0 million vehicles and a 7.4%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our application of fresh-start reporting.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key assumptions utilized in determining the fair-value-to-U.S. GAAP differences are the determination of our nonperformance risk, interest rates and the estimated timing of the utilization of our deferred tax assets. Of these factors, the amount of implied goodwill within GME at January 1, 2011 and at March 31, 2011 is most sensitive to changes in our nonperformance risk and interest rates.</w:t>
      </w:r>
    </w:p>
    <w:p>
      <w:pPr>
        <w:spacing w:after="0" w:line="140" w:lineRule="exact"/>
        <w:rPr>
          <w:sz w:val="20"/>
          <w:szCs w:val="20"/>
          <w:color w:val="auto"/>
        </w:rPr>
      </w:pPr>
    </w:p>
    <w:p>
      <w:pPr>
        <w:ind w:right="480" w:firstLine="228"/>
        <w:spacing w:after="0" w:line="259" w:lineRule="auto"/>
        <w:rPr>
          <w:sz w:val="20"/>
          <w:szCs w:val="20"/>
          <w:color w:val="auto"/>
        </w:rPr>
      </w:pPr>
      <w:r>
        <w:rPr>
          <w:rFonts w:ascii="Arial" w:cs="Arial" w:eastAsia="Arial" w:hAnsi="Arial"/>
          <w:sz w:val="18"/>
          <w:szCs w:val="18"/>
          <w:color w:val="auto"/>
        </w:rPr>
        <w:t>The following table summarizes the effect on determination of the implied goodwill of GME at March 31, 2011 (the last date on which goodwill was remeasured for financial reporting purposes) of changes in our incremental borrowing rates utilized in calculating the implied goodwill for GME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72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7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Incremental Borrowing Rates</w:t>
            </w:r>
          </w:p>
        </w:tc>
        <w:tc>
          <w:tcPr>
            <w:tcW w:w="3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25 basis point decrease in our incremental borrowing rates</w:t>
            </w:r>
          </w:p>
        </w:tc>
        <w:tc>
          <w:tcPr>
            <w:tcW w:w="3220" w:type="dxa"/>
            <w:vAlign w:val="bottom"/>
            <w:gridSpan w:val="2"/>
          </w:tcPr>
          <w:p>
            <w:pPr>
              <w:ind w:left="3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our incremental borrowing rates</w:t>
            </w:r>
          </w:p>
        </w:tc>
        <w:tc>
          <w:tcPr>
            <w:tcW w:w="32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bl>
    <w:p>
      <w:pPr>
        <w:spacing w:after="0" w:line="15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summarizes the effect on the implied goodwill of GME at March 31, 2011 of changes in high quality corporate rates in calculating the implied goodwill for GME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7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High Quality Corporate Rates</w:t>
            </w:r>
          </w:p>
        </w:tc>
        <w:tc>
          <w:tcPr>
            <w:tcW w:w="3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25 basis point decrease in high quality corporate rates</w:t>
            </w:r>
          </w:p>
        </w:tc>
        <w:tc>
          <w:tcPr>
            <w:tcW w:w="3380" w:type="dxa"/>
            <w:vAlign w:val="bottom"/>
            <w:gridSpan w:val="2"/>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high quality corporate rates</w:t>
            </w:r>
          </w:p>
        </w:tc>
        <w:tc>
          <w:tcPr>
            <w:tcW w:w="33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bl>
    <w:p>
      <w:pPr>
        <w:spacing w:after="0" w:line="154"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Future goodwill impairments could occur within GME should the fair-value-to-U.S. GAAP differences decrease, GME continue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could decrease upon an improvement in our credit rating and would decrease upon a decrease in credit spreads between high quality corporate bonds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that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127"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We believe future goodwill impairment charges could occur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 Though our credit rating improved during the three months ended September 30, 2011, the fair-value-to-U.S. GAAP differences noted above did not decrease because credit spreads between high quality corporate bonds and market interest rates widened. As such, it was not more likely than not that further goodwill impairment existed at September 30, 2011. Therefore, no impairment charge was recorded during the three months ended September 30, 2011.</w:t>
      </w:r>
    </w:p>
    <w:p>
      <w:pPr>
        <w:spacing w:after="0" w:line="120"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During the three months ended September 30, 2011 our market capitalization declined and at times it approximated our recorded Total equity. Despite the decline, we do not believe it is more likely than not that the fair values of our reporting units have decreased below their book values. Should the recent economic uncertainty continue, our equity price decline on a sustained basis, global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economies enter into another recession and industry growth stagnates, or should we release deferred tax asset valuation allowances in certain international tax jurisdictions which could occur in the near future if additional positive evidence becomes available, the fair value of one or more of our reporting units may decrease below its book value, and future goodwill impairments that may be material could be recognized.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Ally Financial Common Stock</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At September 30, 2011 the book value of our investment in Ally Financial common stock exceeded our estimate of its fair value. Therefore, we evaluated it for impairment. An impairment charge would be recorded whenever a decline in value of an equity investment below its carrying amount is determined to be other than temporary. In determining if a decline is other than temporary we consider such factors as the length of time and extent to which the fair value of the investment has been less than the carrying amount of the equity affiliate, the near-term and longer-term operating and financial prospects of the affiliate and the intent and ability to hold the investment for a period of time sufficient to allow for any anticipated recovery. Based on our assessment, we concluded the impairment is temporary. Refer to Note 19 to our condensed consolidated financial statements for additional information on our fair value estimate of our Ally Financial common stock and our conclusion that the decline in value is temporary.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 / Valuation Allowances</w:t>
      </w:r>
    </w:p>
    <w:p>
      <w:pPr>
        <w:spacing w:after="0" w:line="171" w:lineRule="exact"/>
        <w:rPr>
          <w:sz w:val="20"/>
          <w:szCs w:val="20"/>
          <w:color w:val="auto"/>
        </w:rPr>
      </w:pPr>
    </w:p>
    <w:p>
      <w:pPr>
        <w:ind w:right="320" w:firstLine="228"/>
        <w:spacing w:after="0" w:line="306" w:lineRule="auto"/>
        <w:rPr>
          <w:sz w:val="20"/>
          <w:szCs w:val="20"/>
          <w:color w:val="auto"/>
        </w:rPr>
      </w:pPr>
      <w:r>
        <w:rPr>
          <w:rFonts w:ascii="Arial" w:cs="Arial" w:eastAsia="Arial" w:hAnsi="Arial"/>
          <w:sz w:val="16"/>
          <w:szCs w:val="16"/>
          <w:color w:val="auto"/>
        </w:rPr>
        <w:t>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26" w:lineRule="exact"/>
        <w:rPr>
          <w:sz w:val="20"/>
          <w:szCs w:val="20"/>
          <w:color w:val="auto"/>
        </w:rPr>
      </w:pPr>
    </w:p>
    <w:p>
      <w:pPr>
        <w:ind w:left="660" w:hanging="43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factors, including but not limited to:</w:t>
      </w:r>
    </w:p>
    <w:p>
      <w:pPr>
        <w:spacing w:after="0" w:line="51" w:lineRule="exact"/>
        <w:rPr>
          <w:sz w:val="20"/>
          <w:szCs w:val="20"/>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Nature, frequency, and severity of recent losses;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171"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Concluding a valuation allowance is not required is difficult when there is significant negative evidence that is objective and verifiable, such as cumulative losses in recent years. We utilize a rolling three years of actual and current year anticipated results as the primary measure of cumulative losses in recent years, as adjusted for non-recurring matters.</w:t>
      </w:r>
    </w:p>
    <w:p>
      <w:pPr>
        <w:spacing w:after="0" w:line="140"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The 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w:t>
      </w:r>
    </w:p>
    <w:p>
      <w:pPr>
        <w:spacing w:after="0" w:line="107"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Though objective and verifiable negative evidence continues to outweigh positive evidence in jurisdictions with significant valuation allowances, we are experiencing positive evidence trends in certain of these jurisdictions.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Profits generated from South Korea and Australia operations have recently overcome adjusted three-year cumulative losses. However, a number of negative evidence factors continue to affect the need for a valuation allowance in South Korea and Australia. In South Korea there remains economic and industry uncertainty and limited carryforward lives of key tax attributes. In Australia, there remains economic and industry uncertainty and a shorter history of profitability. After reviewing all factors, if additional positive evidence becomes available, we may reverse a substantial portion of our Korean and Australian valuation allowances. At September 30, 2011 deferred tax valuation allowances for South Korea and Australia were $0.7 billion and $0.4 billion.</w:t>
      </w:r>
    </w:p>
    <w:p>
      <w:pPr>
        <w:spacing w:after="0" w:line="11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U.S. and Canadian operations are also experiencing current profitability, but these operations remain in an adjusted cumulative three-year loss position at September 30, 2011. To the extent this profitability trend continues, it is reasonably possible our conclusion regarding the need for full valuation allowances could change, resulting in the reversal of some or all of the valuation allowances. At September 30, 2011 deferred tax asset valuation allowances for U.S. and Canada were $32.2 billion and $3.1 billion.</w:t>
      </w:r>
    </w:p>
    <w:p>
      <w:pPr>
        <w:spacing w:after="0" w:line="143" w:lineRule="exact"/>
        <w:rPr>
          <w:sz w:val="20"/>
          <w:szCs w:val="20"/>
          <w:color w:val="auto"/>
        </w:rPr>
      </w:pPr>
    </w:p>
    <w:p>
      <w:pPr>
        <w:jc w:val="both"/>
        <w:ind w:right="60" w:firstLine="228"/>
        <w:spacing w:after="0" w:line="254" w:lineRule="auto"/>
        <w:rPr>
          <w:sz w:val="20"/>
          <w:szCs w:val="20"/>
          <w:color w:val="auto"/>
        </w:rPr>
      </w:pPr>
      <w:r>
        <w:rPr>
          <w:rFonts w:ascii="Arial" w:cs="Arial" w:eastAsia="Arial" w:hAnsi="Arial"/>
          <w:sz w:val="18"/>
          <w:szCs w:val="18"/>
          <w:color w:val="auto"/>
        </w:rPr>
        <w:t>In a valuation allowance environment, utilization of tax attributes to offset taxable income reduces the overall level of deferred tax assets subject to valuation allowance. Additionally, our recorded effective tax rate is lower than the applicable statutory tax rate, due primarily to income earned in jurisdictions for which a full valuation allowance is recorded. Our effective tax rate will approach the statutory tax rate in periods after valuation allowances are reversed. In the quarter in which valuation allowances are released, we will record a material tax benefit reflecting the release, which could result in a negative effective tax rate. Valuation allowance releases could result in goodwill impairment. Refer to Note 9 to our condensed consolidated financial statements for additional information related to goodwill impairment charges.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 to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228"/>
        <w:spacing w:after="0" w:line="310" w:lineRule="auto"/>
        <w:rPr>
          <w:sz w:val="20"/>
          <w:szCs w:val="20"/>
          <w:color w:val="auto"/>
        </w:rPr>
      </w:pPr>
      <w:r>
        <w:rPr>
          <w:rFonts w:ascii="Arial" w:cs="Arial" w:eastAsia="Arial" w:hAnsi="Arial"/>
          <w:sz w:val="15"/>
          <w:szCs w:val="15"/>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27" w:lineRule="exact"/>
        <w:rPr>
          <w:sz w:val="20"/>
          <w:szCs w:val="20"/>
          <w:color w:val="auto"/>
        </w:rPr>
      </w:pPr>
    </w:p>
    <w:p>
      <w:pPr>
        <w:ind w:left="660" w:hanging="43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200" w:hanging="436"/>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right="660" w:hanging="43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320" w:hanging="43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ability of our suppliers to deliver parts, systems and components at such times to allow us to meet production schedules;</w:t>
      </w:r>
    </w:p>
    <w:p>
      <w:pPr>
        <w:spacing w:after="0" w:line="9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take actions we believe are important to our long-term strategy, including our ability to enter into certain material transactions outside of the ordinary course of business;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90" w:lineRule="exact"/>
        <w:rPr>
          <w:rFonts w:ascii="Arial" w:cs="Arial" w:eastAsia="Arial" w:hAnsi="Arial"/>
          <w:sz w:val="18"/>
          <w:szCs w:val="18"/>
          <w:color w:val="auto"/>
        </w:rPr>
      </w:pPr>
    </w:p>
    <w:p>
      <w:pPr>
        <w:ind w:left="660" w:right="100" w:hanging="436"/>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 which may be reduced or suspended;</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ability to develop captive financing capability, including through GM Financial;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jc w:val="both"/>
        <w:ind w:left="660" w:right="320" w:hanging="436"/>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Continued economic instability or poor economic conditions in the United States, Europe and other global markets, including the credit markets, or changes in economic conditions, commodity prices, housing prices, foreign currency exchange rates or political stability in the markets in which we operate;</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Shortages of and increases or volatility in the price of oil, including as a result of political instability in the Middle East and African nations;</w:t>
      </w:r>
    </w:p>
    <w:p>
      <w:pPr>
        <w:spacing w:after="0" w:line="113" w:lineRule="exact"/>
        <w:rPr>
          <w:rFonts w:ascii="Arial" w:cs="Arial" w:eastAsia="Arial" w:hAnsi="Arial"/>
          <w:sz w:val="16"/>
          <w:szCs w:val="16"/>
          <w:color w:val="auto"/>
        </w:rPr>
      </w:pPr>
    </w:p>
    <w:p>
      <w:pPr>
        <w:ind w:left="660" w:right="480" w:hanging="43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40" w:hanging="43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50" w:lineRule="exact"/>
        <w:rPr>
          <w:rFonts w:ascii="Arial" w:cs="Arial" w:eastAsia="Arial" w:hAnsi="Arial"/>
          <w:sz w:val="18"/>
          <w:szCs w:val="18"/>
          <w:color w:val="auto"/>
        </w:rPr>
      </w:pPr>
    </w:p>
    <w:p>
      <w:pPr>
        <w:ind w:left="660" w:right="540" w:hanging="436"/>
        <w:spacing w:after="0" w:line="357" w:lineRule="auto"/>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20" w:hanging="43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5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in our exposure to market risk since December 31, 2010. Refer to Item 7A in our 2010 Form 10-K.</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3" w:lineRule="exact"/>
        <w:rPr>
          <w:sz w:val="20"/>
          <w:szCs w:val="20"/>
          <w:color w:val="auto"/>
        </w:rPr>
      </w:pPr>
    </w:p>
    <w:p>
      <w:pPr>
        <w:jc w:val="both"/>
        <w:ind w:right="60" w:firstLine="228"/>
        <w:spacing w:after="0" w:line="256" w:lineRule="auto"/>
        <w:rPr>
          <w:sz w:val="20"/>
          <w:szCs w:val="20"/>
          <w:color w:val="auto"/>
        </w:rPr>
      </w:pPr>
      <w:r>
        <w:rPr>
          <w:rFonts w:ascii="Arial" w:cs="Arial" w:eastAsia="Arial" w:hAnsi="Arial"/>
          <w:sz w:val="18"/>
          <w:szCs w:val="18"/>
          <w:color w:val="auto"/>
        </w:rPr>
        <w:t>Our management, with the participation of our Chairman and CEO and Senior Vice President and CFO, evaluated the effectiveness of our disclosure controls and procedures (as defined in Rules 13a-15(e) or 15d-15(e) promulgated under the Exchange Act) at September 30, 2011. Based on this evaluation, our CEO and CFO concluded that, at that date, the disclosure controls and procedures required by paragraph (b) of Rules 13a-15 or 15d-15 were effective as of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7"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There have not been any changes in internal control over financial reporting during the period covered by this report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2010 Form 10-K, as updated in our Form 10-Q for the period ended March 31, 2011, and as further updated in our 10-Q for the period ended June 30, 2011. We and the other defendants affiliated with us intend to defend all of the following actions vigorously.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UAW VEBA Contribution Claim</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As previously reported, on April 6, 2010, the UAW filed suit against us in the U.S. District Court for the Eastern District of Michigan claiming that we breached an obligation to contribute $450 million to the UAW Retiree Medical Benefits Trust (New VEBA). The UAW alleges that we were required to make this contribution pursuant to the UAW-Delphi-GM Memorandum of Understanding Delphi Restructuring dated June 22, 2007 (restructuring agreement). We believe that the claim is without merit. We filed a motion in the U.S. Bankruptcy Court for the Southern District of New York asserting that the UAW’s claim is barred by the U.S. Bankruptcy Court approved 2009 UAW Retiree Settlement Agreement and by other orders issued by the U.S. Bankruptcy Court that preclude additional GM contributions to the New VEBA. We also maintain that Delphi Corporation’s bankruptcy plan of reorganization did not fulfill the applicable conditions of the restructuring agreement and that therefore payment would not be due even in the absence of the 2009 UAW Retiree Settlement Agreement. On August 23, 2011, the U.S. Bankruptcy Court issued an opinion abstaining from hearing the case, which will accordingly be litigated in U.S. District Court for the Eastern District of Michigan.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HealthCare Litigation</w:t>
      </w:r>
    </w:p>
    <w:p>
      <w:pPr>
        <w:spacing w:after="0" w:line="171" w:lineRule="exact"/>
        <w:rPr>
          <w:sz w:val="20"/>
          <w:szCs w:val="20"/>
          <w:color w:val="auto"/>
        </w:rPr>
      </w:pPr>
    </w:p>
    <w:p>
      <w:pPr>
        <w:ind w:right="100" w:firstLine="228"/>
        <w:spacing w:after="0" w:line="285" w:lineRule="auto"/>
        <w:rPr>
          <w:sz w:val="20"/>
          <w:szCs w:val="20"/>
          <w:color w:val="auto"/>
        </w:rPr>
      </w:pPr>
      <w:r>
        <w:rPr>
          <w:rFonts w:ascii="Arial" w:cs="Arial" w:eastAsia="Arial" w:hAnsi="Arial"/>
          <w:sz w:val="16"/>
          <w:szCs w:val="16"/>
          <w:color w:val="auto"/>
        </w:rPr>
        <w:t>As previously reported, in December 2009 and May 2010 in furtherance of implementing its restructuring plan and pursuant to a June 2009 agreement between General Motors of Canada Limited (GMCL) and the Canadian Auto Workers Union (CAW) to establish an independent Canadian Health Care Trust (HCT) to provide retiree healthcare benefits to certain active and retired employees, litigation commenced regarding GMCL’s right to unilaterally amend and terminate postretirement healthcare benefits. The parties reached a settlement to consensually resolve the litigation, which was approved on September 13, 2011 by the Ontario Superior Court and was approved on September 19, 2011 by the Quebec Superior Court. At September 30, 2011 the settlement was not implemented because certain conditions precedent to the settlement had not been met, including the expiration of the time period allowed for individual CAW retirees and surviving spouses to decide to opt out of participation in the class action process. GMCL is obligated to make a payment to the HCT of CAD $1.0 billion within 10 days of the HCT implementation date, October 31, 2011, which it will fund out of its CAD $1.0 billion escrow funds, adjusted for the net difference between the amount of retiree monthly contributions received during the period January 1, 2010 through the HCT implementation date less the cost of benefits paid for claims incurred by covered employees during this period and certain related costs. GMCL also provided to the HCT a CAD $800 million note payable with interest accruing at an annual rate of 7.0% starting January 1, 2010 with five equal annual installments of CAD $256 million due December 31, 2014 through 2018. In addition, GMCL will make two additional payments of CAD $130 million each on December 31, 2014 and 2015. Concurrent with the implementation of the HCT, GMCL is legally released from all obligations associated with the cost of providing retiree healthcare benefits to CAW retirees and surviving spouses bound by the class action process and to CAW active employees as of June 8, 2009.</w:t>
      </w:r>
    </w:p>
    <w:p>
      <w:pPr>
        <w:spacing w:after="0" w:line="128" w:lineRule="exact"/>
        <w:rPr>
          <w:sz w:val="20"/>
          <w:szCs w:val="20"/>
          <w:color w:val="auto"/>
        </w:rPr>
      </w:pPr>
    </w:p>
    <w:p>
      <w:pPr>
        <w:jc w:val="both"/>
        <w:ind w:right="340" w:firstLine="228"/>
        <w:spacing w:after="0" w:line="259" w:lineRule="auto"/>
        <w:rPr>
          <w:sz w:val="20"/>
          <w:szCs w:val="20"/>
          <w:color w:val="auto"/>
        </w:rPr>
      </w:pPr>
      <w:r>
        <w:rPr>
          <w:rFonts w:ascii="Arial" w:cs="Arial" w:eastAsia="Arial" w:hAnsi="Arial"/>
          <w:sz w:val="18"/>
          <w:szCs w:val="18"/>
          <w:color w:val="auto"/>
        </w:rPr>
        <w:t>In October 2011 the time period allowed for individual CAW retirees and surviving spouses to decide to opt out of participation in the class action process elapsed. The conditions precedent to the settlement have been achieved and the HCT implementation date occurred on October 31, 2011, with the transfer of escrow funds to occur in November.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Other than as discussed below, there have been no material changes to the Risk Factors disclosed in our 2010 Form 10-K. While we described each risk separately, some of these risks are interrelated and certain risks could trigger the applicability of other risks.</w:t>
      </w:r>
    </w:p>
    <w:p>
      <w:pPr>
        <w:spacing w:after="0" w:line="132"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b w:val="1"/>
          <w:bCs w:val="1"/>
          <w:i w:val="1"/>
          <w:iCs w:val="1"/>
          <w:color w:val="auto"/>
        </w:rPr>
        <w:t>Our automotive manufacturing operations are dependent upon the continued ability of our suppliers to provide us with systems, components, and parts and any disruption in our suppliers’ operations could disrupt our production schedule and adversely affect our operations.</w:t>
      </w:r>
    </w:p>
    <w:p>
      <w:pPr>
        <w:spacing w:after="0" w:line="85"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Our automotive manufacturing operations are dependent upon the continued ability of our suppliers to deliver the systems, components, and parts we need to manufacture our products. Our use of “just-in-time” manufacturing processes results in our having minimal inventories of the systems, components, and parts we need to conduct our automotive manufacturing operations. As a result, our ability to maintain production is dependent upon the continued ability of our suppliers to deliver sufficient quantities of systems, components, and parts at such times as allow us to meet our production schedules. A disruption in any of our suppliers’ operations, even if for a relatively short period of time, could cause us to alter our production schedules or suspend production entirely. For example, in March 2011 we suspended production at our Shreveport, Louisiana assembly facility due to a parts shortage resulting from the earthquake off the coast of Japan. In some instances, we purchase systems, components, parts and supplies from a single source and may be at an increased risk for supply disruptions. Where we experience supply disruptions, we may not be able to develop alternate sourcing quickly. Any disruption of our production schedule caused by an unexpected shortage of systems, components, or parts could adversely affect our financial results.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impairments could have a material non-cash adverse effect on our results of operations.</w:t>
      </w:r>
    </w:p>
    <w:p>
      <w:pPr>
        <w:spacing w:after="0" w:line="171"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We test our goodwill for impairment in the fourth quarter of each year for all reporting units, or more frequently if events occur or circumstances change that would warrant such a review. Because GME has a negative carrying amount, we test GME for goodwill impairment whenever it is more likely than not that goodwill is impaired. An impairment charge is recorded for the amount, if any, by which the carrying amount of goodwill exceeds its implied value. As discussed in Note 9 to our condensed consolidated financial statements, we believe goodwill impairment charges could occur in the future related to GME should the fair-value-to-U.S. GAAP adjustments differences decrease. Should the fair value of the GME business not increase sufficiently to offset any possible decreases in the fair-value-to-U.S. GAAP differences that gave rise to goodwill in fresh-start reporting, we could incur a goodwill impairment. Decreases in the fair-value-to-U.S. GAAP differences that could result in a goodwill impairment could occur upon: (1) a decrease in our nonperformance risk and an improvement in our incremental borrowing rates; (2) an increase in high quality corporate bond rates utilized to measure our employee benefit plan obligations; (3) a decrease in credit spreads between high quality corporate bond rates and market interest rates for companies with similar nonperformance risk; and (4) upon reversal of our deferred tax asset valuation allowances.</w:t>
      </w:r>
    </w:p>
    <w:p>
      <w:pPr>
        <w:spacing w:after="0" w:line="123"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Recently, our market capitalization has declined and at times has approximated our recorded Total equity. If, at some point in the future, it is more likely than not that the fair values of our reporting units have decreased below their book values we may have to take a goodwill impairment charge. Factors that could negatively impact the fair values of our reporting units include a continuation of the recent economic uncertainty, the possibility of global economies entering into another recession or the stagnation of industry growth. We may also release deferred tax asset valuation allowances in certain international tax jurisdictions. Such factors and events could result in future goodwill impairments that may result in material non-cash charges to our earnings and results of operations. Any such goodwill impairments will result in charges to our earnings and will have a non-cash effect on our results of operations.</w:t>
      </w:r>
    </w:p>
    <w:p>
      <w:pPr>
        <w:spacing w:after="0" w:line="12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increased fuel economy requirements and reduced greenhouse gas emissions, or changes in existing ones, may have a significant effect on how we do business.</w:t>
      </w:r>
    </w:p>
    <w:p>
      <w:pPr>
        <w:spacing w:after="0" w:line="132"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product lineup, will increase significantly in the future. In the U.S. and Europe, for example, governmental regulation is driven primarily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4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United States Corporate Average Fuel Economy (CAFE) provisions in the Energy Independence and Security Act of 2007 mandate fuel economy standards beginning in the 2011 model year that would increase to at least 35 mpg by 2020 on a combined car and truck fleet basis, a 40% increase over current levels. California is implementing AB 1493 which will require increased fuel economy. This California program has standards currently established for the 2009 model year through the 2016 model year. Fourteen additional states and the Province of Quebec have also adopted the California greenhouse gas standards.</w:t>
      </w:r>
    </w:p>
    <w:p>
      <w:pPr>
        <w:spacing w:after="0" w:line="113"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May 2009 President Obama announced his intention for the federal government to implement a harmonized federal program to regulate vehicle fuel economy and greenhouse gases. He directed the United States Environmental Protection Agency (EPA) and the United States Department of Transportation (DOT) to work together to create standards through a joint rulemaking for control of emissions of greenhouse gases and for fuel economy. In the first phase, these standards would apply to passenger cars, light-duty trucks, and medium-duty passenger vehicles built in model years 2012 through 2016. The California Air Resources Board (CARB) has agreed that compliance with EPA’s greenhouse gas standards will be deemed compliance with the California greenhouse gas standards for the 2012 through 2016 model years. The EPA and the United States National Highway Transportation Safety Administration (NHTSA), on behalf of DOT, issued their final rule to implement this new federal program in April 2010.</w:t>
      </w:r>
    </w:p>
    <w:p>
      <w:pPr>
        <w:spacing w:after="0" w:line="118" w:lineRule="exact"/>
        <w:rPr>
          <w:sz w:val="20"/>
          <w:szCs w:val="20"/>
          <w:color w:val="auto"/>
        </w:rPr>
      </w:pPr>
    </w:p>
    <w:p>
      <w:pPr>
        <w:ind w:right="120" w:firstLine="228"/>
        <w:spacing w:after="0" w:line="280" w:lineRule="auto"/>
        <w:rPr>
          <w:sz w:val="20"/>
          <w:szCs w:val="20"/>
          <w:color w:val="auto"/>
        </w:rPr>
      </w:pPr>
      <w:r>
        <w:rPr>
          <w:rFonts w:ascii="Arial" w:cs="Arial" w:eastAsia="Arial" w:hAnsi="Arial"/>
          <w:sz w:val="16"/>
          <w:szCs w:val="16"/>
          <w:color w:val="auto"/>
        </w:rPr>
        <w:t>In May 2010 President Obama requested that EPA and NHTSA, on behalf of DOT, develop a coordinated national program to regulate the fuel economy and greenhouse gases of cars and trucks in the 2017 through 2025 model years. The President also directed the agencies to work with CARB to develop a technical assessment to inform the rulemaking process. In September 2010, EPA and NHTSA released a Notice of Intent to begin development of the 2017 through 2025 standards and also released an Interim Joint Technical Assessment Report prepared in cooperation with CARB. A Supplemental Notice of Intent was issued in November 2010 in response to comments received by the agencies on the first Notice of Intent and the Interim Joint Technical Assessment Report. Following further assessment and review, the agencies released another Supplemental Notice of Intent on July 29, 2011 in which EPA and NHTSA described their intent to propose separate but harmonized standards that would be footprint-based, like the current standards set through the 2016 model year, and that would become more stringent each year from 2017 through 2025. EPA projects that its proposed standards would achieve an average industry fleet of 163 grams/mile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in the 2025 model year, which would be the equivalent of 54.5 mpg if all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emissions reduction came from fuel economy technology. NHTSA intends to propose standards that would require an average industry fleet fuel economy of 49.6 mpg in the 2025 model year. NHTSA’s proposed increase to 49.6 mpg is lower than EPA’s projected 54.5 mpg equivalent due to the need to harmonize the two sets of standards and due to statutory constraints on NHTSA’s authority to set standards. Both agencies intend to propose various flexibilities to incentivize early adoption and introduction of advanced technologies that are anticipated to help manufacturers achieve these standards.</w:t>
      </w:r>
    </w:p>
    <w:p>
      <w:pPr>
        <w:spacing w:after="0" w:line="127"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On July 29, 2011 we signed a letter of commitment stating our support for the proposal and adoption of harmonized national standards for the 2017 through 2025 model years. Similar commitment letters were signed by other major original equipment manufacturers and by CARB. Our commitment letter commits us to not contest the final standards established by federal rulemaking and by CARB for the 2017 through 2025 model years if: (1) EPA and NHTSA propose and ultimately adopt standards substantially as described in the July 2011 Supplemental Notice of Intent, but with necessary technical corrections and any non-substantive refinements, and (2) if CARB adopts standards such that compliance with the federal standards will be deemed compliance with the California standards in a manner binding as well on states that adopted California standards. An important element of the proposed national program will be a comprehensive mid-term review of the new standards, which will be completed by April 2018, and which may lead to standards for the 2022 through 2025 model years different than originally proposed. By September 30, 2011, EPA, NHTSA and CARB are expected to propose their respective regulatory requirements to implement the 2017 through 2025 national program. Rulemaking is expected to be completed in July 2012.</w:t>
      </w:r>
    </w:p>
    <w:p>
      <w:pPr>
        <w:spacing w:after="0" w:line="120"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We have committed to work with EPA, the NHTSA, the states, and other stakeholders in support of a strong national program to reduce oil consumption and address global climate 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are committed to meeting or exceeding these regulatory requirements, and our product plan of record projects compliance with the anticipated federal program through the 2021 model year. The standards for the 2022 through 2025 model years may differ from the levels proposed as a result of the mid-term review. Therefore, we believe it is premature to project compliance with possible standards for those years. We expect that to comply with these standards we will be required to sell a significant volume of hybrid or electrically powered vehicles throughout the U.S.,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57" w:lineRule="exact"/>
        <w:rPr>
          <w:sz w:val="20"/>
          <w:szCs w:val="20"/>
          <w:color w:val="auto"/>
        </w:rPr>
      </w:pPr>
    </w:p>
    <w:p>
      <w:pPr>
        <w:ind w:firstLine="228"/>
        <w:spacing w:after="0" w:line="318" w:lineRule="auto"/>
        <w:rPr>
          <w:sz w:val="20"/>
          <w:szCs w:val="20"/>
          <w:color w:val="auto"/>
        </w:rPr>
      </w:pPr>
      <w:r>
        <w:rPr>
          <w:rFonts w:ascii="Arial" w:cs="Arial" w:eastAsia="Arial" w:hAnsi="Arial"/>
          <w:sz w:val="15"/>
          <w:szCs w:val="15"/>
          <w:color w:val="auto"/>
        </w:rPr>
        <w:t>The European Union (EU) passed legislation, effective in April 2009 to begin regulating vehicle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emissions beginning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02"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Other governments around the world, such as Canada, South Korea, and China are also creating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7" w:lineRule="exact"/>
        <w:rPr>
          <w:sz w:val="20"/>
          <w:szCs w:val="20"/>
          <w:color w:val="auto"/>
        </w:rPr>
      </w:pPr>
    </w:p>
    <w:p>
      <w:pPr>
        <w:ind w:right="20" w:firstLine="228"/>
        <w:spacing w:after="0" w:line="312" w:lineRule="auto"/>
        <w:rPr>
          <w:sz w:val="20"/>
          <w:szCs w:val="20"/>
          <w:color w:val="auto"/>
        </w:rPr>
      </w:pPr>
      <w:r>
        <w:rPr>
          <w:rFonts w:ascii="Arial" w:cs="Arial" w:eastAsia="Arial" w:hAnsi="Arial"/>
          <w:sz w:val="15"/>
          <w:szCs w:val="15"/>
          <w:color w:val="auto"/>
        </w:rPr>
        <w:t>On September 30, 2011 we awarded an aggregate of 651,000 restricted stock units (RSUs) to global executives pursuant to our Salary Stock Plan as amended on October 5, 2010 (GMSSP). Each RSU under the GMSSP is the economic equivalent of one share of our common stock. The RSUs do not have an expiration or exercise date or carry a conversion or exercise price. The awards will be settled in 12 equal, quarterly installments beginning on September 30, 2012. Each RSU is fully vested and presents the right to receive one share of our common stock on the applicable settlement date. Under the GMSSP, the fair value of our common stock is the average of the high and low trading prices for our common stock as reported on the New York Stock Exchange, on which our common stock is listed, on the date of the transaction. The securities described in this paragraph were issued pursuant to written compensatory plans or arrangements with our employees in reliance on the exemption provided by Section 4(2) of the Securities Act of 1933. There were no proceeds associated with these awards.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Name</w:t>
            </w:r>
          </w:p>
        </w:tc>
        <w:tc>
          <w:tcPr>
            <w:tcW w:w="34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22"/>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Section 302 Certification of the Chief Executive Officer</w:t>
            </w:r>
          </w:p>
        </w:tc>
        <w:tc>
          <w:tcPr>
            <w:tcW w:w="2280" w:type="dxa"/>
            <w:vAlign w:val="bottom"/>
          </w:tcPr>
          <w:p>
            <w:pPr>
              <w:ind w:left="400"/>
              <w:spacing w:after="0"/>
              <w:rPr>
                <w:sz w:val="20"/>
                <w:szCs w:val="20"/>
                <w:color w:val="auto"/>
              </w:rPr>
            </w:pPr>
            <w:r>
              <w:rPr>
                <w:rFonts w:ascii="Arial" w:cs="Arial" w:eastAsia="Arial" w:hAnsi="Arial"/>
                <w:sz w:val="18"/>
                <w:szCs w:val="18"/>
                <w:color w:val="auto"/>
              </w:rPr>
              <w:t>Filed Herewith</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Section 302 Certification of the Chief Financial Officer</w:t>
            </w:r>
          </w:p>
        </w:tc>
        <w:tc>
          <w:tcPr>
            <w:tcW w:w="2280" w:type="dxa"/>
            <w:vAlign w:val="bottom"/>
          </w:tcPr>
          <w:p>
            <w:pPr>
              <w:ind w:left="400"/>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of the Chief Executive Officer Pursuant to 18 U.S.C. Section 1350, As Adopted Pursuant to</w:t>
            </w:r>
          </w:p>
        </w:tc>
        <w:tc>
          <w:tcPr>
            <w:tcW w:w="2280" w:type="dxa"/>
            <w:vAlign w:val="bottom"/>
          </w:tcPr>
          <w:p>
            <w:pPr>
              <w:ind w:left="4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c>
          <w:tcPr>
            <w:tcW w:w="2280" w:type="dxa"/>
            <w:vAlign w:val="bottom"/>
          </w:tcPr>
          <w:p>
            <w:pPr>
              <w:spacing w:after="0"/>
              <w:rPr>
                <w:sz w:val="19"/>
                <w:szCs w:val="19"/>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w:t>
            </w:r>
          </w:p>
        </w:tc>
        <w:tc>
          <w:tcPr>
            <w:tcW w:w="2280" w:type="dxa"/>
            <w:vAlign w:val="bottom"/>
          </w:tcPr>
          <w:p>
            <w:pPr>
              <w:ind w:left="40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Section 906 of the Sarbanes-Oxley Act of 2002</w:t>
            </w:r>
          </w:p>
        </w:tc>
        <w:tc>
          <w:tcPr>
            <w:tcW w:w="2280" w:type="dxa"/>
            <w:vAlign w:val="bottom"/>
          </w:tcPr>
          <w:p>
            <w:pPr>
              <w:spacing w:after="0"/>
              <w:rPr>
                <w:sz w:val="19"/>
                <w:szCs w:val="19"/>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General Motors Executive Retirement Plan as Amended July 1, 2011</w:t>
            </w:r>
          </w:p>
        </w:tc>
        <w:tc>
          <w:tcPr>
            <w:tcW w:w="2280" w:type="dxa"/>
            <w:vAlign w:val="bottom"/>
          </w:tcPr>
          <w:p>
            <w:pPr>
              <w:ind w:left="400"/>
              <w:spacing w:after="0"/>
              <w:rPr>
                <w:sz w:val="20"/>
                <w:szCs w:val="20"/>
                <w:color w:val="auto"/>
              </w:rPr>
            </w:pPr>
            <w:r>
              <w:rPr>
                <w:rFonts w:ascii="Arial" w:cs="Arial" w:eastAsia="Arial" w:hAnsi="Arial"/>
                <w:sz w:val="18"/>
                <w:szCs w:val="18"/>
                <w:color w:val="auto"/>
              </w:rPr>
              <w:t>Filed Herewith</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94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2280" w:type="dxa"/>
            <w:vAlign w:val="bottom"/>
          </w:tcPr>
          <w:p>
            <w:pPr>
              <w:ind w:left="400"/>
              <w:spacing w:after="0"/>
              <w:rPr>
                <w:sz w:val="20"/>
                <w:szCs w:val="20"/>
                <w:color w:val="auto"/>
              </w:rPr>
            </w:pPr>
            <w:r>
              <w:rPr>
                <w:rFonts w:ascii="Arial" w:cs="Arial" w:eastAsia="Arial" w:hAnsi="Arial"/>
                <w:sz w:val="18"/>
                <w:szCs w:val="18"/>
                <w:color w:val="auto"/>
                <w:w w:val="88"/>
              </w:rPr>
              <w:t>Furnished with this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Submitted electronically with this Report</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(Nick S. Cyprus, Vice President,</w:t>
      </w:r>
    </w:p>
    <w:p>
      <w:pPr>
        <w:ind w:left="7240"/>
        <w:spacing w:after="0"/>
        <w:rPr>
          <w:sz w:val="20"/>
          <w:szCs w:val="20"/>
          <w:color w:val="auto"/>
        </w:rPr>
      </w:pPr>
      <w:r>
        <w:rPr>
          <w:rFonts w:ascii="Arial" w:cs="Arial" w:eastAsia="Arial" w:hAnsi="Arial"/>
          <w:sz w:val="14"/>
          <w:szCs w:val="14"/>
          <w:color w:val="auto"/>
        </w:rPr>
        <w:t>Controller and Chief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Name</w:t>
            </w:r>
          </w:p>
        </w:tc>
        <w:tc>
          <w:tcPr>
            <w:tcW w:w="33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22"/>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Section 302 Certification of the Chief Executive Officer</w:t>
            </w:r>
          </w:p>
        </w:tc>
        <w:tc>
          <w:tcPr>
            <w:tcW w:w="2240" w:type="dxa"/>
            <w:vAlign w:val="bottom"/>
          </w:tcPr>
          <w:p>
            <w:pPr>
              <w:ind w:left="360"/>
              <w:spacing w:after="0"/>
              <w:rPr>
                <w:sz w:val="20"/>
                <w:szCs w:val="20"/>
                <w:color w:val="auto"/>
              </w:rPr>
            </w:pPr>
            <w:r>
              <w:rPr>
                <w:rFonts w:ascii="Arial" w:cs="Arial" w:eastAsia="Arial" w:hAnsi="Arial"/>
                <w:sz w:val="18"/>
                <w:szCs w:val="18"/>
                <w:color w:val="auto"/>
              </w:rPr>
              <w:t>Filed Herewith</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Section 302 Certification of the Chief Financial Officer</w:t>
            </w:r>
          </w:p>
        </w:tc>
        <w:tc>
          <w:tcPr>
            <w:tcW w:w="2240" w:type="dxa"/>
            <w:vAlign w:val="bottom"/>
          </w:tcPr>
          <w:p>
            <w:pPr>
              <w:ind w:left="360"/>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w:t>
            </w:r>
          </w:p>
        </w:tc>
        <w:tc>
          <w:tcPr>
            <w:tcW w:w="2240" w:type="dxa"/>
            <w:vAlign w:val="bottom"/>
          </w:tcPr>
          <w:p>
            <w:pPr>
              <w:ind w:left="36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2240" w:type="dxa"/>
            <w:vAlign w:val="bottom"/>
          </w:tcPr>
          <w:p>
            <w:pPr>
              <w:spacing w:after="0"/>
              <w:rPr>
                <w:sz w:val="19"/>
                <w:szCs w:val="19"/>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w:t>
            </w:r>
          </w:p>
        </w:tc>
        <w:tc>
          <w:tcPr>
            <w:tcW w:w="2240" w:type="dxa"/>
            <w:vAlign w:val="bottom"/>
          </w:tcPr>
          <w:p>
            <w:pPr>
              <w:ind w:left="36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2240" w:type="dxa"/>
            <w:vAlign w:val="bottom"/>
          </w:tcPr>
          <w:p>
            <w:pPr>
              <w:spacing w:after="0"/>
              <w:rPr>
                <w:sz w:val="19"/>
                <w:szCs w:val="19"/>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General Motors Executive Retirement Plan as Amended July 1, 2011</w:t>
            </w:r>
          </w:p>
        </w:tc>
        <w:tc>
          <w:tcPr>
            <w:tcW w:w="2240" w:type="dxa"/>
            <w:vAlign w:val="bottom"/>
          </w:tcPr>
          <w:p>
            <w:pPr>
              <w:ind w:left="360"/>
              <w:spacing w:after="0"/>
              <w:rPr>
                <w:sz w:val="20"/>
                <w:szCs w:val="20"/>
                <w:color w:val="auto"/>
              </w:rPr>
            </w:pPr>
            <w:r>
              <w:rPr>
                <w:rFonts w:ascii="Arial" w:cs="Arial" w:eastAsia="Arial" w:hAnsi="Arial"/>
                <w:sz w:val="18"/>
                <w:szCs w:val="18"/>
                <w:color w:val="auto"/>
              </w:rPr>
              <w:t>Filed Herewith</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240" w:type="dxa"/>
            <w:vAlign w:val="bottom"/>
          </w:tcPr>
          <w:p>
            <w:pPr>
              <w:ind w:left="360"/>
              <w:spacing w:after="0"/>
              <w:rPr>
                <w:sz w:val="20"/>
                <w:szCs w:val="20"/>
                <w:color w:val="auto"/>
              </w:rPr>
            </w:pPr>
            <w:r>
              <w:rPr>
                <w:rFonts w:ascii="Arial" w:cs="Arial" w:eastAsia="Arial" w:hAnsi="Arial"/>
                <w:sz w:val="18"/>
                <w:szCs w:val="18"/>
                <w:color w:val="auto"/>
                <w:w w:val="88"/>
              </w:rPr>
              <w:t>Furnished with this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Submitted electronically with this Report</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240" w:top="459" w:right="6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171" w:lineRule="exact"/>
        <w:rPr>
          <w:sz w:val="20"/>
          <w:szCs w:val="20"/>
          <w:color w:val="auto"/>
        </w:rPr>
      </w:pPr>
    </w:p>
    <w:p>
      <w:pPr>
        <w:ind w:left="420" w:hanging="184"/>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171" w:lineRule="exact"/>
        <w:rPr>
          <w:sz w:val="20"/>
          <w:szCs w:val="20"/>
          <w:color w:val="auto"/>
        </w:rPr>
      </w:pPr>
    </w:p>
    <w:p>
      <w:pPr>
        <w:ind w:left="420" w:hanging="184"/>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September 30,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2011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2011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117475</wp:posOffset>
            </wp:positionV>
            <wp:extent cx="1492250" cy="14922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9225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GENERAL MOTORS LLC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General Motors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Executive Retirement Plan</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With Modifications through July 1, 2011</w:t>
      </w:r>
    </w:p>
    <w:p>
      <w:pPr>
        <w:sectPr>
          <w:pgSz w:w="11900" w:h="16838" w:orient="portrait"/>
          <w:cols w:equalWidth="0" w:num="1">
            <w:col w:w="10220"/>
          </w:cols>
          <w:pgMar w:left="1440" w:top="125" w:right="2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General Motors Executive Retirement Plan (ERP) (the Plan) is an unfunded, nonqualified deferred compensation plan. The Plan is structured to qualify for certain exemptions from the eligibility, funding and other requirements of the Employee Retirement Income Security Act of 1974 (ERISA) and, further, ERP benefits are computed without regard to compensation limits imposed under the Internal Revenue Code.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b w:val="1"/>
          <w:bCs w:val="1"/>
          <w:u w:val="single" w:color="auto"/>
          <w:color w:val="auto"/>
        </w:rPr>
        <w:t>Purpose; Administration; and Effective Date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 </w:t>
      </w:r>
      <w:r>
        <w:rPr>
          <w:rFonts w:ascii="Arial" w:cs="Arial" w:eastAsia="Arial" w:hAnsi="Arial"/>
          <w:sz w:val="18"/>
          <w:szCs w:val="18"/>
          <w:b w:val="1"/>
          <w:bCs w:val="1"/>
          <w:u w:val="single" w:color="auto"/>
          <w:color w:val="auto"/>
        </w:rPr>
        <w:t>Purpose of the Plan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purpose of the General Motors Executive Retirement Plan (the Plan) is to help provide eligible retiring salaried executive employees of General Motors LLC (“the Company”), and certain executive employees of General Motors Investment Management Co. (GMIMCo, formerly Promark), GM Global Steering Holdings LLC, and GM Components Holdings, an overall level of monthly retirement benefits, or lump sum distributions of account balances, which are competitive with the benefits provided executives retiring from or ending careers with other major U.S. industrial companies based on years of employment. Eligible active executive level employees, former executive level employees who on or after January 1, 2007 were reduced to a classified position after having obtained the age of 55 and 10 years of eligible service, and former executive level employees who, in each case, have separated from service and are otherwise eligible, shall be referred to herein as “Participants.” The Company, GMIMCo, GM Global Steering Holdings LLC, and GM Components Holdings are collectively referred to as “GM.” “GMIMCo” and “GMAM” are used interchangeably. The monthly retirement benefits determined under the tax-qualified General Motors Retirement Program for Salaried Employees (hereinafter referred to as the “Retirement Program”), or account balances determined under the tax-qualified Retirement Savings Plan (hereinafter referred to as the “RSP” and formerly known as the Savings-Stock Purchase Program S-SPP), plus any benefits payable under certain other GM-provided benefit programs, may be supplemented by benefits provided under the formulas of the Plan. It is intended that the Plan, in relevant part, qualify as an “excess benefit plan” under Section 3(36) of ERISA and, in relevant part, as a plan “providing deferred compensation for a select group of management or highly compensated employees” under Section 201(2) of ERISA.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7" w:name="page118"/>
    <w:bookmarkEnd w:id="117"/>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Section I.</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Plan also provides benefits, but only to the extent required, pursuant to (1) the Amended and Restated Master Sale and Purchase Agreement, dated as of June 26, 2009 (as amended,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 (2) the Order (I) Authorizing Sale of Assets Pursuant to Amended and Restated Master Purchase Agreement with NGMCO, Inc., a U.S. Treasury-Sponsored Purchaser; (II) Authorizing Assumption and Assignment of Certain Executory Contracts and Unexpired Leases in Connection with the Sale; and (III) Granting Related Relief, entered on July 5, 2009 (D.I. 2968) (the “</w:t>
      </w:r>
      <w:r>
        <w:rPr>
          <w:rFonts w:ascii="Arial" w:cs="Arial" w:eastAsia="Arial" w:hAnsi="Arial"/>
          <w:sz w:val="16"/>
          <w:szCs w:val="16"/>
          <w:u w:val="single" w:color="auto"/>
          <w:color w:val="auto"/>
        </w:rPr>
        <w:t>Sale Order</w:t>
      </w:r>
      <w:r>
        <w:rPr>
          <w:rFonts w:ascii="Arial" w:cs="Arial" w:eastAsia="Arial" w:hAnsi="Arial"/>
          <w:sz w:val="16"/>
          <w:szCs w:val="16"/>
          <w:color w:val="auto"/>
        </w:rPr>
        <w:t>”), to certain individuals who were never Company employees but who retired from General Motors Corporation (hereinafter referred to as the “Corporation”), General Motors Acceptance Corporation (GMAC) and Promark, formerly known as General Motors Asset Management (GMAM) (hereinafter referred to collectively as the “Corporation and its Related Companies”).</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274" w:right="5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II. </w:t>
      </w:r>
      <w:r>
        <w:rPr>
          <w:rFonts w:ascii="Arial" w:cs="Arial" w:eastAsia="Arial" w:hAnsi="Arial"/>
          <w:sz w:val="18"/>
          <w:szCs w:val="18"/>
          <w:b w:val="1"/>
          <w:bCs w:val="1"/>
          <w:u w:val="single" w:color="auto"/>
          <w:color w:val="auto"/>
        </w:rPr>
        <w:t>Administration of the Plan</w:t>
      </w:r>
    </w:p>
    <w:p>
      <w:pPr>
        <w:spacing w:after="0" w:line="96" w:lineRule="exact"/>
        <w:rPr>
          <w:sz w:val="20"/>
          <w:szCs w:val="20"/>
          <w:color w:val="auto"/>
        </w:rPr>
      </w:pPr>
    </w:p>
    <w:p>
      <w:pPr>
        <w:ind w:left="900" w:right="7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Plan shall at all times be maintained, considered, and administered as a non-qualified plan that is wholly separate and distinct from the Retirement Program and the RSP.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Benefits under the Plan are not guaranteed.</w:t>
      </w:r>
    </w:p>
    <w:p>
      <w:pPr>
        <w:spacing w:after="0" w:line="9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is the Plan Administrator. The Plan Administrator has discretionary authority to construe, interpret, apply, and administer the Plan and serves as the first step of the Plan appeal process. Any and all decisions of the Plan Administrator as to interpretation or application of the Plan shall be given full force and effect unless it is proven that the interpretation or determination was arbitrary and capricious.</w:t>
      </w:r>
    </w:p>
    <w:p>
      <w:pPr>
        <w:spacing w:after="0" w:line="25"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Plan Administrator shall have the full power to engage and employ such legal, actuarial, auditing, tax, and other such agents, as it shall, in its sole discretion, deem to be in the best interest of the Company, the Plan, and its Participants and beneficiaries.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expenses of administering the Plan are borne by the Company and are not charged against its Participants and beneficiaries.</w:t>
      </w:r>
    </w:p>
    <w:p>
      <w:pPr>
        <w:spacing w:after="0" w:line="90"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Various aspects of Plan administration have been delegated to the Plan recordkeeper selected by the Plan Administrator. In carrying out its delegated responsibilities, the Plan recordkeeper shall have discretionary authority to construe, interpret, apply, and administer the Plan provisions. The discretionary authority delegated to the Plan recordkeeper shall, however, be limited to the Plan terms relevant to its delegated responsibilities and shall not permit the Plan recordkeeper to render a determination or to make any representation concerning benefits which are not provided by the express terms of the Plan. The Plan recordkeeper’s actions shall be given full force and effect unless determined by the Plan Administrator to be contrary to the Plan provisions or arbitrary and capricious.</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purposes of the Plan, a Plan Year shall mean the 12-month period beginning January 1 and ending December 31.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III. </w:t>
      </w:r>
      <w:r>
        <w:rPr>
          <w:rFonts w:ascii="Arial" w:cs="Arial" w:eastAsia="Arial" w:hAnsi="Arial"/>
          <w:sz w:val="18"/>
          <w:szCs w:val="18"/>
          <w:b w:val="1"/>
          <w:bCs w:val="1"/>
          <w:u w:val="single" w:color="auto"/>
          <w:color w:val="auto"/>
        </w:rPr>
        <w:t>Effective Date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established the Supplemental Executive Retirement Program (“SERP”) under Article II of the Plan effective December 1, 1985. The Plan had been amended from time to time prior to the Company becoming the sponsor of it. Effective January 1, 2007, the name of the Plan was changed from the SERP to the “Executive Retirement Plan (ERP)”. The terms and conditions of the ERP are set forth in Article II. ERP benefits for service through December 31, 2006 were frozen as described in Article II, Section II and Section III and new benefit formulas for service on and after January 1, 2007 were adopted, as described in Article II, Section IV and Section V.</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Benefits payable under Article II, Sections II, III, and IV (Regular Formula SERP, Alternative Formula SERP, and 1.25% Career Average Pay Benefits, respectively) shall hereinafter be referred to as the “DB ERP” portion of the Plan. With respect to DB ERP, benefits are not based on notional contributions to, or related gains or losses in, any notional individual investment account or fund identified in Article III, Section II.</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Effective January 1, 2007, the Benefit Equalization Plan (BEP) was merged into the Plan, the terms and conditions of which are set forth in Article III. Benefits payable under the individual account portion of the Plan under Article II, Section V, Article III, and Article IV (4% Defined Contribution Benefits, Excess Benefits, and Discretionary Awards, respectively) shall hereinafter be referred to as the “DC ERP” portion of the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became the sponsor of the Plan, subject to the conditions and releases identified in the Purchase Agreement and Sale Order.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0" w:name="page121"/>
    <w:bookmarkEnd w:id="12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 Section IV. </w:t>
      </w:r>
      <w:r>
        <w:rPr>
          <w:rFonts w:ascii="Arial" w:cs="Arial" w:eastAsia="Arial" w:hAnsi="Arial"/>
          <w:sz w:val="18"/>
          <w:szCs w:val="18"/>
          <w:b w:val="1"/>
          <w:bCs w:val="1"/>
          <w:u w:val="single" w:color="auto"/>
          <w:color w:val="auto"/>
        </w:rPr>
        <w:t>Individuals Not Eligible; Suspensions; and Normal Retirement Age</w:t>
      </w:r>
    </w:p>
    <w:p>
      <w:pPr>
        <w:spacing w:after="0" w:line="96" w:lineRule="exact"/>
        <w:rPr>
          <w:sz w:val="20"/>
          <w:szCs w:val="20"/>
          <w:color w:val="auto"/>
        </w:rPr>
      </w:pPr>
    </w:p>
    <w:p>
      <w:pPr>
        <w:ind w:left="900" w:right="36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following classes of individuals are ineligible to participate in the Plan regardless of any other Plan terms to the contrary, and regardless of whether the individual is or was a common-law employee of GM or the Corporation and its Related Companies:</w:t>
      </w:r>
    </w:p>
    <w:p>
      <w:pPr>
        <w:spacing w:after="0" w:line="4" w:lineRule="exact"/>
        <w:rPr>
          <w:rFonts w:ascii="Arial" w:cs="Arial" w:eastAsia="Arial" w:hAnsi="Arial"/>
          <w:sz w:val="16"/>
          <w:szCs w:val="16"/>
          <w:color w:val="auto"/>
        </w:rPr>
      </w:pPr>
    </w:p>
    <w:p>
      <w:pPr>
        <w:jc w:val="both"/>
        <w:ind w:left="1480" w:right="240" w:hanging="567"/>
        <w:spacing w:after="0" w:line="259"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individual who provides services to GM or the Corporation and its Related Companies where there is an agreement with a separate company under which the services are provided. Such individuals are commonly referred to by the Company as “contract employees” or “bundled-services employees;”</w:t>
      </w:r>
    </w:p>
    <w:p>
      <w:pPr>
        <w:spacing w:after="0" w:line="59"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individual who has signed an independent contractor agreement, consulting agreement, or other similar personal services contract with GM or the Corporation and its Related Companies, and;</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individual that the Company, in good faith, classifies as an independent contractor, consultant, contract employee, or bundled-services employee during the period the individual is so classified by the Company.</w:t>
      </w:r>
    </w:p>
    <w:p>
      <w:pPr>
        <w:spacing w:after="0" w:line="13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b w:val="1"/>
          <w:bCs w:val="1"/>
          <w:i w:val="1"/>
          <w:iCs w:val="1"/>
          <w:color w:val="auto"/>
        </w:rPr>
        <w:t>The purpose of Section IV (a) is to exclude from participation in the Plan all persons who actually may be common-law employees of GM or the Corporation and its Related Companies, but are not paid as though they are employees of such company regardless of the reason they are excluded from the payroll, and regardless of whether the exclusion is correct.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4"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Section IV. (b)</w:t>
      </w:r>
    </w:p>
    <w:p>
      <w:pPr>
        <w:spacing w:after="0" w:line="96" w:lineRule="exact"/>
        <w:rPr>
          <w:sz w:val="20"/>
          <w:szCs w:val="20"/>
          <w:color w:val="auto"/>
        </w:rPr>
      </w:pPr>
    </w:p>
    <w:p>
      <w:pPr>
        <w:ind w:left="900" w:hanging="446"/>
        <w:spacing w:after="0" w:line="290"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the provisions of this Section IV, vested benefits will be suspended or forfeited if an executive employee, retired executive employee, or retired eligible employee, if any, does not satisfy the conditions precedent that such employee: (i) refrain from engaging in any activity which, in the opinion of the Executive Compensation Committee of the General Motors Company Board of Directors, is in any manner inimical or in any way contrary to the best interests of the Company, (ii) will not, for a period of 12 months following any termination of employment, directly or indirectly, knowingly induce any employee or employee of an affiliate of the Company to leave their employment for participation, directly or indirectly, with any existing or future business venture associated with such individual, and (iii) furnish to the Company such information with respect to the satisfaction of the foregoing conditions precedent as the Committee shall reasonably request.</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Normal Retirement Age (NRA) is 65.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b w:val="1"/>
          <w:bCs w:val="1"/>
          <w:u w:val="single" w:color="auto"/>
          <w:color w:val="auto"/>
        </w:rPr>
        <w:t>Executive Retirement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Section I. </w:t>
      </w:r>
      <w:r>
        <w:rPr>
          <w:rFonts w:ascii="Arial" w:cs="Arial" w:eastAsia="Arial" w:hAnsi="Arial"/>
          <w:sz w:val="18"/>
          <w:szCs w:val="18"/>
          <w:b w:val="1"/>
          <w:bCs w:val="1"/>
          <w:u w:val="single" w:color="auto"/>
          <w:color w:val="auto"/>
        </w:rPr>
        <w:t>Eligibility and Vesting</w:t>
      </w:r>
    </w:p>
    <w:p>
      <w:pPr>
        <w:spacing w:after="0" w:line="9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Participant shall be eligible for vested benefits under the Plan on the first date the Participant satisfies the requirements set forth in Section I (b),</w:t>
      </w:r>
    </w:p>
    <w:p>
      <w:pPr>
        <w:spacing w:after="0" w:line="38" w:lineRule="exact"/>
        <w:rPr>
          <w:rFonts w:ascii="Arial" w:cs="Arial" w:eastAsia="Arial" w:hAnsi="Arial"/>
          <w:sz w:val="16"/>
          <w:szCs w:val="16"/>
          <w:color w:val="auto"/>
        </w:rPr>
      </w:pPr>
    </w:p>
    <w:p>
      <w:pPr>
        <w:ind w:left="1140" w:hanging="241"/>
        <w:spacing w:after="0"/>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and (d), respectively.</w:t>
      </w:r>
    </w:p>
    <w:p>
      <w:pPr>
        <w:spacing w:after="0" w:line="8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II or III of this Article, payable upon separation from service, an executive employee must meet the following requirements:</w:t>
      </w:r>
    </w:p>
    <w:p>
      <w:pPr>
        <w:spacing w:after="0" w:line="50" w:lineRule="exact"/>
        <w:rPr>
          <w:rFonts w:ascii="Arial" w:cs="Arial" w:eastAsia="Arial" w:hAnsi="Arial"/>
          <w:sz w:val="18"/>
          <w:szCs w:val="18"/>
          <w:color w:val="auto"/>
        </w:rPr>
      </w:pPr>
    </w:p>
    <w:p>
      <w:pPr>
        <w:ind w:left="1480" w:right="40" w:hanging="567"/>
        <w:spacing w:after="0" w:line="298" w:lineRule="auto"/>
        <w:tabs>
          <w:tab w:leader="none" w:pos="1480" w:val="left"/>
        </w:tabs>
        <w:numPr>
          <w:ilvl w:val="2"/>
          <w:numId w:val="85"/>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the Company or GMIMCo or U.S. International Service Personnel executive employee as of December 31, 2006 (appointments on or after January 1, 2007 are ineligible for benefits under Section II or III) or be a Regular Active or Flexible Service U.S. executive employee of GMAC or U.S. International Service Personnel executive employee of GMAC as of November 30, 2006 (appointments on or after December 1, 2006 are ineligible for benefits under Section II or III); and</w:t>
      </w:r>
    </w:p>
    <w:p>
      <w:pPr>
        <w:spacing w:after="0" w:line="31" w:lineRule="exact"/>
        <w:rPr>
          <w:rFonts w:ascii="Arial" w:cs="Arial" w:eastAsia="Arial" w:hAnsi="Arial"/>
          <w:sz w:val="16"/>
          <w:szCs w:val="16"/>
          <w:color w:val="auto"/>
        </w:rPr>
      </w:pPr>
    </w:p>
    <w:p>
      <w:pPr>
        <w:ind w:left="1480" w:hanging="567"/>
        <w:spacing w:after="0" w:line="268" w:lineRule="auto"/>
        <w:tabs>
          <w:tab w:leader="none" w:pos="14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GM or the Corporation and its Related Companies or U.S. International Service Personnel executive employee; and</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Have at least 10 years of combined Part B Retirement Program credited service, Part C Retirement Program credited service and credited service accrued on and after January 1, 2007 as determined under the Retirement Program;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Be at least 55 years old.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IV of this Article, payable upon separation from service, an employee must meet the following requirements:</w:t>
      </w:r>
    </w:p>
    <w:p>
      <w:pPr>
        <w:spacing w:after="0" w:line="50" w:lineRule="exact"/>
        <w:rPr>
          <w:rFonts w:ascii="Arial" w:cs="Arial" w:eastAsia="Arial" w:hAnsi="Arial"/>
          <w:sz w:val="18"/>
          <w:szCs w:val="18"/>
          <w:color w:val="auto"/>
        </w:rPr>
      </w:pPr>
    </w:p>
    <w:p>
      <w:pPr>
        <w:ind w:left="1480" w:right="620" w:hanging="567"/>
        <w:spacing w:after="0" w:line="332" w:lineRule="auto"/>
        <w:tabs>
          <w:tab w:leader="none" w:pos="1480" w:val="left"/>
        </w:tabs>
        <w:numPr>
          <w:ilvl w:val="2"/>
          <w:numId w:val="85"/>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GM or the Corporation or U.S. International Service Personnel executive employee on or after January 1, 2007 with a length of service date prior to January 1, 2001;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23" w:name="page124"/>
    <w:bookmarkEnd w:id="12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 (c) (2)</w:t>
      </w:r>
    </w:p>
    <w:p>
      <w:pPr>
        <w:spacing w:after="0" w:line="96" w:lineRule="exact"/>
        <w:rPr>
          <w:sz w:val="20"/>
          <w:szCs w:val="20"/>
          <w:color w:val="auto"/>
        </w:rPr>
      </w:pPr>
    </w:p>
    <w:p>
      <w:pPr>
        <w:ind w:left="1480" w:right="580" w:hanging="567"/>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GM or the Corporation or U.S. International Service Personnel executive employee; and</w:t>
      </w:r>
    </w:p>
    <w:p>
      <w:pPr>
        <w:spacing w:after="0" w:line="5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Have at least 10 years of combined Part B Retirement Program credited service and credited service accrued on and after January 1, 2007 as determined under the Retirement Program. In cases of GM executives who are transferred from a foreign subsidiary on and after January 1, 2007, active service prior to the date of transfer as recognized under the Retirement Program is counted under the Plan for eligibility and vesting, but not for benefit accrual; and</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Be at least 55 years old.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be eligible for a vested benefit under Section V of this Article, payable upon separation from service, an employee must meet the following requirements:</w:t>
      </w:r>
    </w:p>
    <w:p>
      <w:pPr>
        <w:spacing w:after="0" w:line="50" w:lineRule="exact"/>
        <w:rPr>
          <w:rFonts w:ascii="Arial" w:cs="Arial" w:eastAsia="Arial" w:hAnsi="Arial"/>
          <w:sz w:val="18"/>
          <w:szCs w:val="18"/>
          <w:color w:val="auto"/>
        </w:rPr>
      </w:pPr>
    </w:p>
    <w:p>
      <w:pPr>
        <w:ind w:left="1480" w:right="580" w:hanging="567"/>
        <w:spacing w:after="0" w:line="332" w:lineRule="auto"/>
        <w:tabs>
          <w:tab w:leader="none" w:pos="14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Be a Regular Active or Flexible Service U.S. executive employee of GM or the Corporation or U.S. International Service Personnel executive employee on or after January 1, 2007 with a length of service date on or after January 1, 2001; and</w:t>
      </w:r>
    </w:p>
    <w:p>
      <w:pPr>
        <w:spacing w:after="0" w:line="4" w:lineRule="exact"/>
        <w:rPr>
          <w:rFonts w:ascii="Arial" w:cs="Arial" w:eastAsia="Arial" w:hAnsi="Arial"/>
          <w:sz w:val="16"/>
          <w:szCs w:val="16"/>
          <w:color w:val="auto"/>
        </w:rPr>
      </w:pPr>
    </w:p>
    <w:p>
      <w:pPr>
        <w:ind w:left="1480" w:right="580" w:hanging="567"/>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GM or the Corporation or U.S. International Service Personnel executive employee; and</w:t>
      </w:r>
    </w:p>
    <w:p>
      <w:pPr>
        <w:spacing w:after="0" w:line="5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Have at least 10 years of combined Part C Retirement Program credited service and credited service accrued on and after January 1, 2007 as determined under the RSP. In cases of GM executives who are transferred from a foreign subsidiary on and after January 1, 2007, active service prior to the date of transfer as recognized under the Retirement Program is counted under the Plan for eligibility and vesting, but not for benefit accrual; and</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 at least 55 years old.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 (e)</w:t>
      </w:r>
    </w:p>
    <w:p>
      <w:pPr>
        <w:spacing w:after="0" w:line="9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Eligible executives will be vested in any frozen SERP and/or ERP benefits under this Article II upon their attainment of age 55 with a minimum of</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10 years’ credited service where credited service is defined as:</w:t>
      </w:r>
    </w:p>
    <w:p>
      <w:pPr>
        <w:spacing w:after="0" w:line="83" w:lineRule="exact"/>
        <w:rPr>
          <w:rFonts w:ascii="Arial" w:cs="Arial" w:eastAsia="Arial" w:hAnsi="Arial"/>
          <w:sz w:val="16"/>
          <w:szCs w:val="16"/>
          <w:color w:val="auto"/>
        </w:rPr>
      </w:pPr>
    </w:p>
    <w:p>
      <w:pPr>
        <w:ind w:left="1480" w:right="34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combination of Part B credited service (as defined in the Retirement Program) plus credited service in the Retirement Program on and after January 1, 2007, or a combination of Part C credited service (as defined in the Retirement Program) plus RSP credited service for service on and after January 1, 2007.</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may be eligible for benefits under Section II, IV or V if they meet all eligibility requirements, but are not eligible for benefits under the frozen Alternative SERP formula described in Section III.</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Nothing in this Article II, Section I (a) through (f) is intended to render “ineligible” any Participant who was qualified, eligible to participate, and receiving benefits under the Plan as of July 10, 2009. Nothing in this Article II, Section 1 is intended to render “eligible” any Participant who was not qualified or eligible to participate in the Plan as of July 10, 2009.</w:t>
      </w:r>
    </w:p>
    <w:p>
      <w:pPr>
        <w:spacing w:after="0" w:line="59"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the above, to be eligible for a benefit under Section II or III of this Article (without regard to the benefit formulas of the Delphi plan), payable upon separation from service, an executive employee of GM Global Steering Holdings LLC or GM Components Holdings must:</w:t>
      </w:r>
    </w:p>
    <w:p>
      <w:pPr>
        <w:spacing w:after="0" w:line="4" w:lineRule="exact"/>
        <w:rPr>
          <w:rFonts w:ascii="Arial" w:cs="Arial" w:eastAsia="Arial" w:hAnsi="Arial"/>
          <w:sz w:val="16"/>
          <w:szCs w:val="16"/>
          <w:color w:val="auto"/>
        </w:rPr>
      </w:pPr>
    </w:p>
    <w:p>
      <w:pPr>
        <w:ind w:left="1480" w:right="4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GM or U.S. International Service Personnel executive employee of GM as of October 7, 2009; and</w:t>
      </w:r>
    </w:p>
    <w:p>
      <w:pPr>
        <w:spacing w:after="0" w:line="50" w:lineRule="exact"/>
        <w:rPr>
          <w:rFonts w:ascii="Arial" w:cs="Arial" w:eastAsia="Arial" w:hAnsi="Arial"/>
          <w:sz w:val="18"/>
          <w:szCs w:val="18"/>
          <w:color w:val="auto"/>
        </w:rPr>
      </w:pPr>
    </w:p>
    <w:p>
      <w:pPr>
        <w:ind w:left="1480" w:right="38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Be a Regular Active or Flexible Service U.S. executive employee of Delphi or GM (including their wholly owned subsidiaries), or U.S. International Service Personnel executive employee of Delphi or GM; and</w:t>
      </w:r>
    </w:p>
    <w:p>
      <w:pPr>
        <w:spacing w:after="0" w:line="5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Be employed by Delphi as of October 6, 2009 and been eligible to retain a frozen Delphi SERP benefit had the executive remained at Delphi;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5" w:name="page126"/>
    <w:bookmarkEnd w:id="125"/>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 (h) (4)</w:t>
      </w:r>
    </w:p>
    <w:p>
      <w:pPr>
        <w:spacing w:after="0" w:line="96" w:lineRule="exact"/>
        <w:rPr>
          <w:sz w:val="20"/>
          <w:szCs w:val="20"/>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a U.S. executive employee of Delphi as of December 31, 2006; and</w:t>
      </w:r>
    </w:p>
    <w:p>
      <w:pPr>
        <w:spacing w:after="0" w:line="90" w:lineRule="exact"/>
        <w:rPr>
          <w:rFonts w:ascii="Arial" w:cs="Arial" w:eastAsia="Arial" w:hAnsi="Arial"/>
          <w:sz w:val="18"/>
          <w:szCs w:val="18"/>
          <w:color w:val="auto"/>
        </w:rPr>
      </w:pPr>
    </w:p>
    <w:p>
      <w:pPr>
        <w:ind w:left="1480" w:hanging="567"/>
        <w:spacing w:after="0" w:line="306" w:lineRule="auto"/>
        <w:tabs>
          <w:tab w:leader="none" w:pos="14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Be vested at age 55 or older with at least 10 years of service (including Delphi service) at the time service ends. In case of the sale of an operation, service shall end on the closing date of the sale of the operation at which an executive works. In the case of the sale of an operation, eligibility is determined on the date of the sale. Age, service, and accruals end on the closing date of the sale.</w:t>
      </w:r>
    </w:p>
    <w:p>
      <w:pPr>
        <w:spacing w:after="0" w:line="9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274" w:right="6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 DB ERP -</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Calculation of Regular Formula SERP Benefits for Credited Service Accrued Prior to January 1, 2007</w:t>
      </w:r>
    </w:p>
    <w:p>
      <w:pPr>
        <w:spacing w:after="0" w:line="96" w:lineRule="exact"/>
        <w:rPr>
          <w:sz w:val="20"/>
          <w:szCs w:val="20"/>
          <w:color w:val="auto"/>
        </w:rPr>
      </w:pPr>
    </w:p>
    <w:p>
      <w:pPr>
        <w:ind w:left="900" w:right="1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Regular Formula SERP benefits determined under this Section II as in effect prior to January 1, 2007, shall be frozen as of December 31, 2006. The amount of the frozen Regular Formula SERP benefits shall be calculated using the following factors: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Part B or Part C Retirement Program credited service accrued as of December 31, 2006.</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Average monthly base salary for the highest 60 of the 120 months immediately preceding January 1, 2007, as described in Article II, Section II (f).</w:t>
      </w:r>
    </w:p>
    <w:p>
      <w:pPr>
        <w:spacing w:after="0" w:line="50"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sum of all frozen accrued monthly benefits determined under the Retirement Program as of December 31, 2006, prior to reduction for the cost of any survivor coverage.</w:t>
      </w:r>
    </w:p>
    <w:p>
      <w:pPr>
        <w:spacing w:after="0" w:line="50" w:lineRule="exact"/>
        <w:rPr>
          <w:rFonts w:ascii="Arial" w:cs="Arial" w:eastAsia="Arial" w:hAnsi="Arial"/>
          <w:sz w:val="18"/>
          <w:szCs w:val="18"/>
          <w:color w:val="auto"/>
        </w:rPr>
      </w:pPr>
    </w:p>
    <w:p>
      <w:pPr>
        <w:ind w:left="1480" w:right="100" w:hanging="567"/>
        <w:spacing w:after="0" w:line="332" w:lineRule="auto"/>
        <w:tabs>
          <w:tab w:leader="none" w:pos="14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Two percent (2%) of the maximum monthly Primary Social Security benefit payable in 2007 (regardless of actual receipt) multiplied by the executive’s years of Part A or Part C credited service, determined as of December 31, 2006, under the Retirement Program.</w:t>
      </w:r>
    </w:p>
    <w:p>
      <w:pPr>
        <w:spacing w:after="0" w:line="4" w:lineRule="exact"/>
        <w:rPr>
          <w:rFonts w:ascii="Arial" w:cs="Arial" w:eastAsia="Arial" w:hAnsi="Arial"/>
          <w:sz w:val="16"/>
          <w:szCs w:val="16"/>
          <w:color w:val="auto"/>
        </w:rPr>
      </w:pPr>
    </w:p>
    <w:p>
      <w:pPr>
        <w:ind w:left="900" w:right="700" w:hanging="446"/>
        <w:spacing w:after="0" w:line="357"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Regular Formula SERP benefits under this Article II, Section II shall be determined for all executive employees on the active rolls as of December 31, 2006. Those appointed to executive positions on or after January 1, 2007 are ineligible for SERP benefits under this Section.</w:t>
      </w:r>
    </w:p>
    <w:p>
      <w:pPr>
        <w:ind w:left="9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Executives must meet the eligibility and vesting requirements as set forth in Article II, Section I to be eligible for SERP benefits under this Article II, Section 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 (d)</w:t>
      </w:r>
    </w:p>
    <w:p>
      <w:pPr>
        <w:spacing w:after="0" w:line="96" w:lineRule="exact"/>
        <w:rPr>
          <w:sz w:val="20"/>
          <w:szCs w:val="20"/>
          <w:color w:val="auto"/>
        </w:rPr>
      </w:pPr>
    </w:p>
    <w:p>
      <w:pPr>
        <w:ind w:left="900" w:hanging="446"/>
        <w:spacing w:after="0" w:line="288"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 shall be an amount equal to two percent (2%) of average monthly base salary for the highest 60 of the 120 months immediately preceding January 1, 2007 (as described in Article II, Section II (f) below), multiplied by the years of credited service, determined as of December 31, 2006, used to determine the frozen Part B Supplementary benefit or the frozen benefit under the Account Balance Plan feature under Part C under the Retirement Program (hereinafter referred to as the “ABP”), less the sum of (1) all frozen accrued monthly benefits determined under the Retirement Program, prior to reduction for the cost of any survivor coverage, and BEP (if any), including the annuitized value of the frozen accrued ABP benefit (as described in Article II, Section II (g) below), (2) two percent (2%) of the monthly maximum Primary Social Security benefit payable in 2007 (regardless of actual receipt) multiplied by the executive’s years of Part A or Part C credited service, determined as of December 31, 2006, under the Retirement Program, and (3) any benefits payable under certain other GM-provided benefit programs, such as Extended Disability Benefits.</w:t>
      </w:r>
    </w:p>
    <w:p>
      <w:pPr>
        <w:spacing w:after="0" w:line="38"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“Special Benefit” provided under the GM Health Care Program is not taken into account in determining the amount of any monthly SERP benefit payable under this Article II, Section II.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For purposes of this Article II, Section II, average monthly base salary means the monthly average of base salary for the highest 60 of the</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120 months immediately preceding January 1, 2007. For executives with less than 60 months of base salary history prior to January 1, 2007, the executive’s starting monthly base salary will be imputed for the number of months less than 60.</w:t>
      </w:r>
    </w:p>
    <w:p>
      <w:pPr>
        <w:spacing w:after="0" w:line="56" w:lineRule="exact"/>
        <w:rPr>
          <w:rFonts w:ascii="Arial" w:cs="Arial" w:eastAsia="Arial" w:hAnsi="Arial"/>
          <w:sz w:val="16"/>
          <w:szCs w:val="16"/>
          <w:color w:val="auto"/>
        </w:rPr>
      </w:pPr>
    </w:p>
    <w:p>
      <w:pPr>
        <w:ind w:left="900" w:right="26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determining the SERP benefits under this Article II, Section II for executives with a length of service date on and after January 1, 2001 who participate in the ABP, the frozen ABP amount accrued as of December 31, 2006 shall be converted to an annuity for the purpose of offsetting this amount from the target SERP using the following methodology: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28" w:name="page129"/>
    <w:bookmarkEnd w:id="12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RETIREMENT PLAN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 (g) (1)</w:t>
      </w:r>
    </w:p>
    <w:p>
      <w:pPr>
        <w:spacing w:after="0" w:line="96" w:lineRule="exact"/>
        <w:rPr>
          <w:sz w:val="20"/>
          <w:szCs w:val="20"/>
          <w:color w:val="auto"/>
        </w:rPr>
      </w:pPr>
    </w:p>
    <w:p>
      <w:pPr>
        <w:ind w:left="1480" w:right="440" w:hanging="567"/>
        <w:spacing w:after="0" w:line="268"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Second, convert the amount determined under (1) above to an annuity using the Retirement Program mortality table and the same ABP crediting rate used in Article II, Section II (g) (1) above as the discount rate.</w:t>
      </w:r>
    </w:p>
    <w:p>
      <w:pPr>
        <w:spacing w:after="0" w:line="50" w:lineRule="exact"/>
        <w:rPr>
          <w:rFonts w:ascii="Arial" w:cs="Arial" w:eastAsia="Arial" w:hAnsi="Arial"/>
          <w:sz w:val="18"/>
          <w:szCs w:val="18"/>
          <w:color w:val="auto"/>
        </w:rPr>
      </w:pPr>
    </w:p>
    <w:p>
      <w:pPr>
        <w:ind w:left="2160" w:hanging="450"/>
        <w:spacing w:after="0" w:line="268" w:lineRule="auto"/>
        <w:tabs>
          <w:tab w:leader="none" w:pos="2160" w:val="left"/>
        </w:tabs>
        <w:numPr>
          <w:ilvl w:val="2"/>
          <w:numId w:val="92"/>
        </w:numPr>
        <w:rPr>
          <w:rFonts w:ascii="Arial" w:cs="Arial" w:eastAsia="Arial" w:hAnsi="Arial"/>
          <w:sz w:val="18"/>
          <w:szCs w:val="18"/>
          <w:color w:val="auto"/>
        </w:rPr>
      </w:pPr>
      <w:r>
        <w:rPr>
          <w:rFonts w:ascii="Arial" w:cs="Arial" w:eastAsia="Arial" w:hAnsi="Arial"/>
          <w:sz w:val="18"/>
          <w:szCs w:val="18"/>
          <w:color w:val="auto"/>
        </w:rPr>
        <w:t>Both the mortality table and the crediting rate will be those that were in effect under the Retirement Program as of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Third, offset target frozen SERP with the annuitized amount determined under (2) above.</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purposes of calculating the SERP benefits under this Article II, Section II, the SERP benefit amounts will not be increased due to any election regarding commencement of Retirement Program benefits on a reduced for early receipt basis.</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monthly Social Security offset amount used in paragraph (d) of this Section shall be based upon the maximum 2007 monthly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59"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post-retirement increase under the Retirement Program does not reduce any monthly benefit payable under the Plan. For purposes of this subsection, adjustments to the IRC Section 415 limits are not considered post-retirement increases.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274" w:right="4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DB ERP -</w:t>
      </w:r>
    </w:p>
    <w:p>
      <w:pPr>
        <w:spacing w:after="0" w:line="90" w:lineRule="exact"/>
        <w:rPr>
          <w:sz w:val="20"/>
          <w:szCs w:val="20"/>
          <w:color w:val="auto"/>
        </w:rPr>
      </w:pPr>
    </w:p>
    <w:p>
      <w:pPr>
        <w:ind w:left="1700"/>
        <w:spacing w:after="0"/>
        <w:rPr>
          <w:sz w:val="20"/>
          <w:szCs w:val="20"/>
          <w:color w:val="auto"/>
        </w:rPr>
      </w:pPr>
      <w:r>
        <w:rPr>
          <w:rFonts w:ascii="Arial" w:cs="Arial" w:eastAsia="Arial" w:hAnsi="Arial"/>
          <w:sz w:val="18"/>
          <w:szCs w:val="18"/>
          <w:b w:val="1"/>
          <w:bCs w:val="1"/>
          <w:u w:val="single" w:color="auto"/>
          <w:color w:val="auto"/>
        </w:rPr>
        <w:t>Calculation of Alternative Formula SERP Benefits for Credited Service Accrued Prior to January 1, 2007</w:t>
      </w:r>
    </w:p>
    <w:p>
      <w:pPr>
        <w:spacing w:after="0" w:line="96" w:lineRule="exact"/>
        <w:rPr>
          <w:sz w:val="20"/>
          <w:szCs w:val="20"/>
          <w:color w:val="auto"/>
        </w:rPr>
      </w:pPr>
    </w:p>
    <w:p>
      <w:pPr>
        <w:ind w:left="900" w:right="84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Alternative Formula SERP benefits determined under this Article II, Section III as in effect prior to January 1, 2007, shall be frozen as of December 31, 2006. The amount of the frozen benefits shall be calculated using the following factors: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Part B or Part C Retirement Program credited service accrued as of December 31, 2006 (maximum 35 years).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Average total direct compensation is the total of:</w:t>
      </w:r>
    </w:p>
    <w:p>
      <w:pPr>
        <w:spacing w:after="0" w:line="90" w:lineRule="exact"/>
        <w:rPr>
          <w:rFonts w:ascii="Arial" w:cs="Arial" w:eastAsia="Arial" w:hAnsi="Arial"/>
          <w:sz w:val="18"/>
          <w:szCs w:val="18"/>
          <w:color w:val="auto"/>
        </w:rPr>
      </w:pPr>
    </w:p>
    <w:p>
      <w:pPr>
        <w:ind w:left="2160" w:right="660" w:hanging="450"/>
        <w:spacing w:after="0" w:line="268" w:lineRule="auto"/>
        <w:tabs>
          <w:tab w:leader="none" w:pos="21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Average monthly base salary for the highest 60 of the 120 months immediately preceding January 1, 2007, as described in Article II, Section III (g) below, plus</w:t>
      </w:r>
    </w:p>
    <w:p>
      <w:pPr>
        <w:spacing w:after="0" w:line="50" w:lineRule="exact"/>
        <w:rPr>
          <w:rFonts w:ascii="Arial" w:cs="Arial" w:eastAsia="Arial" w:hAnsi="Arial"/>
          <w:sz w:val="18"/>
          <w:szCs w:val="18"/>
          <w:color w:val="auto"/>
        </w:rPr>
      </w:pPr>
    </w:p>
    <w:p>
      <w:pPr>
        <w:ind w:left="2160" w:right="180" w:hanging="450"/>
        <w:spacing w:after="0" w:line="332" w:lineRule="auto"/>
        <w:tabs>
          <w:tab w:leader="none" w:pos="21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Average monthly incentive compensation determined by dividing the total of the highest five of the ten years of annual incentive awards received for the period 1997 through 2006, as described in Article II, Section III (h) below, by 60.</w:t>
      </w:r>
    </w:p>
    <w:p>
      <w:pPr>
        <w:spacing w:after="0" w:line="4" w:lineRule="exact"/>
        <w:rPr>
          <w:rFonts w:ascii="Arial" w:cs="Arial" w:eastAsia="Arial" w:hAnsi="Arial"/>
          <w:sz w:val="16"/>
          <w:szCs w:val="16"/>
          <w:color w:val="auto"/>
        </w:rPr>
      </w:pPr>
    </w:p>
    <w:p>
      <w:pPr>
        <w:ind w:left="1480" w:right="20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sum of all frozen accrued monthly benefits determined under the Retirement Program as of December 31, 2006, prior to reduction for the cost of any survivor coverage.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One hundred percent (100%) of the maximum monthly Primary Social Security benefit payable in 2007 (regardless of actual receipt).</w:t>
      </w:r>
    </w:p>
    <w:p>
      <w:pPr>
        <w:spacing w:after="0" w:line="113" w:lineRule="exact"/>
        <w:rPr>
          <w:rFonts w:ascii="Arial" w:cs="Arial" w:eastAsia="Arial" w:hAnsi="Arial"/>
          <w:sz w:val="16"/>
          <w:szCs w:val="16"/>
          <w:color w:val="auto"/>
        </w:rPr>
      </w:pPr>
    </w:p>
    <w:p>
      <w:pPr>
        <w:ind w:left="900" w:right="60" w:hanging="446"/>
        <w:spacing w:after="0" w:line="357" w:lineRule="auto"/>
        <w:tabs>
          <w:tab w:leader="none" w:pos="9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Alternative Formula SERP benefits under this Article II, Section IIl shall be determined for all executive employees on the active rolls as of December 31, 2006. Those appointed to executive positions on or after January 1, 2007 are ineligible for frozen Alternative Formula SERP benefits.</w:t>
      </w:r>
    </w:p>
    <w:p>
      <w:pPr>
        <w:ind w:left="9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Executives must meet the eligibility and vesting requirements as set forth in Article II, Section I to be eligible for SERP benefits under this Article II, Section III.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(d)</w:t>
      </w:r>
    </w:p>
    <w:p>
      <w:pPr>
        <w:spacing w:after="0" w:line="96" w:lineRule="exact"/>
        <w:rPr>
          <w:sz w:val="20"/>
          <w:szCs w:val="20"/>
          <w:color w:val="auto"/>
        </w:rPr>
      </w:pPr>
    </w:p>
    <w:p>
      <w:pPr>
        <w:ind w:left="90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IIl for an eligible retiring executive shall be the greater of the monthly benefit, if any, determined under either (1) the formula set forth in this Article II Section IIl or (2) the formula described in Article II, Section II.</w:t>
      </w:r>
    </w:p>
    <w:p>
      <w:pPr>
        <w:spacing w:after="0" w:line="4"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frozen monthly benefit determined under this Article II, Section III will equal 1.5% of average total direct compensation (monthly base salary plus average monthly annual incentive compensation, as defined in Article II, Section III (g) and Article II, Section III (h) below), multiplied by the executive’s years of credited service (35-year maximum), determined as of December 31, 2006, used to determine the frozen Part B Supplementary benefits or the frozen ABP benefits, less the sum of (1) all frozen accrued monthly benefits determined under the Retirement Program, prior to reduction for the cost of any survivor coverage, and BEP (if any), including the annuitized value of any frozen accrued ABP benefit, (as described in Article II, Section III (i) below), (2) 100% of the maximum monthly Primary Social Security benefit payable in 2007 (regardless of executive’s age in January 2007 or availability to him/her of a U.S. Social Security benefit), and (3) any benefits payable under certain other GM-provided programs, such as Extended Disability.</w:t>
      </w:r>
    </w:p>
    <w:p>
      <w:pPr>
        <w:spacing w:after="0" w:line="37"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“Special Benefit” provided under the GM Health Care Program is not taken into account in determining the amount of any monthly benefits payable under this Article II, Section III.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purposes of this Article II, Section III, average monthly base salary means the monthly average of base salary for the highest 60 of the</w:t>
      </w:r>
    </w:p>
    <w:p>
      <w:pPr>
        <w:spacing w:after="0" w:line="38" w:lineRule="exact"/>
        <w:rPr>
          <w:rFonts w:ascii="Arial" w:cs="Arial" w:eastAsia="Arial" w:hAnsi="Arial"/>
          <w:sz w:val="16"/>
          <w:szCs w:val="16"/>
          <w:color w:val="auto"/>
        </w:rPr>
      </w:pPr>
    </w:p>
    <w:p>
      <w:pPr>
        <w:ind w:left="900" w:right="380"/>
        <w:spacing w:after="0" w:line="261" w:lineRule="auto"/>
        <w:rPr>
          <w:rFonts w:ascii="Arial" w:cs="Arial" w:eastAsia="Arial" w:hAnsi="Arial"/>
          <w:sz w:val="16"/>
          <w:szCs w:val="16"/>
          <w:color w:val="auto"/>
        </w:rPr>
      </w:pPr>
      <w:r>
        <w:rPr>
          <w:rFonts w:ascii="Arial" w:cs="Arial" w:eastAsia="Arial" w:hAnsi="Arial"/>
          <w:sz w:val="18"/>
          <w:szCs w:val="18"/>
          <w:color w:val="auto"/>
        </w:rPr>
        <w:t>120 months immediately preceding January 1, 2007. For executives with less than 60 months of base salary history prior to January 1, 2007, the executive’s starting monthly base salary will be imputed for the number of months less than 60.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(h)</w:t>
      </w:r>
    </w:p>
    <w:p>
      <w:pPr>
        <w:spacing w:after="0" w:line="96" w:lineRule="exact"/>
        <w:rPr>
          <w:sz w:val="20"/>
          <w:szCs w:val="20"/>
          <w:color w:val="auto"/>
        </w:rPr>
      </w:pPr>
    </w:p>
    <w:p>
      <w:pPr>
        <w:ind w:left="900" w:right="20" w:hanging="446"/>
        <w:spacing w:after="0" w:line="288"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this Article II, Section III, average monthly incentive compensation means an amount determined by dividing the total of the highest five of the ten years of annual incentive awards received for the period 1997 through 2006, by 60. For executives with less than five years of service as of December 31, 2006 or those appointed to executive status within the last five years, the average of annual incentive compensation awards paid for service through December 31, 2006 divided by the number of years since date of hire or date of appointment to December 31, 2006 shall be imputed for the number of years less than five. Each annual incentive award amount is the final award amount related to the performance period year for which it was awarded. For purposes of clarity, “annual incentive awards” means those payments under the Annual Incentive Plan. Moreover, neither Stock Performance Program awards, Stock Incentive Plan grants, Cash-Based Restricted Stock Unit awards nor any other form of incentive payment, are eligible for inclusion in determining a benefit under this Article II, Section III. Non-consecutive years within the 1997 through 2006 period may be used for determining the blended amount of average monthly (1) base salary, and (2) incentive compensation.</w:t>
      </w:r>
    </w:p>
    <w:p>
      <w:pPr>
        <w:spacing w:after="0" w:line="38"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calculating the benefits under this Article II, Section III for executives with a length of service date on and after January 1, 2001 who participate in the ABP, the frozen ABP account balance accrued as of December 31, 2006 shall be converted to an annuity for the purpose of offsetting this amount from the frozen target Alternative Formula SERP using the following methodology:</w:t>
      </w:r>
    </w:p>
    <w:p>
      <w:pPr>
        <w:spacing w:after="0" w:line="25" w:lineRule="exact"/>
        <w:rPr>
          <w:rFonts w:ascii="Arial" w:cs="Arial" w:eastAsia="Arial" w:hAnsi="Arial"/>
          <w:sz w:val="16"/>
          <w:szCs w:val="16"/>
          <w:color w:val="auto"/>
        </w:rPr>
      </w:pPr>
    </w:p>
    <w:p>
      <w:pPr>
        <w:ind w:left="1480" w:right="640" w:hanging="567"/>
        <w:spacing w:after="0" w:line="268"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III. (i) (2)</w:t>
      </w:r>
    </w:p>
    <w:p>
      <w:pPr>
        <w:spacing w:after="0" w:line="96" w:lineRule="exact"/>
        <w:rPr>
          <w:sz w:val="20"/>
          <w:szCs w:val="20"/>
          <w:color w:val="auto"/>
        </w:rPr>
      </w:pPr>
    </w:p>
    <w:p>
      <w:pPr>
        <w:ind w:left="1480" w:right="440" w:hanging="567"/>
        <w:spacing w:after="0" w:line="268"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Second, convert the amount determined under (1) above to an annuity using the Retirement Program mortality table and the same ABP crediting rate used in Article II, Section II (g) (1) as the discount rate.</w:t>
      </w:r>
    </w:p>
    <w:p>
      <w:pPr>
        <w:spacing w:after="0" w:line="50" w:lineRule="exact"/>
        <w:rPr>
          <w:rFonts w:ascii="Arial" w:cs="Arial" w:eastAsia="Arial" w:hAnsi="Arial"/>
          <w:sz w:val="18"/>
          <w:szCs w:val="18"/>
          <w:color w:val="auto"/>
        </w:rPr>
      </w:pPr>
    </w:p>
    <w:p>
      <w:pPr>
        <w:ind w:left="2160" w:right="200" w:hanging="450"/>
        <w:spacing w:after="0" w:line="268" w:lineRule="auto"/>
        <w:tabs>
          <w:tab w:leader="none" w:pos="21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Both the mortality table and the crediting rate will be those that were in effect under the Retirement Program as of December 31, 2006.</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Third, offset frozen target Alternative Formula SERP with the amount determined under (2) above.</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calculating the SERP benefits under this Article II, Section III, the SERP benefit amounts will not be increased due to any election regarding commencement of Retirement Program benefits on a reduced for early receipt basis.</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monthly Social Security offset amount used in paragraph (e) of this Section shall be based upon the maximum 2007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59"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post-retirement increase under the Retirement Program does not reduce any monthly frozen Alternative Formula benefit that may become payable. For purposes of this subsection, adjustments to the IRC Section 415 limits are not considered post-retirement increases.</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are ineligible for benefits under this Article II, Section III.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IV. DB ERP -</w:t>
      </w:r>
    </w:p>
    <w:p>
      <w:pPr>
        <w:spacing w:after="0" w:line="90" w:lineRule="exact"/>
        <w:rPr>
          <w:sz w:val="20"/>
          <w:szCs w:val="20"/>
          <w:color w:val="auto"/>
        </w:rPr>
      </w:pPr>
    </w:p>
    <w:p>
      <w:pPr>
        <w:ind w:left="1500"/>
        <w:spacing w:after="0" w:line="275" w:lineRule="auto"/>
        <w:rPr>
          <w:sz w:val="20"/>
          <w:szCs w:val="20"/>
          <w:color w:val="auto"/>
        </w:rPr>
      </w:pPr>
      <w:r>
        <w:rPr>
          <w:rFonts w:ascii="Arial" w:cs="Arial" w:eastAsia="Arial" w:hAnsi="Arial"/>
          <w:sz w:val="18"/>
          <w:szCs w:val="18"/>
          <w:b w:val="1"/>
          <w:bCs w:val="1"/>
          <w:u w:val="single" w:color="auto"/>
          <w:color w:val="auto"/>
        </w:rPr>
        <w:t>Calculation of 1.25% Career Average Pay Benefits for Credited Service Accrued on and after January 1, 2007 for Executives With a Length of Service date Prior to January 1, 2001</w:t>
      </w:r>
    </w:p>
    <w:p>
      <w:pPr>
        <w:spacing w:after="0" w:line="45" w:lineRule="exact"/>
        <w:rPr>
          <w:sz w:val="20"/>
          <w:szCs w:val="20"/>
          <w:color w:val="auto"/>
        </w:rPr>
      </w:pPr>
    </w:p>
    <w:p>
      <w:pPr>
        <w:ind w:left="900" w:right="4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for service on and after January 1, 2007, ERP benefits under this Article II, Section IV for GM or Corporation Regular Active or Flexible Service U.S. executives, or U. S. International Service Personnel executives, with a length of service date prior to January 1, 2001 will be calculated using a 1.25% Career Average Pay formula as set forth in this Article II, Section IV.</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be eligible for a 1.25% Career Average Pay ERP Benefit, an executive employee must:</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Be a GM or Corporation Regular Active or Flexible Service U.S. executive, or U.S. International Service Personnel executive, on and after January 1, 2007 with a length of service date prior to January 1, 2001;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Be at work for GM or the Corporation on or after January 1, 2007;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Meet the eligibility and vesting requirements as set forth in Article II, Section I.</w:t>
      </w:r>
    </w:p>
    <w:p>
      <w:pPr>
        <w:spacing w:after="0" w:line="90"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Eligible executives will accrue benefits under this Article II, Section IV with respect to actual base salary and either Annual Incentive Plan or Short Term Incentive Plan final awards received while an executive for service on and after January 1, 2007 equal to 1.25% of the total of base salary plus either Annual Incentive Plan or Short Term Incentive Plan final awards received in excess of the compensation limit under IRC 401(a)(17) in effect for the Retirement Program. As benefits are specified on a career average pay basis, subsequent base salary increases will not impact the value of previously accrued benefits.</w:t>
      </w:r>
    </w:p>
    <w:p>
      <w:pPr>
        <w:spacing w:after="0" w:line="61"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Annual Incentive Plan final awards shall include only those paid with respect to performance periods commencing on and after January 1, 2007 and ending before 2010. Short Term Incentive Plan final awards shall include only those paid with respect to performance periods commencing on and after January 1, 2010.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IV. (c) (2)</w:t>
      </w:r>
    </w:p>
    <w:p>
      <w:pPr>
        <w:spacing w:after="0" w:line="96" w:lineRule="exact"/>
        <w:rPr>
          <w:sz w:val="20"/>
          <w:szCs w:val="20"/>
          <w:color w:val="auto"/>
        </w:rPr>
      </w:pPr>
    </w:p>
    <w:p>
      <w:pPr>
        <w:ind w:left="1480" w:right="580" w:hanging="567"/>
        <w:spacing w:after="0" w:line="268"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Pro-rata Annual Incentive Plan or Short Term Incentive Plan final awards attributable to the year of retirement will not be used in the calculation of benefits under this Section.</w:t>
      </w:r>
    </w:p>
    <w:p>
      <w:pPr>
        <w:spacing w:after="0" w:line="50" w:lineRule="exact"/>
        <w:rPr>
          <w:rFonts w:ascii="Arial" w:cs="Arial" w:eastAsia="Arial" w:hAnsi="Arial"/>
          <w:sz w:val="18"/>
          <w:szCs w:val="18"/>
          <w:color w:val="auto"/>
        </w:rPr>
      </w:pPr>
    </w:p>
    <w:p>
      <w:pPr>
        <w:ind w:left="1480" w:hanging="567"/>
        <w:spacing w:after="0" w:line="332"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General Motors Asset Management executives who on or after August 4, 2003 are transferred to GMAM or hired or promoted into executive status are ineligible for 1.25% Career Average Pay ERP benefits calculated with respect to annual incentive compensation.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 DC ERP -</w:t>
      </w:r>
    </w:p>
    <w:p>
      <w:pPr>
        <w:spacing w:after="0" w:line="90" w:lineRule="exact"/>
        <w:rPr>
          <w:sz w:val="20"/>
          <w:szCs w:val="20"/>
          <w:color w:val="auto"/>
        </w:rPr>
      </w:pPr>
    </w:p>
    <w:p>
      <w:pPr>
        <w:ind w:left="1500" w:right="160"/>
        <w:spacing w:after="0" w:line="275" w:lineRule="auto"/>
        <w:rPr>
          <w:sz w:val="20"/>
          <w:szCs w:val="20"/>
          <w:color w:val="auto"/>
        </w:rPr>
      </w:pPr>
      <w:r>
        <w:rPr>
          <w:rFonts w:ascii="Arial" w:cs="Arial" w:eastAsia="Arial" w:hAnsi="Arial"/>
          <w:sz w:val="18"/>
          <w:szCs w:val="18"/>
          <w:b w:val="1"/>
          <w:bCs w:val="1"/>
          <w:u w:val="single" w:color="auto"/>
          <w:color w:val="auto"/>
        </w:rPr>
        <w:t>Calculation of 4% Defined Contribution Benefits for Credited Service Accrued on and after January 1, 2007 for Executives With a Length of Service Date on or After January 1, 2001</w:t>
      </w:r>
    </w:p>
    <w:p>
      <w:pPr>
        <w:spacing w:after="0" w:line="45" w:lineRule="exact"/>
        <w:rPr>
          <w:sz w:val="20"/>
          <w:szCs w:val="20"/>
          <w:color w:val="auto"/>
        </w:rPr>
      </w:pPr>
    </w:p>
    <w:p>
      <w:pPr>
        <w:ind w:left="900" w:right="14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Effective for service on and after January 1, 2007, ERP benefits under this Article II, Section V for GM and Corporation Regular Active or Flexible Service U.S. executives, or U.S. International Service Personnel executives, with a length of service date on and after January 1, 2001 will be accumulated using a 4% defined contribution formula.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be eligible for the 4% defined contribution benefits under this Section, an executive employee must:</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Be a GM or Corporation Regular Active or Flexible Service U.S. executive, or U.S. International Service Personnel executive, with a length of service date on or after January 1, 2001;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Be at work for GM or the Corporation on or after January 1, 2007;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Meet the eligibility and vesting requirements as set forth in Article II, Section I.</w:t>
      </w:r>
    </w:p>
    <w:p>
      <w:pPr>
        <w:spacing w:after="0" w:line="90"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Eligible executives with a length of service date on and after January 1, 2001 will accrue benefits under this Article II, Section V with respect to actual base salary and either Annual Incentive Plan or Short Term Incentive Plan final awards received while an executive for service on and after January 1, 2007 equal to 4% of the total of base salary plus either Annual Incentive Plan or Short Term Incentive Plan final awards received in excess of the annual compensation limit under IRC 401(a)(17) in effect for the RSP. Once the total of base salary and either eligible Annual Incentive Plan or Short Term Incentive Plan final awards received in any Plan Year exceed the compensation limit under IRC 401(a)(17) in effect for the RSP for that year, notional contributions shall be allocated each pay period into an unfunded defined contribution account maintained for each eligible executive on a book reserve basis.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 (c) (1)</w:t>
      </w:r>
    </w:p>
    <w:p>
      <w:pPr>
        <w:spacing w:after="0" w:line="96" w:lineRule="exact"/>
        <w:rPr>
          <w:sz w:val="20"/>
          <w:szCs w:val="20"/>
          <w:color w:val="auto"/>
        </w:rPr>
      </w:pPr>
    </w:p>
    <w:p>
      <w:pPr>
        <w:ind w:left="1480" w:right="240" w:hanging="567"/>
        <w:spacing w:after="0" w:line="259" w:lineRule="auto"/>
        <w:tabs>
          <w:tab w:leader="none" w:pos="1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Annual Incentive Plan final awards shall include only those paid with respect to performance periods commencing on and after January 1, 2007 and ending before 2010. Short Term Incentive Plan final awards shall include only those paid with respect to performance periods commencing on and after January 1, 2010.</w:t>
      </w:r>
    </w:p>
    <w:p>
      <w:pPr>
        <w:spacing w:after="0" w:line="59"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Pro-rata Annual Incentive Plan or Short Term Incentive Plan final awards attributable to the year of retirement will not be used in the calculation of benefits under this Section.</w:t>
      </w:r>
    </w:p>
    <w:p>
      <w:pPr>
        <w:spacing w:after="0" w:line="5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General Motors Asset Management executives who on or after August 4, 2003 are transferred to GMAM or hired or promoted into executive status are ineligible for the 4% benefits calculated with respect to annual incentive compensation.</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individual amounts for each eligible Participant shall be allocated each pay period to an unfunded defined contribution account that will be credited with earnings based on investment options as selected by the Participant. Effective July 15, 2011, the investment options shall be the same as provided under the RSP.</w:t>
      </w:r>
    </w:p>
    <w:p>
      <w:pPr>
        <w:spacing w:after="0" w:line="59" w:lineRule="exact"/>
        <w:rPr>
          <w:sz w:val="20"/>
          <w:szCs w:val="20"/>
          <w:color w:val="auto"/>
        </w:rPr>
      </w:pPr>
    </w:p>
    <w:p>
      <w:pPr>
        <w:ind w:left="920" w:right="80"/>
        <w:spacing w:after="0" w:line="284" w:lineRule="auto"/>
        <w:rPr>
          <w:sz w:val="20"/>
          <w:szCs w:val="20"/>
          <w:color w:val="auto"/>
        </w:rPr>
      </w:pPr>
      <w:r>
        <w:rPr>
          <w:rFonts w:ascii="Arial" w:cs="Arial" w:eastAsia="Arial" w:hAnsi="Arial"/>
          <w:sz w:val="16"/>
          <w:szCs w:val="16"/>
          <w:color w:val="auto"/>
        </w:rPr>
        <w:t>Also effective July 15, 2011, until such time a Participant makes an affirmative investment option election, the Participant’s account will be credited with notional earnings based on the Pyramis Active Lifecycle commingled pools (previously, the Pyramis Strategic Balanced Commingled Pool). Specifically, Participants who do not have an investment election on file will have future notional contributions defaulted to one of twelve</w:t>
      </w:r>
    </w:p>
    <w:p>
      <w:pPr>
        <w:spacing w:after="0" w:line="1" w:lineRule="exact"/>
        <w:rPr>
          <w:sz w:val="20"/>
          <w:szCs w:val="20"/>
          <w:color w:val="auto"/>
        </w:rPr>
      </w:pPr>
    </w:p>
    <w:p>
      <w:pPr>
        <w:ind w:left="920" w:right="60" w:firstLine="1"/>
        <w:spacing w:after="0" w:line="254" w:lineRule="auto"/>
        <w:tabs>
          <w:tab w:leader="none" w:pos="125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Pyramis Active Lifecycle pools with a target retirement date (specified in the pool’s name) closest to the year that a Participant will attain the age of 65. In the event any of the funds are discontinued, absent an election by the Participant (if any), the notional amounts in such funds and future contributions that were designated for such funds will be transferred to the fund that such option is mapped to by the RSP as determined by the Administrator.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 Section VI. </w:t>
      </w:r>
      <w:r>
        <w:rPr>
          <w:rFonts w:ascii="Arial" w:cs="Arial" w:eastAsia="Arial" w:hAnsi="Arial"/>
          <w:sz w:val="18"/>
          <w:szCs w:val="18"/>
          <w:b w:val="1"/>
          <w:bCs w:val="1"/>
          <w:u w:val="single" w:color="auto"/>
          <w:color w:val="auto"/>
        </w:rPr>
        <w:t>Payment of Benefits</w:t>
      </w:r>
    </w:p>
    <w:p>
      <w:pPr>
        <w:spacing w:after="0" w:line="96" w:lineRule="exact"/>
        <w:rPr>
          <w:sz w:val="20"/>
          <w:szCs w:val="20"/>
          <w:color w:val="auto"/>
        </w:rPr>
      </w:pPr>
    </w:p>
    <w:p>
      <w:pPr>
        <w:ind w:left="9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Payment of benefits determined pursuant to Article II, Section II, III, IV or V of the Plan, are payable in accordance with the provisions of Article II, Section VI (c) below effective the first day of the month following the employee’s separation from service.</w:t>
      </w:r>
    </w:p>
    <w:p>
      <w:pPr>
        <w:spacing w:after="0" w:line="50"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event of disability, as defined under IRC Section 409A, payment of benefits will commence from the first day of the month following twelve months of a Company approved disability leave of absence.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Payment of benefits will commence not later than 90 days following separation from service or termination of disability leave of absence.</w:t>
      </w:r>
    </w:p>
    <w:p>
      <w:pPr>
        <w:spacing w:after="0" w:line="113" w:lineRule="exact"/>
        <w:rPr>
          <w:rFonts w:ascii="Arial" w:cs="Arial" w:eastAsia="Arial" w:hAnsi="Arial"/>
          <w:sz w:val="16"/>
          <w:szCs w:val="16"/>
          <w:color w:val="auto"/>
        </w:rPr>
      </w:pPr>
    </w:p>
    <w:p>
      <w:pPr>
        <w:ind w:left="1480" w:right="20" w:hanging="567"/>
        <w:spacing w:after="0" w:line="332"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the case where a separate legal entity (e.g. a wholly owned subsidiary) is sold and an eligible employee remains employed with the entity, payment of vested Plan benefits shall begin only when such employee terminates employment from the sold entity.</w:t>
      </w:r>
    </w:p>
    <w:p>
      <w:pPr>
        <w:spacing w:after="0" w:line="4" w:lineRule="exact"/>
        <w:rPr>
          <w:rFonts w:ascii="Arial" w:cs="Arial" w:eastAsia="Arial" w:hAnsi="Arial"/>
          <w:sz w:val="16"/>
          <w:szCs w:val="16"/>
          <w:color w:val="auto"/>
        </w:rPr>
      </w:pPr>
    </w:p>
    <w:p>
      <w:pPr>
        <w:ind w:left="1480" w:right="20" w:hanging="567"/>
        <w:spacing w:after="0" w:line="332"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the case where an eligible employee works for an operation that is not a separate legal entity (e.g., a plant), and such operation is sold and the employee remains employed at such operation, payment of vested Plan benefits shall begin following the date of sale.</w:t>
      </w:r>
    </w:p>
    <w:p>
      <w:pPr>
        <w:spacing w:after="0" w:line="4" w:lineRule="exact"/>
        <w:rPr>
          <w:rFonts w:ascii="Arial" w:cs="Arial" w:eastAsia="Arial" w:hAnsi="Arial"/>
          <w:sz w:val="16"/>
          <w:szCs w:val="16"/>
          <w:color w:val="auto"/>
        </w:rPr>
      </w:pPr>
    </w:p>
    <w:p>
      <w:pPr>
        <w:ind w:left="900" w:right="60" w:hanging="446"/>
        <w:spacing w:after="0" w:line="255"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an eligible employee’s separation from service, at the discretion of the Plan Administrator, the payment of benefits under this Article II may be reduced, in an amount up to $5,000 per year, as repayment of amounts that such eligible employee owes GM or any subsidiary, for any reason, including but not limited to benefit overpayments, wage overpayments, and amounts due under all incentive compensation plans. Following an eligible employee’s separation from service, there shall be no limitation to the amount benefits may be reduced. The eligible employee will be relieved of liability in the amount of the reduction.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w:t>
      </w:r>
    </w:p>
    <w:p>
      <w:pPr>
        <w:spacing w:after="0" w:line="96" w:lineRule="exact"/>
        <w:rPr>
          <w:sz w:val="20"/>
          <w:szCs w:val="20"/>
          <w:color w:val="auto"/>
        </w:rPr>
      </w:pPr>
    </w:p>
    <w:p>
      <w:pPr>
        <w:ind w:left="900" w:right="2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Prior to payment, all vested Plan benefits, including any frozen SERP benefits, if applicable, will be converted to a five year monthly annuity form of payment.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For retirements or death in service at or after age 60, the monthly value of benefits under the Plan shall be unreduced for early age receipt.</w:t>
      </w:r>
    </w:p>
    <w:p>
      <w:pPr>
        <w:spacing w:after="0" w:line="113" w:lineRule="exact"/>
        <w:rPr>
          <w:rFonts w:ascii="Arial" w:cs="Arial" w:eastAsia="Arial" w:hAnsi="Arial"/>
          <w:sz w:val="16"/>
          <w:szCs w:val="16"/>
          <w:color w:val="auto"/>
        </w:rPr>
      </w:pPr>
    </w:p>
    <w:p>
      <w:pPr>
        <w:ind w:left="1480" w:hanging="567"/>
        <w:spacing w:after="0" w:line="254"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retirements commencing at age 55 to age 59 and 11 months, or death in service at or after age 55 and prior to age 60, the monthly value of any Plan benefits determined under Article II, Section IV, and any frozen SERP benefits determined under Article II, Section II or III for executives with a length of service date prior to January 1, 2001, shall be reduced for early age receipt prior to conversion to a five year monthly annuity form of payment. The defined contribution individual account plan benefits under Article II, Section V for executives with a length of service date on or after January 1, 2001 will be converted to a five year monthly annuity form of payment without applying an early age reduction.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(3)</w:t>
      </w:r>
    </w:p>
    <w:p>
      <w:pPr>
        <w:spacing w:after="0" w:line="96" w:lineRule="exact"/>
        <w:rPr>
          <w:sz w:val="20"/>
          <w:szCs w:val="20"/>
          <w:color w:val="auto"/>
        </w:rPr>
      </w:pPr>
    </w:p>
    <w:p>
      <w:pPr>
        <w:ind w:left="1480" w:right="100" w:hanging="567"/>
        <w:spacing w:after="0" w:line="268" w:lineRule="auto"/>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event of disability as defined in Article II, Section VI (a) (1) above, the monthly value of benefits under Article II of the Plan shall be unreduced for early age receipt and converted to a five year monthly annuity using the following methodology:</w:t>
      </w:r>
    </w:p>
    <w:p>
      <w:pPr>
        <w:spacing w:after="0" w:line="50" w:lineRule="exact"/>
        <w:rPr>
          <w:rFonts w:ascii="Arial" w:cs="Arial" w:eastAsia="Arial" w:hAnsi="Arial"/>
          <w:sz w:val="18"/>
          <w:szCs w:val="18"/>
          <w:color w:val="auto"/>
        </w:rPr>
      </w:pPr>
    </w:p>
    <w:p>
      <w:pPr>
        <w:ind w:left="2160" w:right="140" w:hanging="450"/>
        <w:spacing w:after="0" w:line="332" w:lineRule="auto"/>
        <w:tabs>
          <w:tab w:leader="none" w:pos="2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First, offset the lifetime monthly annuity value of benefits under this Article II by the amount of any Extended Disability Benefits (EDB) payable to age 65 to determine the amount of monthly ERP and frozen SERP payable to age 65, if any.</w:t>
      </w:r>
    </w:p>
    <w:p>
      <w:pPr>
        <w:spacing w:after="0" w:line="4" w:lineRule="exact"/>
        <w:rPr>
          <w:rFonts w:ascii="Arial" w:cs="Arial" w:eastAsia="Arial" w:hAnsi="Arial"/>
          <w:sz w:val="16"/>
          <w:szCs w:val="16"/>
          <w:color w:val="auto"/>
        </w:rPr>
      </w:pPr>
    </w:p>
    <w:p>
      <w:pPr>
        <w:jc w:val="both"/>
        <w:ind w:left="2960" w:right="260" w:hanging="562"/>
        <w:spacing w:after="0" w:line="332" w:lineRule="auto"/>
        <w:tabs>
          <w:tab w:leader="none" w:pos="296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For this purpose, the conversion of any Article II, Section V ERP to a lifetime monthly annuity will use the discount rate specified in Article II, Section VI (c) (5) below in effect at the date of total and permanent disability retirement.</w:t>
      </w:r>
    </w:p>
    <w:p>
      <w:pPr>
        <w:spacing w:after="0" w:line="4" w:lineRule="exact"/>
        <w:rPr>
          <w:rFonts w:ascii="Arial" w:cs="Arial" w:eastAsia="Arial" w:hAnsi="Arial"/>
          <w:sz w:val="16"/>
          <w:szCs w:val="16"/>
          <w:color w:val="auto"/>
        </w:rPr>
      </w:pPr>
    </w:p>
    <w:p>
      <w:pPr>
        <w:ind w:left="2160" w:right="160" w:hanging="450"/>
        <w:spacing w:after="0" w:line="268" w:lineRule="auto"/>
        <w:tabs>
          <w:tab w:leader="none" w:pos="2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Second, convert the monthly value of benefits determined in Article II, Section VI (c) (3) a) above to a five year monthly annuity using age at effective date of total and permanent disability retirement.</w:t>
      </w:r>
    </w:p>
    <w:p>
      <w:pPr>
        <w:spacing w:after="0" w:line="50" w:lineRule="exact"/>
        <w:rPr>
          <w:rFonts w:ascii="Arial" w:cs="Arial" w:eastAsia="Arial" w:hAnsi="Arial"/>
          <w:sz w:val="18"/>
          <w:szCs w:val="18"/>
          <w:color w:val="auto"/>
        </w:rPr>
      </w:pPr>
    </w:p>
    <w:p>
      <w:pPr>
        <w:ind w:left="2160" w:right="100" w:hanging="450"/>
        <w:spacing w:after="0" w:line="268" w:lineRule="auto"/>
        <w:tabs>
          <w:tab w:leader="none" w:pos="2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Third, convert the lifetime monthly annuity value of benefits under this Article II payable from age 65 to a five year annuity using age 65 as the effective date of payment.</w:t>
      </w:r>
    </w:p>
    <w:p>
      <w:pPr>
        <w:spacing w:after="0" w:line="50" w:lineRule="exact"/>
        <w:rPr>
          <w:rFonts w:ascii="Arial" w:cs="Arial" w:eastAsia="Arial" w:hAnsi="Arial"/>
          <w:sz w:val="18"/>
          <w:szCs w:val="18"/>
          <w:color w:val="auto"/>
        </w:rPr>
      </w:pPr>
    </w:p>
    <w:p>
      <w:pPr>
        <w:ind w:left="2160" w:hanging="450"/>
        <w:spacing w:after="0" w:line="268" w:lineRule="auto"/>
        <w:tabs>
          <w:tab w:leader="none" w:pos="2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Fourth, add the five year annuity values calculated in Article II, Section VI (c) (3) (b) plus Article II, Section VI (c) (3) (c) above to determine the total amount of the five year annuity payment.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Early receipt reduction factors will be identical to those used under the terms of the Retirement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(5)</w:t>
      </w:r>
    </w:p>
    <w:p>
      <w:pPr>
        <w:spacing w:after="0" w:line="96" w:lineRule="exact"/>
        <w:rPr>
          <w:sz w:val="20"/>
          <w:szCs w:val="20"/>
          <w:color w:val="auto"/>
        </w:rPr>
      </w:pPr>
    </w:p>
    <w:p>
      <w:pPr>
        <w:ind w:left="1480" w:right="160" w:hanging="567"/>
        <w:spacing w:after="0" w:line="290" w:lineRule="auto"/>
        <w:tabs>
          <w:tab w:leader="none" w:pos="1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conversion of the monthly value of any benefits determined under Article II, Section II, III and IV (after applying any reduction for early age receipt) to a five year annuity form of payment, shall be made using the July average of the 30-year U.S. Treasury Securities rate and the same mortality tables applicable under the Retirement Program at date of separation from service. The discount rate will be redetermined each year as the average of the 30-year U.S. Treasury Securities rate for the month of July and be effective for retirements commencing October 1 following each redetermination through September 30 of the succeeding year. The defined contribution benefits under Article II, Section V for executives with a length of service date on or after January 1, 2001, will not use a mortality table for the conversion to a five year annuity form of payment.</w:t>
      </w:r>
    </w:p>
    <w:p>
      <w:pPr>
        <w:spacing w:after="0" w:line="37" w:lineRule="exact"/>
        <w:rPr>
          <w:rFonts w:ascii="Arial" w:cs="Arial" w:eastAsia="Arial" w:hAnsi="Arial"/>
          <w:sz w:val="16"/>
          <w:szCs w:val="16"/>
          <w:color w:val="auto"/>
        </w:rPr>
      </w:pPr>
    </w:p>
    <w:p>
      <w:pPr>
        <w:ind w:left="1480" w:hanging="567"/>
        <w:spacing w:after="0" w:line="309" w:lineRule="auto"/>
        <w:tabs>
          <w:tab w:leader="none" w:pos="14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Should the executive die during the five year annuity payment period, the remaining five year annuity payments will be converted to a one-time lump sum and paid to a beneficiary named at date of retirement. If the executive is married at date of retirement spousal consent will be required to name a beneficiary other than the spouse. If the primary beneficiary has predeceased the executive, any contingent beneficiaries designated for the executive’s Basic Group Life Insurance (as referred to herein, “Basic Group Life Insurance” includes any successor life insurance plan, including Group Variable Universal Life)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any remaining five year annuity payments will be converted to a one-time lump sum for final payment.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(7)</w:t>
      </w:r>
    </w:p>
    <w:p>
      <w:pPr>
        <w:spacing w:after="0" w:line="96" w:lineRule="exact"/>
        <w:rPr>
          <w:sz w:val="20"/>
          <w:szCs w:val="20"/>
          <w:color w:val="auto"/>
        </w:rPr>
      </w:pPr>
    </w:p>
    <w:p>
      <w:pPr>
        <w:ind w:left="1480" w:hanging="567"/>
        <w:spacing w:after="0" w:line="288" w:lineRule="auto"/>
        <w:tabs>
          <w:tab w:leader="none" w:pos="14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Should an executive who is vested pursuant to the provisions of Article II, Section I die during active service with GM, any five year annuity benefits payable under Article II, Section VI (c) (1) and Article II, Section VI (c) (2) will be converted to a one-time lump sum and paid to the executive’s surviving spouse. If the executive is not married at date of death, the person designated as primary beneficiary for the executive’s Basic Life Insurance will receive the lump sum payment. If the primary beneficiary has predeceased the executive any contingent beneficiaries designated for the executive’s Basic Group Life Insurance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the five year annuity payments will be converted to a lump sum for final payment.</w:t>
      </w:r>
    </w:p>
    <w:p>
      <w:pPr>
        <w:spacing w:after="0" w:line="38"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obligation to provide benefits under this Article II shall cease at the end of the five year annuity period or upon payment of a present value lump sum to multiple named beneficiaries, a trust or to the executive’s estate as described in Article II, Section VI (c) (6) and Article II, Section VI (c) (7)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42" w:name="page143"/>
    <w:bookmarkEnd w:id="14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Section VI. (c) (9)</w:t>
      </w:r>
    </w:p>
    <w:p>
      <w:pPr>
        <w:spacing w:after="0" w:line="96" w:lineRule="exact"/>
        <w:rPr>
          <w:sz w:val="20"/>
          <w:szCs w:val="20"/>
          <w:color w:val="auto"/>
        </w:rPr>
      </w:pPr>
    </w:p>
    <w:p>
      <w:pPr>
        <w:ind w:left="1480" w:hanging="567"/>
        <w:spacing w:after="0" w:line="294" w:lineRule="auto"/>
        <w:tabs>
          <w:tab w:leader="none" w:pos="1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Plan benefits under this Article II for active executives who were age 62 and above as of December 31, 2004 with a minimum of 10 years Part B or Part C credited service under the Retirement Program are grandfathered for benefit amounts accrued and vested through December 31, 2004, in accordance with IRC Section 409A, under the terms of the Plan in effect prior to January 1, 2007. Benefit amounts accrued and vested after December 31, 2004 for such grandfathered executives are payable only as a lifetime monthly annuity. Such grandfathered executives are not eligible for the five year annuity form of payment.</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274" w:right="47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b w:val="1"/>
          <w:bCs w:val="1"/>
          <w:u w:val="single" w:color="auto"/>
          <w:color w:val="auto"/>
        </w:rPr>
        <w:t>DC ERP – Excess Benefits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(Formerly Known as the Benefit Equalization Plan (BEP))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Section I. </w:t>
      </w:r>
      <w:r>
        <w:rPr>
          <w:rFonts w:ascii="Arial" w:cs="Arial" w:eastAsia="Arial" w:hAnsi="Arial"/>
          <w:sz w:val="18"/>
          <w:szCs w:val="18"/>
          <w:b w:val="1"/>
          <w:bCs w:val="1"/>
          <w:u w:val="single" w:color="auto"/>
          <w:color w:val="auto"/>
        </w:rPr>
        <w:t>Eligibility and Vesting</w:t>
      </w:r>
    </w:p>
    <w:p>
      <w:pPr>
        <w:spacing w:after="0" w:line="96" w:lineRule="exact"/>
        <w:rPr>
          <w:sz w:val="20"/>
          <w:szCs w:val="20"/>
          <w:color w:val="auto"/>
        </w:rPr>
      </w:pPr>
    </w:p>
    <w:p>
      <w:pPr>
        <w:ind w:left="900" w:hanging="446"/>
        <w:spacing w:after="0" w:line="335" w:lineRule="auto"/>
        <w:tabs>
          <w:tab w:leader="none" w:pos="9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Eligibility to participate in this Article III shall be limited solely to those active executive level or separated executive level employees, or the designated beneficiaries of such active executive level or separated executive level employees, whose aggregate contributions and benefits under the RSP are in excess of the maximum limitations on compensation, contributions and benefits imposed by Sections 401(a)(17) and/or 415 of the Code.</w:t>
      </w:r>
    </w:p>
    <w:p>
      <w:pPr>
        <w:spacing w:after="0" w:line="7" w:lineRule="exact"/>
        <w:rPr>
          <w:rFonts w:ascii="Arial" w:cs="Arial" w:eastAsia="Arial" w:hAnsi="Arial"/>
          <w:sz w:val="15"/>
          <w:szCs w:val="15"/>
          <w:color w:val="auto"/>
        </w:rPr>
      </w:pPr>
    </w:p>
    <w:p>
      <w:pPr>
        <w:ind w:left="900" w:right="3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purposes of this Article III, the terms “designated beneficiary” or “designated beneficiaries” shall include surviving spouses and contingent beneficiaries.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Eligible executives are immediately vested in any benefits accrued under Article III, Section II (a) prior to January 1, 2007.</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Eligible executives become vested in any benefits accrued on and after January 1, 2007 under Article III Section II (a) upon their attainment of age 55 with a minimum of 10 years’ credited service. For this purpose, credited service is as defined in the RSP.</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4" w:right="31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Section II. </w:t>
      </w:r>
      <w:r>
        <w:rPr>
          <w:rFonts w:ascii="Arial" w:cs="Arial" w:eastAsia="Arial" w:hAnsi="Arial"/>
          <w:sz w:val="18"/>
          <w:szCs w:val="18"/>
          <w:b w:val="1"/>
          <w:bCs w:val="1"/>
          <w:u w:val="single" w:color="auto"/>
          <w:color w:val="auto"/>
        </w:rPr>
        <w:t>Amount of Benefits</w:t>
      </w:r>
    </w:p>
    <w:p>
      <w:pPr>
        <w:spacing w:after="0" w:line="96" w:lineRule="exact"/>
        <w:rPr>
          <w:sz w:val="20"/>
          <w:szCs w:val="20"/>
          <w:color w:val="auto"/>
        </w:rPr>
      </w:pPr>
    </w:p>
    <w:p>
      <w:pPr>
        <w:ind w:left="900" w:hanging="446"/>
        <w:spacing w:after="0" w:line="290"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executive level employee who is eligible to participate in this Article III, or the designated beneficiary of such a deceased executive level employee who was eligible to participate in this Article III, shall be eligible to receive the value of the assets that would have been purchased with, if any, GM RSP matching contribution amounts, plus related earnings on such assets, set forth in Article III, Section II (b) below, but for the maximum benefit limitations imposed under Section 415(c) of the Code and maximum compensation limits imposed under Section 401(a)(17) of the Code. The portion of the Plan that provides benefits in the event the maximum compensation limits under Section 401(a)(17) of the Code apply is an unfunded plan for the purpose of providing deferred compensation for a select group of management or highly compensated employees. The value of assets described in this Article III, Section II (a) shall be separately accounted for each employee or designated beneficiary.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Section II. (b)</w:t>
      </w:r>
    </w:p>
    <w:p>
      <w:pPr>
        <w:spacing w:after="0" w:line="96" w:lineRule="exact"/>
        <w:rPr>
          <w:sz w:val="20"/>
          <w:szCs w:val="20"/>
          <w:color w:val="auto"/>
        </w:rPr>
      </w:pPr>
    </w:p>
    <w:p>
      <w:pPr>
        <w:ind w:left="90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individual notional amounts for each eligible Participant shall be allocated each pay period to an unfunded defined contribution account that will be credited with earnings based on investment options as selected by the Participant. Effective July 15, 2011, the investment options shall be the same as provided under the RSP.</w:t>
      </w:r>
    </w:p>
    <w:p>
      <w:pPr>
        <w:spacing w:after="0" w:line="59" w:lineRule="exact"/>
        <w:rPr>
          <w:sz w:val="20"/>
          <w:szCs w:val="20"/>
          <w:color w:val="auto"/>
        </w:rPr>
      </w:pPr>
    </w:p>
    <w:p>
      <w:pPr>
        <w:ind w:left="920" w:right="40"/>
        <w:spacing w:after="0" w:line="284" w:lineRule="auto"/>
        <w:rPr>
          <w:sz w:val="20"/>
          <w:szCs w:val="20"/>
          <w:color w:val="auto"/>
        </w:rPr>
      </w:pPr>
      <w:r>
        <w:rPr>
          <w:rFonts w:ascii="Arial" w:cs="Arial" w:eastAsia="Arial" w:hAnsi="Arial"/>
          <w:sz w:val="16"/>
          <w:szCs w:val="16"/>
          <w:color w:val="auto"/>
        </w:rPr>
        <w:t>Also effective July 15, 2011, until such time a Participant makes an affirmative investment option election, the Participant’s account will be credited with notional earnings based on the Pyramis Active Lifecycle commingled pools (previously, the Pyramis Strategic Balanced Commingled Pool). Specifically, Participants who do not have an investment election on file will have future notional contributions defaulted to one of twelve</w:t>
      </w:r>
    </w:p>
    <w:p>
      <w:pPr>
        <w:spacing w:after="0" w:line="1" w:lineRule="exact"/>
        <w:rPr>
          <w:sz w:val="20"/>
          <w:szCs w:val="20"/>
          <w:color w:val="auto"/>
        </w:rPr>
      </w:pPr>
    </w:p>
    <w:p>
      <w:pPr>
        <w:ind w:left="920" w:right="20" w:firstLine="1"/>
        <w:spacing w:after="0" w:line="254" w:lineRule="auto"/>
        <w:tabs>
          <w:tab w:leader="none" w:pos="125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Pyramis Active Lifecycle pools with a target retirement date (specified in the pool’s name) closest to the year that a Participant will attain the age of 65. In the event any of the funds are discontinued, absent an election by the Participant (if any), the notional amounts in such funds and future contributions that were designated for such funds will be transferred to the fund that such option is mapped to by the RSP as determined by the Administrator.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III, Section III. </w:t>
      </w:r>
      <w:r>
        <w:rPr>
          <w:rFonts w:ascii="Arial" w:cs="Arial" w:eastAsia="Arial" w:hAnsi="Arial"/>
          <w:sz w:val="18"/>
          <w:szCs w:val="18"/>
          <w:b w:val="1"/>
          <w:bCs w:val="1"/>
          <w:u w:val="single" w:color="auto"/>
          <w:color w:val="auto"/>
        </w:rPr>
        <w:t>Payment of Benefits</w:t>
      </w:r>
    </w:p>
    <w:p>
      <w:pPr>
        <w:spacing w:after="0" w:line="9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For account balance notional amounts accrued and vested on or before December 31, 2004, the amount determined pursuant to Article III, Section II</w:t>
      </w:r>
    </w:p>
    <w:p>
      <w:pPr>
        <w:spacing w:after="0" w:line="49" w:lineRule="exact"/>
        <w:rPr>
          <w:rFonts w:ascii="Arial" w:cs="Arial" w:eastAsia="Arial" w:hAnsi="Arial"/>
          <w:sz w:val="15"/>
          <w:szCs w:val="15"/>
          <w:color w:val="auto"/>
        </w:rPr>
      </w:pPr>
    </w:p>
    <w:p>
      <w:pPr>
        <w:ind w:left="900" w:hanging="1"/>
        <w:spacing w:after="0" w:line="290" w:lineRule="auto"/>
        <w:tabs>
          <w:tab w:leader="none" w:pos="113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for separations prior to January 1, 2007, shall be payable to the Participant in a lump-sum amount on the earlier of the Participant’s request or as soon as practicable following such Participant’s total distribution of their RSP account. Such distributions will be based on the market value on the Business Day on which the request is received or the day in which the Participant’s RSP account is totally distributed, as confirmed by the GM Benefits &amp; Services Center provided that the request is received or the RSP account is totally distributed before the close of business of the New York Stock Exchange (NYSE), normally 4:00 p.m. (EST). A withdrawal request received and confirmed by the GM Benefits &amp; Services Center after the close of business of the NYSE, or on a weekend or holiday observed by the NYSE, will be based on the market value on the next Business Day.</w:t>
      </w:r>
    </w:p>
    <w:p>
      <w:pPr>
        <w:spacing w:after="0" w:line="37"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separations on and after January 1, 2007, payment of vested plan benefits, in the amount determined pursuant to Article III, Section II (a) will be converted to a five year monthly annuity form of payment.</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Conversion of the account value at date of separation to a five year annuity will use the same discount rate applicable under Article II, Section VI (c) (5) at date of separation from service.</w:t>
      </w:r>
    </w:p>
    <w:p>
      <w:pPr>
        <w:spacing w:after="0" w:line="50" w:lineRule="exact"/>
        <w:rPr>
          <w:rFonts w:ascii="Arial" w:cs="Arial" w:eastAsia="Arial" w:hAnsi="Arial"/>
          <w:sz w:val="18"/>
          <w:szCs w:val="18"/>
          <w:color w:val="auto"/>
        </w:rPr>
      </w:pPr>
    </w:p>
    <w:p>
      <w:pPr>
        <w:ind w:left="1480" w:right="220" w:hanging="567"/>
        <w:spacing w:after="0" w:line="332" w:lineRule="auto"/>
        <w:tabs>
          <w:tab w:leader="none" w:pos="148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If the separated executive is eligible for payment of ERP benefits under Article II, payable as a five year annuity, payment of benefits as a five year annuity under this Article III will be combined with and paid coincident with ERP payments under Article II.</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Section III. (c)</w:t>
      </w:r>
    </w:p>
    <w:p>
      <w:pPr>
        <w:spacing w:after="0" w:line="96" w:lineRule="exact"/>
        <w:rPr>
          <w:sz w:val="20"/>
          <w:szCs w:val="20"/>
          <w:color w:val="auto"/>
        </w:rPr>
      </w:pPr>
    </w:p>
    <w:p>
      <w:pPr>
        <w:ind w:left="900" w:hanging="446"/>
        <w:spacing w:after="0" w:line="255"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Prior to an eligible Participant’s separation from service, at the discretion of the Plan Administrator, the payment of benefits under Article III, Section III (a), and (b) above may be reduced in an amount up to $5,000 per year as repayment of amounts that a Participant owes GM or any subsidiary, for any reason, including benefit overpayments, wage overpayments, and amounts due under all incentive compensation plans. Following an eligible Participant’s separation from service, there shall be no limitation to the amount benefits may be reduced. The Participant will be relieved of liability in the amount of the reduction.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b w:val="1"/>
          <w:bCs w:val="1"/>
          <w:u w:val="single" w:color="auto"/>
          <w:color w:val="auto"/>
        </w:rPr>
        <w:t>DC ERP – Discretionary Awards</w:t>
      </w:r>
    </w:p>
    <w:p>
      <w:pPr>
        <w:spacing w:after="0" w:line="96" w:lineRule="exact"/>
        <w:rPr>
          <w:sz w:val="20"/>
          <w:szCs w:val="20"/>
          <w:color w:val="auto"/>
        </w:rPr>
      </w:pPr>
    </w:p>
    <w:p>
      <w:pPr>
        <w:ind w:left="900" w:right="32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by and through the Executive Compensation Committee of the General Motors Company Board of Directors or its delegate, may, from time-to-time in its sole discretion, grant individual awards to selected executives under the Plan.</w:t>
      </w:r>
    </w:p>
    <w:p>
      <w:pPr>
        <w:spacing w:after="0" w:line="50"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terms of an award granted under this Article IV shall be set forth in the award agreement delivered to such executive or group of executives.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Conditions related to the award must comply with IRC 409A.</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Amounts of awards granted under this Article IV shall be separately accounted for in an unfunded individual defined contribution account for the benefit of each Participant.</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separation from service, if the Participant is otherwise eligible for ERP (other than the ten year service requirement), the account balance amount of the vested award will be converted to a five-year monthly annuity form of payment.</w:t>
      </w:r>
    </w:p>
    <w:p>
      <w:pPr>
        <w:spacing w:after="0" w:line="5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Conversion of the account balance amount of the vested award at date of separation to a five year annuity will use the same discount rate applicable under Article II, Section VI (c) (5) at date of separation from service.</w:t>
      </w:r>
    </w:p>
    <w:p>
      <w:pPr>
        <w:spacing w:after="0" w:line="5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 separated Participant is eligible for payment of any ERP benefits under Article II or Article III, payable as a five year annuity, payment of any vested Discretionary Award as a five-year annuity will be combined with and paid coincident with ERP payments under Article II or Article III.</w:t>
      </w:r>
    </w:p>
    <w:p>
      <w:pPr>
        <w:spacing w:after="0" w:line="59" w:lineRule="exact"/>
        <w:rPr>
          <w:rFonts w:ascii="Arial" w:cs="Arial" w:eastAsia="Arial" w:hAnsi="Arial"/>
          <w:sz w:val="18"/>
          <w:szCs w:val="18"/>
          <w:color w:val="auto"/>
        </w:rPr>
      </w:pPr>
    </w:p>
    <w:p>
      <w:pPr>
        <w:ind w:left="1480" w:hanging="567"/>
        <w:spacing w:after="0" w:line="294" w:lineRule="auto"/>
        <w:tabs>
          <w:tab w:leader="none" w:pos="14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Prior to an eligible Participant’s separation from service, at the discretion of the Plan Administrator, the payment of any award under Article IV may be reduced in an amount up to $5,000 per year as repayment of amounts that a Participant owes GM or any subsidiary, for any reason, including benefit overpayments, wage overpayments, and amounts due under all incentive compensation plans. Following an eligible Participant’s separation from service, there shall be no limitation to the amount any award under Article IV may be reduced. The Participant will be relieved of liability in the amount of the reduction.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 (c) (4)</w:t>
      </w:r>
    </w:p>
    <w:p>
      <w:pPr>
        <w:spacing w:after="0" w:line="96"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unvested Award shall be forfeited upon separation from service.</w:t>
      </w:r>
    </w:p>
    <w:p>
      <w:pPr>
        <w:spacing w:after="0" w:line="90" w:lineRule="exact"/>
        <w:rPr>
          <w:rFonts w:ascii="Arial" w:cs="Arial" w:eastAsia="Arial" w:hAnsi="Arial"/>
          <w:sz w:val="18"/>
          <w:szCs w:val="18"/>
          <w:color w:val="auto"/>
        </w:rPr>
      </w:pPr>
    </w:p>
    <w:p>
      <w:pPr>
        <w:ind w:left="1480" w:right="20" w:hanging="567"/>
        <w:spacing w:after="0" w:line="294" w:lineRule="auto"/>
        <w:tabs>
          <w:tab w:leader="none" w:pos="1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Should the Participant die during the five year annuity payment period, the remaining five year annuity payments will be converted to a one-time lump sum and paid to the Participant’s designated beneficiary. If the Participant is married at date of separation from service, spousal consent will be required to name a beneficiary other than the spouse. If an entity (such as a trust or charitable organization) is named as beneficiary, or the Participant should have no living beneficiary, any remaining five year annuity payments will be converted to a one-time lump sum for final payment to such entity or to the Participant’s estate.</w:t>
      </w:r>
    </w:p>
    <w:p>
      <w:pPr>
        <w:spacing w:after="0" w:line="34" w:lineRule="exact"/>
        <w:rPr>
          <w:rFonts w:ascii="Arial" w:cs="Arial" w:eastAsia="Arial" w:hAnsi="Arial"/>
          <w:sz w:val="16"/>
          <w:szCs w:val="16"/>
          <w:color w:val="auto"/>
        </w:rPr>
      </w:pPr>
    </w:p>
    <w:p>
      <w:pPr>
        <w:ind w:left="1480" w:hanging="567"/>
        <w:spacing w:after="0" w:line="298" w:lineRule="auto"/>
        <w:tabs>
          <w:tab w:leader="none" w:pos="14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Should a Participant who is vested pursuant to Article IV (c) die during active service with GM, any five year annuity benefits payable under this Article IV will be converted to a one-time lump sum and paid to the Participant’s surviving spouse or other designated beneficiary. If an entity (such as a trust or charitable organization) is named as beneficiary, or the Participant should have no living beneficiary, the five year annuity payments will be converted to a lump sum for final payment to such entity or to the Participant’s estate.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b w:val="1"/>
          <w:bCs w:val="1"/>
          <w:u w:val="single" w:color="auto"/>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Section I. </w:t>
      </w:r>
      <w:r>
        <w:rPr>
          <w:rFonts w:ascii="Arial" w:cs="Arial" w:eastAsia="Arial" w:hAnsi="Arial"/>
          <w:sz w:val="18"/>
          <w:szCs w:val="18"/>
          <w:b w:val="1"/>
          <w:bCs w:val="1"/>
          <w:u w:val="single" w:color="auto"/>
          <w:color w:val="auto"/>
        </w:rPr>
        <w:t>Amendment, Modification, Suspension, or Termination by Company</w:t>
      </w:r>
    </w:p>
    <w:p>
      <w:pPr>
        <w:spacing w:after="0" w:line="96" w:lineRule="exact"/>
        <w:rPr>
          <w:sz w:val="20"/>
          <w:szCs w:val="20"/>
          <w:color w:val="auto"/>
        </w:rPr>
      </w:pPr>
    </w:p>
    <w:p>
      <w:pPr>
        <w:ind w:left="900" w:hanging="446"/>
        <w:spacing w:after="0" w:line="289"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reserves the right, by and through the Executive Compensation Committee of the General Motors Company Board of Directors or its delegate, to amend, modify, suspend, or terminate the Plan in whole or in part, at any time. No oral statements can change the terms of the Plan. The Plan can only be amended, in writing, by the Board of Directors, the Executive Compensation Committee, or an appropriate individual or committee as designated by the Board of Directors or Executive Compensation Committee. The Company shall not terminate the Plan if such termination would result in tax and penalties under Section 409A of the Code, unless the Company acknowledges in writing that one of the results of a termination will be tax and penalties under the Code. Absent an express delegation of authority from the Board of Directors or the Executive Compensation Committee, no one has the authority to commit the Company to any benefit or benefits provision not provided for under the Plan or to change the eligibility criteria or other provisions of the Plan.</w:t>
      </w:r>
    </w:p>
    <w:p>
      <w:pPr>
        <w:spacing w:after="0" w:line="37"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may, from time-to-time and in its sole discretion, adopt limited early retirement provisions to provide retirements (i) during a specified period of time, (ii) at a specified level of benefits, and (iii) for identified executive employees. Any such early retirement provisions relating to the Plan that may be adopted by the Company are made a part of the Plan as though set out fully herein.</w:t>
      </w:r>
    </w:p>
    <w:p>
      <w:pPr>
        <w:spacing w:after="0" w:line="25"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may, from time-to-time and in its sole discretion, adjust the amount of an executive’s credited service used to determine the benefits under the Plan, or the amount of benefits payable to an executive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51" w:name="page152"/>
    <w:bookmarkEnd w:id="15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V, Section II.</w:t>
      </w:r>
      <w:r>
        <w:rPr>
          <w:rFonts w:ascii="Arial" w:cs="Arial" w:eastAsia="Arial" w:hAnsi="Arial"/>
          <w:sz w:val="18"/>
          <w:szCs w:val="18"/>
          <w:b w:val="1"/>
          <w:bCs w:val="1"/>
          <w:color w:val="auto"/>
        </w:rPr>
        <w:t xml:space="preserve"> Special Rules</w:t>
      </w:r>
    </w:p>
    <w:p>
      <w:pPr>
        <w:spacing w:after="0" w:line="96" w:lineRule="exact"/>
        <w:rPr>
          <w:sz w:val="20"/>
          <w:szCs w:val="20"/>
          <w:color w:val="auto"/>
        </w:rPr>
      </w:pPr>
    </w:p>
    <w:p>
      <w:pPr>
        <w:ind w:left="900" w:right="40" w:hanging="446"/>
        <w:spacing w:after="0" w:line="256"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 provision of the Plan, no elections, modifications or distributions will be allowed or implemented if they would cause an otherwise eligible Participant to be subject to tax (including interest and penalties) under Section 409A of the Code, unless the Committee specifies in writing that such elections, modifications or distributions shall be made notwithstanding the impact of such tax (e.g. court order, adverse business conditions).</w:t>
      </w:r>
    </w:p>
    <w:p>
      <w:pPr>
        <w:spacing w:after="0" w:line="6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Specified employees, as defined by IRC 409A, will have a six month waiting period (or, if earlier, the date of death) before commencement of payment of any Plan benefits payable on account of a separation from service. During the six month waiting period, all amounts payable under the Plan will accumulate without interest and be paid effective with the seventh monthly payment.</w:t>
      </w:r>
    </w:p>
    <w:p>
      <w:pPr>
        <w:spacing w:after="0" w:line="25"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at the time of separation from service the present value of all benefits under the Plan is less than the dollar limit under Section 402(g) of the Code as adjusted by the Secretary of the Treasury ($16,500 for 2010) such amount shall be paid in a lump sum within 90 days of such separation.</w:t>
      </w:r>
    </w:p>
    <w:p>
      <w:pPr>
        <w:spacing w:after="0" w:line="4"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the provisions of the Plan to the contrary, under the provisions of Treasury Regulation Section 1.409A-3(j) benefits may be paid prior to the applicable payment date in the following events: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Pursuant to the terms of a Qualified Domestic Relations Order, as defined in Section 414(p) of the Code;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To comply with an ethics agreement with the federal government, or to avoid a violation any domestic or foreign ethics law or conflicts law;</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satisfy any Federal Insurance Contributions Act (FICA) tax obligations;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To pay the Participant an amount required to be included in income due to a failure of the Plan to comply with Section 409A of the Code;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Upon termination of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pay state, local or foreign taxes arising from participation in the Plan;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3" w:right="319" w:bottom="1440" w:gutter="0" w:footer="0" w:header="0"/>
        </w:sectPr>
      </w:pPr>
    </w:p>
    <w:bookmarkStart w:id="152" w:name="page153"/>
    <w:bookmarkEnd w:id="15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V, Section II. (d) (7)</w:t>
      </w:r>
    </w:p>
    <w:p>
      <w:pPr>
        <w:spacing w:after="0" w:line="96" w:lineRule="exact"/>
        <w:rPr>
          <w:sz w:val="20"/>
          <w:szCs w:val="20"/>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settle a bona fide dispute as to a Participant’s right to a Plan distribution.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May 1, 2009 monthly benefits payable under Article II, Section VI shall be reduced by 10% on a temporary basis;</w:t>
      </w:r>
    </w:p>
    <w:p>
      <w:pPr>
        <w:spacing w:after="0" w:line="90"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Participants receiving lifetime monthly annuity benefits, including those retired prior to January 1, 2007 and grandfathered executives referred to in Article II Section VI (c) (9), the 10% reduction shall be applied to the amount of monthly benefits in pay status as of April 2009.</w:t>
      </w:r>
    </w:p>
    <w:p>
      <w:pPr>
        <w:spacing w:after="0" w:line="59"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Participants receiving five year monthly annuity benefits under this subsection (e), 10% of the life annuity value prior to its conversion to a five year annuity will be subtracted from the five year annuity that would otherwise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June 1, 2009 the amount of monthly benefits payable is limited to $8,000, on a temporary basis.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Participants receiving lifetime monthly annuity benefits, the $8,000 monthly limit is applied to the amount of monthly benefits payable after imposition of the 10% reduction referred to in subsection (f).</w:t>
      </w:r>
    </w:p>
    <w:p>
      <w:pPr>
        <w:spacing w:after="0" w:line="5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For Participants receiving five year monthly annuity benefits, first reduce the life annuity prior to conversion to a five year annuity by 10% as referred to in Article V, Section II, (e) (2). Next, if the remaining life annuity exceeds $8,000 per month, further reduce the five year annuity that would be otherwise payable by the difference between the 10% reduced life annuity and $8,000.</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274" w:right="39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V, Section II. (g)</w:t>
      </w:r>
    </w:p>
    <w:p>
      <w:pPr>
        <w:spacing w:after="0" w:line="96" w:lineRule="exact"/>
        <w:rPr>
          <w:sz w:val="20"/>
          <w:szCs w:val="20"/>
          <w:color w:val="auto"/>
        </w:rPr>
      </w:pPr>
    </w:p>
    <w:p>
      <w:pPr>
        <w:ind w:left="900" w:hanging="446"/>
        <w:spacing w:after="0" w:line="256"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of a sale of assets under Section 363 the Bankruptcy Code and the assumption of the Plan by General Motors LLC, the temporary 10% reduction under subsection (e) shall become permanent. In addition, for executive retirees who have a combined tax-qualified SRP plus non-qualified benefit under the Plan in excess of $100,000 per annum on a life annuity basis, the amount of benefits under the Plan over the combined $100,000 per annum threshold shall be reduced by 2/3rds.</w:t>
      </w:r>
    </w:p>
    <w:p>
      <w:pPr>
        <w:spacing w:after="0" w:line="62"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For the purpose of determining the $100,000 threshold for Participants receiving monthly life annuity benefits, such determination shall be made after the reduction of the monthly benefit for the cost of any survivor option.</w:t>
      </w:r>
    </w:p>
    <w:p>
      <w:pPr>
        <w:spacing w:after="0" w:line="50" w:lineRule="exact"/>
        <w:rPr>
          <w:rFonts w:ascii="Arial" w:cs="Arial" w:eastAsia="Arial" w:hAnsi="Arial"/>
          <w:sz w:val="18"/>
          <w:szCs w:val="18"/>
          <w:color w:val="auto"/>
        </w:rPr>
      </w:pPr>
    </w:p>
    <w:p>
      <w:pPr>
        <w:ind w:left="1480" w:right="140" w:hanging="567"/>
        <w:spacing w:after="0" w:line="306" w:lineRule="auto"/>
        <w:tabs>
          <w:tab w:leader="none" w:pos="14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For the purpose of determining the $100,000 threshold convert any five year annuity form of payment to a life annuity. After application of any reduction described in Article V Section II (g) above, convert the remaining life annuity back to a five year annuity for continued payment using the same five year annuity conversion factors as applied at original benefit commencement date.</w:t>
      </w:r>
    </w:p>
    <w:p>
      <w:pPr>
        <w:spacing w:after="0" w:line="25" w:lineRule="exact"/>
        <w:rPr>
          <w:rFonts w:ascii="Arial" w:cs="Arial" w:eastAsia="Arial" w:hAnsi="Arial"/>
          <w:sz w:val="16"/>
          <w:szCs w:val="16"/>
          <w:color w:val="auto"/>
        </w:rPr>
      </w:pPr>
    </w:p>
    <w:p>
      <w:pPr>
        <w:jc w:val="both"/>
        <w:ind w:left="900" w:right="40" w:hanging="446"/>
        <w:spacing w:after="0" w:line="306"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of a sale of assets under Section 363 the Bankruptcy Code and the assumption of the Plan by General Motors LLC as of the date of such sale, the monthly benefits accrued by active executive employees under Article II, Sections II, III and IV shall be frozen and reduced by 10%. Future benefit accruals for executive employees following the date of sale shall be determined under Article II, Sections IV and V.</w:t>
      </w:r>
    </w:p>
    <w:p>
      <w:pPr>
        <w:spacing w:after="0" w:line="107"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b w:val="1"/>
          <w:bCs w:val="1"/>
          <w:i w:val="1"/>
          <w:iCs w:val="1"/>
          <w:color w:val="auto"/>
        </w:rPr>
        <w:t>Notwithstanding the above, other than suspension or forfeiture as set forth in Article I, Section IV (b) with respect to any benefits that are vested or in payment pursuant to the terms of the Plan, the prior Benefit Equalization Plan or the prior Supplemental Executive Retirement Program (SERP), no amendment, modification, suspension, or termination may reduce the vested rights or benefits of Participants under the Plan, including benefits being provided to current executive retirees or their surviving spouse, without the Participant’s, retiree’s, or surviving spouse’s written permission, unless such amendment, modification, suspension or termination is required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Section III. </w:t>
      </w:r>
      <w:r>
        <w:rPr>
          <w:rFonts w:ascii="Arial" w:cs="Arial" w:eastAsia="Arial" w:hAnsi="Arial"/>
          <w:sz w:val="18"/>
          <w:szCs w:val="18"/>
          <w:b w:val="1"/>
          <w:bCs w:val="1"/>
          <w:u w:val="single" w:color="auto"/>
          <w:color w:val="auto"/>
        </w:rPr>
        <w:t>Claim Denial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sets forth the mandatory, exclusive appeal procedure. The Plan Administrator will provide adequate notice, in writing, to any Participant or beneficiary whose claim for benefits under the Plan has been denied, setting forth the specific reasons for such denial. The Participant or beneficiary will be given an opportunity for a full and fair review of a decision by the Plan Administrator denying a claim for benefits. An appeal may be filed with the Executive Compensation Committee of the Board of Directors, which has been delegated final discretionary authority to construe, interpret, apply, and administer the Plan. Such appeal to the Executive Compensation Committee must be filed, in writing, within 60 days from the date of the written decision from the Plan Administrator denying the claim for benefits. Such an appeal may be initiated by forwarding the request to General Motors LLC, 300 Renaissance Center, Mail Code 482-C32-C61, P.O. Box 300, Detroit, Michigan 48265-3000. As a part of this review, the Participant or beneficiary must submit any written comments that may support their position. The Executive Compensation Committee shall be the final review authority with respect to appeals, and its decision shall be final and binding upon the Company and the participant or beneficiary.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Section IV. </w:t>
      </w:r>
      <w:r>
        <w:rPr>
          <w:rFonts w:ascii="Arial" w:cs="Arial" w:eastAsia="Arial" w:hAnsi="Arial"/>
          <w:sz w:val="18"/>
          <w:szCs w:val="18"/>
          <w:b w:val="1"/>
          <w:bCs w:val="1"/>
          <w:u w:val="single" w:color="auto"/>
          <w:color w:val="auto"/>
        </w:rPr>
        <w:t>Service of Legal Process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Service of legal process on General Motors LLC may be made at any office of the CT Corporation. The CT Corporation, which maintains offices in 50 states, is the statutory agent for services of legal process on General Motors LLC. The procedure for making such service generally is known to practicing attorneys. Services of legal process also may be made upon General Motors LLC, 400 Renaissance Center, Mail Code 482-038-210, Detroit, Michigan 48265-4000.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RETIREMENT PLAN</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Section V. </w:t>
      </w:r>
      <w:r>
        <w:rPr>
          <w:rFonts w:ascii="Arial" w:cs="Arial" w:eastAsia="Arial" w:hAnsi="Arial"/>
          <w:sz w:val="18"/>
          <w:szCs w:val="18"/>
          <w:b w:val="1"/>
          <w:bCs w:val="1"/>
          <w:u w:val="single" w:color="auto"/>
          <w:color w:val="auto"/>
        </w:rPr>
        <w:t>Named Fiduciary</w:t>
      </w:r>
    </w:p>
    <w:p>
      <w:pPr>
        <w:spacing w:after="0" w:line="96"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The Executive Compensation Committee of the General Motors Company Board of Directors shall be the Named Fiduciary with respect to the Plan. The Executive Compensation Committee may delegate authority to carry out such of its responsibilities, as it deems proper, to the extent permitted by ERISA.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V, Section VI. </w:t>
      </w:r>
      <w:r>
        <w:rPr>
          <w:rFonts w:ascii="Arial" w:cs="Arial" w:eastAsia="Arial" w:hAnsi="Arial"/>
          <w:sz w:val="18"/>
          <w:szCs w:val="18"/>
          <w:b w:val="1"/>
          <w:bCs w:val="1"/>
          <w:u w:val="single" w:color="auto"/>
          <w:color w:val="auto"/>
        </w:rPr>
        <w:t>Non-Assignability</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a condition of the Plan, and all rights of each Participant shall be subject thereto, that to the full extent permissible by law no right or interest of any Participant in the Plan or in his or her account shall be assignable or transferable, in whole or in part, either directly or by operation of law or otherwise, including, but not by way of limitation, execution, levy, garnishment, attachment, pledge, bankruptcy, or in any other manner, and further excluding devolution by death or mental incompetence. No right or interest of any Participant in the Plan or in their account shall be liable for, or subject to, any obligation or liability of such Participant except as provided in Article II, Section VI (b).</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lowerLetter"/>
      <w:start w:val="1"/>
    </w:lvl>
  </w:abstractNum>
  <w:abstractNum w:abstractNumId="3">
    <w:nsid w:val="579BE4F1"/>
    <w:multiLevelType w:val="hybridMultilevel"/>
    <w:lvl w:ilvl="0">
      <w:lvlJc w:val="left"/>
      <w:lvlText w:val="(%1)"/>
      <w:numFmt w:val="lowerLetter"/>
      <w:start w:val="1"/>
    </w:lvl>
  </w:abstractNum>
  <w:abstractNum w:abstractNumId="4">
    <w:nsid w:val="310C50B3"/>
    <w:multiLevelType w:val="hybridMultilevel"/>
    <w:lvl w:ilvl="0">
      <w:lvlJc w:val="left"/>
      <w:lvlText w:val="(%1)"/>
      <w:numFmt w:val="lowerLetter"/>
      <w:start w:val="1"/>
    </w:lvl>
  </w:abstractNum>
  <w:abstractNum w:abstractNumId="5">
    <w:nsid w:val="5FF87E05"/>
    <w:multiLevelType w:val="hybridMultilevel"/>
    <w:lvl w:ilvl="0">
      <w:lvlJc w:val="left"/>
      <w:lvlText w:val="(%1)"/>
      <w:numFmt w:val="lowerLetter"/>
      <w:start w:val="1"/>
    </w:lvl>
  </w:abstractNum>
  <w:abstractNum w:abstractNumId="6">
    <w:nsid w:val="2F305DEF"/>
    <w:multiLevelType w:val="hybridMultilevel"/>
    <w:lvl w:ilvl="0">
      <w:lvlJc w:val="left"/>
      <w:lvlText w:val="(%1)"/>
      <w:numFmt w:val="lowerLetter"/>
      <w:start w:val="1"/>
    </w:lvl>
  </w:abstractNum>
  <w:abstractNum w:abstractNumId="7">
    <w:nsid w:val="25A70BF7"/>
    <w:multiLevelType w:val="hybridMultilevel"/>
    <w:lvl w:ilvl="0">
      <w:lvlJc w:val="left"/>
      <w:lvlText w:val="(%1)"/>
      <w:numFmt w:val="lowerLetter"/>
      <w:start w:val="1"/>
    </w:lvl>
  </w:abstractNum>
  <w:abstractNum w:abstractNumId="8">
    <w:nsid w:val="1DBABF00"/>
    <w:multiLevelType w:val="hybridMultilevel"/>
    <w:lvl w:ilvl="0">
      <w:lvlJc w:val="left"/>
      <w:lvlText w:val="(%1)"/>
      <w:numFmt w:val="lowerLetter"/>
      <w:start w:val="1"/>
    </w:lvl>
  </w:abstractNum>
  <w:abstractNum w:abstractNumId="9">
    <w:nsid w:val="4AD084E9"/>
    <w:multiLevelType w:val="hybridMultilevel"/>
    <w:lvl w:ilvl="0">
      <w:lvlJc w:val="left"/>
      <w:lvlText w:val="(%1)"/>
      <w:numFmt w:val="lowerLetter"/>
      <w:start w:val="1"/>
    </w:lvl>
  </w:abstractNum>
  <w:abstractNum w:abstractNumId="10">
    <w:nsid w:val="1F48EAA1"/>
    <w:multiLevelType w:val="hybridMultilevel"/>
    <w:lvl w:ilvl="0">
      <w:lvlJc w:val="left"/>
      <w:lvlText w:val="(%1)"/>
      <w:numFmt w:val="lowerLetter"/>
      <w:start w:val="1"/>
    </w:lvl>
  </w:abstractNum>
  <w:abstractNum w:abstractNumId="11">
    <w:nsid w:val="1381823A"/>
    <w:multiLevelType w:val="hybridMultilevel"/>
    <w:lvl w:ilvl="0">
      <w:lvlJc w:val="left"/>
      <w:lvlText w:val="(%1)"/>
      <w:numFmt w:val="lowerLetter"/>
      <w:start w:val="1"/>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1)"/>
      <w:numFmt w:val="lowerLetter"/>
      <w:start w:val="1"/>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1)"/>
      <w:numFmt w:val="lowerLetter"/>
      <w:start w:val="1"/>
    </w:lvl>
  </w:abstractNum>
  <w:abstractNum w:abstractNumId="19">
    <w:nsid w:val="6B94764"/>
    <w:multiLevelType w:val="hybridMultilevel"/>
    <w:lvl w:ilvl="0">
      <w:lvlJc w:val="left"/>
      <w:lvlText w:val="(%1)"/>
      <w:numFmt w:val="lowerLetter"/>
      <w:start w:val="1"/>
    </w:lvl>
  </w:abstractNum>
  <w:abstractNum w:abstractNumId="20">
    <w:nsid w:val="42C296BD"/>
    <w:multiLevelType w:val="hybridMultilevel"/>
    <w:lvl w:ilvl="0">
      <w:lvlJc w:val="left"/>
      <w:lvlText w:val="(%1)"/>
      <w:numFmt w:val="lowerLetter"/>
      <w:start w:val="1"/>
    </w:lvl>
  </w:abstractNum>
  <w:abstractNum w:abstractNumId="21">
    <w:nsid w:val="168E121F"/>
    <w:multiLevelType w:val="hybridMultilevel"/>
    <w:lvl w:ilvl="0">
      <w:lvlJc w:val="left"/>
      <w:lvlText w:val="(%1)"/>
      <w:numFmt w:val="lowerLetter"/>
      <w:start w:val="1"/>
    </w:lvl>
  </w:abstractNum>
  <w:abstractNum w:abstractNumId="22">
    <w:nsid w:val="1EBA5D23"/>
    <w:multiLevelType w:val="hybridMultilevel"/>
    <w:lvl w:ilvl="0">
      <w:lvlJc w:val="left"/>
      <w:lvlText w:val="(%1)"/>
      <w:numFmt w:val="lowerLetter"/>
      <w:start w:val="1"/>
    </w:lvl>
  </w:abstractNum>
  <w:abstractNum w:abstractNumId="23">
    <w:nsid w:val="661E3F1E"/>
    <w:multiLevelType w:val="hybridMultilevel"/>
    <w:lvl w:ilvl="0">
      <w:lvlJc w:val="left"/>
      <w:lvlText w:val="(%1)"/>
      <w:numFmt w:val="lowerLetter"/>
      <w:start w:val="2"/>
    </w:lvl>
  </w:abstractNum>
  <w:abstractNum w:abstractNumId="24">
    <w:nsid w:val="5DC79EA8"/>
    <w:multiLevelType w:val="hybridMultilevel"/>
    <w:lvl w:ilvl="0">
      <w:lvlJc w:val="left"/>
      <w:lvlText w:val="(%1)"/>
      <w:numFmt w:val="lowerLetter"/>
      <w:start w:val="1"/>
    </w:lvl>
  </w:abstractNum>
  <w:abstractNum w:abstractNumId="25">
    <w:nsid w:val="540A471C"/>
    <w:multiLevelType w:val="hybridMultilevel"/>
    <w:lvl w:ilvl="0">
      <w:lvlJc w:val="left"/>
      <w:lvlText w:val="(%1)"/>
      <w:numFmt w:val="lowerLetter"/>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lowerLetter"/>
      <w:start w:val="1"/>
    </w:lvl>
  </w:abstractNum>
  <w:abstractNum w:abstractNumId="29">
    <w:nsid w:val="BF72B14"/>
    <w:multiLevelType w:val="hybridMultilevel"/>
    <w:lvl w:ilvl="0">
      <w:lvlJc w:val="left"/>
      <w:lvlText w:val="(%1)"/>
      <w:numFmt w:val="lowerLetter"/>
      <w:start w:val="1"/>
    </w:lvl>
  </w:abstractNum>
  <w:abstractNum w:abstractNumId="30">
    <w:nsid w:val="11447B73"/>
    <w:multiLevelType w:val="hybridMultilevel"/>
    <w:lvl w:ilvl="0">
      <w:lvlJc w:val="left"/>
      <w:lvlText w:val="(%1)"/>
      <w:numFmt w:val="lowerLetter"/>
      <w:start w:val="1"/>
    </w:lvl>
  </w:abstractNum>
  <w:abstractNum w:abstractNumId="31">
    <w:nsid w:val="42963E5A"/>
    <w:multiLevelType w:val="hybridMultilevel"/>
    <w:lvl w:ilvl="0">
      <w:lvlJc w:val="left"/>
      <w:lvlText w:val="(%1)"/>
      <w:numFmt w:val="lowerLetter"/>
      <w:start w:val="1"/>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Letter"/>
      <w:start w:val="1"/>
    </w:lvl>
  </w:abstractNum>
  <w:abstractNum w:abstractNumId="34">
    <w:nsid w:val="1A32234B"/>
    <w:multiLevelType w:val="hybridMultilevel"/>
    <w:lvl w:ilvl="0">
      <w:lvlJc w:val="left"/>
      <w:lvlText w:val="(%1)"/>
      <w:numFmt w:val="lowerLetter"/>
      <w:start w:val="1"/>
    </w:lvl>
  </w:abstractNum>
  <w:abstractNum w:abstractNumId="35">
    <w:nsid w:val="3B0FD379"/>
    <w:multiLevelType w:val="hybridMultilevel"/>
    <w:lvl w:ilvl="0">
      <w:lvlJc w:val="left"/>
      <w:lvlText w:val="(%1)"/>
      <w:numFmt w:val="lowerLetter"/>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1)"/>
      <w:numFmt w:val="lowerLetter"/>
      <w:start w:val="1"/>
    </w:lvl>
  </w:abstractNum>
  <w:abstractNum w:abstractNumId="38">
    <w:nsid w:val="60B6DF70"/>
    <w:multiLevelType w:val="hybridMultilevel"/>
    <w:lvl w:ilvl="0">
      <w:lvlJc w:val="left"/>
      <w:lvlText w:val="(%1)"/>
      <w:numFmt w:val="lowerLetter"/>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1)"/>
      <w:numFmt w:val="lowerLetter"/>
      <w:start w:val="1"/>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7"/>
    </w:lvl>
  </w:abstractNum>
  <w:abstractNum w:abstractNumId="43">
    <w:nsid w:val="71EA1109"/>
    <w:multiLevelType w:val="hybridMultilevel"/>
    <w:lvl w:ilvl="0">
      <w:lvlJc w:val="left"/>
      <w:lvlText w:val="(%1)"/>
      <w:numFmt w:val="lowerLetter"/>
      <w:start w:val="1"/>
    </w:lvl>
  </w:abstractNum>
  <w:abstractNum w:abstractNumId="44">
    <w:nsid w:val="100F59DC"/>
    <w:multiLevelType w:val="hybridMultilevel"/>
    <w:lvl w:ilvl="0">
      <w:lvlJc w:val="left"/>
      <w:lvlText w:val="(%1)"/>
      <w:numFmt w:val="decimal"/>
      <w:start w:val="6"/>
    </w:lvl>
  </w:abstractNum>
  <w:abstractNum w:abstractNumId="45">
    <w:nsid w:val="7FB7E0AA"/>
    <w:multiLevelType w:val="hybridMultilevel"/>
    <w:lvl w:ilvl="0">
      <w:lvlJc w:val="left"/>
      <w:lvlText w:val="(%1)"/>
      <w:numFmt w:val="decimal"/>
      <w:start w:val="10"/>
    </w:lvl>
  </w:abstractNum>
  <w:abstractNum w:abstractNumId="46">
    <w:nsid w:val="6EB5BD4"/>
    <w:multiLevelType w:val="hybridMultilevel"/>
    <w:lvl w:ilvl="0">
      <w:lvlJc w:val="left"/>
      <w:lvlText w:val="(%1)"/>
      <w:numFmt w:val="decimal"/>
      <w:start w:val="3"/>
    </w:lvl>
  </w:abstractNum>
  <w:abstractNum w:abstractNumId="47">
    <w:nsid w:val="6F6DD9AC"/>
    <w:multiLevelType w:val="hybridMultilevel"/>
    <w:lvl w:ilvl="0">
      <w:lvlJc w:val="left"/>
      <w:lvlText w:val="(%1)"/>
      <w:numFmt w:val="decimal"/>
      <w:start w:val="7"/>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1)"/>
      <w:numFmt w:val="decimal"/>
      <w:start w:val="4"/>
    </w:lvl>
  </w:abstractNum>
  <w:abstractNum w:abstractNumId="51">
    <w:nsid w:val="4C04A8AF"/>
    <w:multiLevelType w:val="hybridMultilevel"/>
    <w:lvl w:ilvl="0">
      <w:lvlJc w:val="left"/>
      <w:lvlText w:val="(%1)"/>
      <w:numFmt w:val="decimal"/>
      <w:start w:val="8"/>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5"/>
    </w:lvl>
  </w:abstractNum>
  <w:abstractNum w:abstractNumId="54">
    <w:nsid w:val="3222E7CD"/>
    <w:multiLevelType w:val="hybridMultilevel"/>
    <w:lvl w:ilvl="0">
      <w:lvlJc w:val="left"/>
      <w:lvlText w:val="(%1)"/>
      <w:numFmt w:val="decimal"/>
      <w:start w:val="3"/>
    </w:lvl>
  </w:abstractNum>
  <w:abstractNum w:abstractNumId="55">
    <w:nsid w:val="74DE0EE3"/>
    <w:multiLevelType w:val="hybridMultilevel"/>
    <w:lvl w:ilvl="0">
      <w:lvlJc w:val="left"/>
      <w:lvlText w:val="(%1)"/>
      <w:numFmt w:val="lowerLetter"/>
      <w:start w:val="1"/>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lowerLetter"/>
      <w:start w:val="6"/>
    </w:lvl>
  </w:abstractNum>
  <w:abstractNum w:abstractNumId="58">
    <w:nsid w:val="46B7D447"/>
    <w:multiLevelType w:val="hybridMultilevel"/>
    <w:lvl w:ilvl="0">
      <w:lvlJc w:val="left"/>
      <w:lvlText w:val="(%1)"/>
      <w:numFmt w:val="lowerLetter"/>
      <w:start w:val="7"/>
    </w:lvl>
  </w:abstractNum>
  <w:abstractNum w:abstractNumId="59">
    <w:nsid w:val="4A2AC315"/>
    <w:multiLevelType w:val="hybridMultilevel"/>
    <w:lvl w:ilvl="0">
      <w:lvlJc w:val="left"/>
      <w:lvlText w:val="(%1)"/>
      <w:numFmt w:val="lowerLetter"/>
      <w:start w:val="8"/>
    </w:lvl>
  </w:abstractNum>
  <w:abstractNum w:abstractNumId="60">
    <w:nsid w:val="39EE015C"/>
    <w:multiLevelType w:val="hybridMultilevel"/>
    <w:lvl w:ilvl="0">
      <w:lvlJc w:val="left"/>
      <w:lvlText w:val="(%1)"/>
      <w:numFmt w:val="decimal"/>
      <w:start w:val="7"/>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decimal"/>
      <w:start w:val="2"/>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decimal"/>
      <w:start w:val="2"/>
    </w:lvl>
  </w:abstractNum>
  <w:abstractNum w:abstractNumId="66">
    <w:nsid w:val="7F01579B"/>
    <w:multiLevelType w:val="hybridMultilevel"/>
    <w:lvl w:ilvl="0">
      <w:lvlJc w:val="left"/>
      <w:lvlText w:val="(%1)"/>
      <w:numFmt w:val="decimal"/>
      <w:start w:val="4"/>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1."/>
      <w:numFmt w:val="decimal"/>
      <w:start w:val="1"/>
    </w:lvl>
    <w:lvl w:ilvl="1">
      <w:lvlJc w:val="left"/>
      <w:lvlText w:val="%2)"/>
      <w:numFmt w:val="lowerLetter"/>
      <w:start w:val="1"/>
    </w:lvl>
  </w:abstractNum>
  <w:abstractNum w:abstractNumId="78">
    <w:nsid w:val="5F3534A4"/>
    <w:multiLevelType w:val="hybridMultilevel"/>
    <w:lvl w:ilvl="0">
      <w:lvlJc w:val="left"/>
      <w:lvlText w:val="%1."/>
      <w:numFmt w:val="decimal"/>
      <w:start w:val="1"/>
    </w:lvl>
    <w:lvl w:ilvl="1">
      <w:lvlJc w:val="left"/>
      <w:lvlText w:val="%2)"/>
      <w:numFmt w:val="lowerLetter"/>
      <w:start w:val="1"/>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decimal"/>
      <w:start w:val="1"/>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lowerLetter"/>
      <w:start w:val="1"/>
    </w:lvl>
    <w:lvl w:ilvl="1">
      <w:lvlJc w:val="left"/>
      <w:lvlText w:val="(%2)"/>
      <w:numFmt w:val="decimal"/>
      <w:start w:val="1"/>
    </w:lvl>
  </w:abstractNum>
  <w:abstractNum w:abstractNumId="83">
    <w:nsid w:val="14FCE74E"/>
    <w:multiLevelType w:val="hybridMultilevel"/>
    <w:lvl w:ilvl="0">
      <w:lvlJc w:val="left"/>
      <w:lvlText w:val="(%1)"/>
      <w:numFmt w:val="lowerLetter"/>
      <w:start w:val="2"/>
    </w:lvl>
  </w:abstractNum>
  <w:abstractNum w:abstractNumId="84">
    <w:nsid w:val="6A3DD3E8"/>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85">
    <w:nsid w:val="71C91298"/>
    <w:multiLevelType w:val="hybridMultilevel"/>
    <w:lvl w:ilvl="0">
      <w:lvlJc w:val="left"/>
      <w:lvlText w:val="%1"/>
      <w:numFmt w:val="lowerLetter"/>
      <w:start w:val="1"/>
    </w:lvl>
    <w:lvl w:ilvl="1">
      <w:lvlJc w:val="left"/>
      <w:lvlText w:val="(%2)"/>
      <w:numFmt w:val="decimal"/>
      <w:start w:val="2"/>
    </w:lvl>
  </w:abstractNum>
  <w:abstractNum w:abstractNumId="86">
    <w:nsid w:val="9DAF632"/>
    <w:multiLevelType w:val="hybridMultilevel"/>
    <w:lvl w:ilvl="0">
      <w:lvlJc w:val="left"/>
      <w:lvlText w:val="(%1)"/>
      <w:numFmt w:val="lowerLetter"/>
      <w:start w:val="4"/>
    </w:lvl>
    <w:lvl w:ilvl="1">
      <w:lvlJc w:val="left"/>
      <w:lvlText w:val="(%2)"/>
      <w:numFmt w:val="decimal"/>
      <w:start w:val="1"/>
    </w:lvl>
  </w:abstractNum>
  <w:abstractNum w:abstractNumId="87">
    <w:nsid w:val="53299938"/>
    <w:multiLevelType w:val="hybridMultilevel"/>
    <w:lvl w:ilvl="0">
      <w:lvlJc w:val="left"/>
      <w:lvlText w:val="(%1)"/>
      <w:numFmt w:val="lowerLetter"/>
      <w:start w:val="5"/>
    </w:lvl>
    <w:lvl w:ilvl="1">
      <w:lvlJc w:val="left"/>
      <w:lvlText w:val="(%2)"/>
      <w:numFmt w:val="decimal"/>
      <w:start w:val="1"/>
    </w:lvl>
  </w:abstractNum>
  <w:abstractNum w:abstractNumId="88">
    <w:nsid w:val="1FBFE8E0"/>
    <w:multiLevelType w:val="hybridMultilevel"/>
    <w:lvl w:ilvl="0">
      <w:lvlJc w:val="left"/>
      <w:lvlText w:val="(%1)"/>
      <w:numFmt w:val="decimal"/>
      <w:start w:val="4"/>
    </w:lvl>
  </w:abstractNum>
  <w:abstractNum w:abstractNumId="89">
    <w:nsid w:val="5092CA79"/>
    <w:multiLevelType w:val="hybridMultilevel"/>
    <w:lvl w:ilvl="0">
      <w:lvlJc w:val="left"/>
      <w:lvlText w:val="(%1)"/>
      <w:numFmt w:val="lowerLetter"/>
      <w:start w:val="1"/>
    </w:lvl>
    <w:lvl w:ilvl="1">
      <w:lvlJc w:val="left"/>
      <w:lvlText w:val="(%2)"/>
      <w:numFmt w:val="decimal"/>
      <w:start w:val="1"/>
    </w:lvl>
  </w:abstractNum>
  <w:abstractNum w:abstractNumId="90">
    <w:nsid w:val="1D545C4D"/>
    <w:multiLevelType w:val="hybridMultilevel"/>
    <w:lvl w:ilvl="0">
      <w:lvlJc w:val="left"/>
      <w:lvlText w:val="(%1)"/>
      <w:numFmt w:val="lowerLetter"/>
      <w:start w:val="4"/>
    </w:lvl>
  </w:abstractNum>
  <w:abstractNum w:abstractNumId="91">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2">
    <w:nsid w:val="288F1A34"/>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93">
    <w:nsid w:val="2A155D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4">
    <w:nsid w:val="1D9F6E5F"/>
    <w:multiLevelType w:val="hybridMultilevel"/>
    <w:lvl w:ilvl="0">
      <w:lvlJc w:val="left"/>
      <w:lvlText w:val="(%1)"/>
      <w:numFmt w:val="lowerLetter"/>
      <w:start w:val="4"/>
    </w:lvl>
  </w:abstractNum>
  <w:abstractNum w:abstractNumId="95">
    <w:nsid w:val="97E1B4E"/>
    <w:multiLevelType w:val="hybridMultilevel"/>
    <w:lvl w:ilvl="0">
      <w:lvlJc w:val="left"/>
      <w:lvlText w:val="(%1)"/>
      <w:numFmt w:val="lowerLetter"/>
      <w:start w:val="8"/>
    </w:lvl>
    <w:lvl w:ilvl="1">
      <w:lvlJc w:val="left"/>
      <w:lvlText w:val="(%2)"/>
      <w:numFmt w:val="decimal"/>
      <w:start w:val="1"/>
    </w:lvl>
  </w:abstractNum>
  <w:abstractNum w:abstractNumId="96">
    <w:nsid w:val="5108827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7">
    <w:nsid w:val="1CA0C5FA"/>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98">
    <w:nsid w:val="53584BCB"/>
    <w:multiLevelType w:val="hybridMultilevel"/>
    <w:lvl w:ilvl="0">
      <w:lvlJc w:val="left"/>
      <w:lvlText w:val="(%1)"/>
      <w:numFmt w:val="lowerLetter"/>
      <w:start w:val="1"/>
    </w:lvl>
    <w:lvl w:ilvl="1">
      <w:lvlJc w:val="left"/>
      <w:lvlText w:val="(%2)"/>
      <w:numFmt w:val="decimal"/>
      <w:start w:val="1"/>
    </w:lvl>
  </w:abstractNum>
  <w:abstractNum w:abstractNumId="99">
    <w:nsid w:val="415E286C"/>
    <w:multiLevelType w:val="hybridMultilevel"/>
    <w:lvl w:ilvl="0">
      <w:lvlJc w:val="left"/>
      <w:lvlText w:val="(%1)"/>
      <w:numFmt w:val="decimal"/>
      <w:start w:val="2"/>
    </w:lvl>
  </w:abstractNum>
  <w:abstractNum w:abstractNumId="100">
    <w:nsid w:val="7C58FD05"/>
    <w:multiLevelType w:val="hybridMultilevel"/>
    <w:lvl w:ilvl="0">
      <w:lvlJc w:val="left"/>
      <w:lvlText w:val="(%1)"/>
      <w:numFmt w:val="lowerLetter"/>
      <w:start w:val="1"/>
    </w:lvl>
    <w:lvl w:ilvl="1">
      <w:lvlJc w:val="left"/>
      <w:lvlText w:val="(%2)"/>
      <w:numFmt w:val="decimal"/>
      <w:start w:val="1"/>
    </w:lvl>
  </w:abstractNum>
  <w:abstractNum w:abstractNumId="101">
    <w:nsid w:val="23D86AAC"/>
    <w:multiLevelType w:val="hybridMultilevel"/>
    <w:lvl w:ilvl="0">
      <w:lvlJc w:val="left"/>
      <w:lvlText w:val="%1"/>
      <w:numFmt w:val="lowerLetter"/>
      <w:start w:val="1"/>
    </w:lvl>
    <w:lvl w:ilvl="1">
      <w:lvlJc w:val="left"/>
      <w:lvlText w:val="(%2)"/>
      <w:numFmt w:val="decimal"/>
      <w:start w:val="1"/>
    </w:lvl>
  </w:abstractNum>
  <w:abstractNum w:abstractNumId="102">
    <w:nsid w:val="45E6D486"/>
    <w:multiLevelType w:val="hybridMultilevel"/>
    <w:lvl w:ilvl="0">
      <w:lvlJc w:val="left"/>
      <w:lvlText w:val="(%1)"/>
      <w:numFmt w:val="lowerLetter"/>
      <w:start w:val="4"/>
    </w:lvl>
    <w:lvl w:ilvl="1">
      <w:lvlJc w:val="left"/>
      <w:lvlText w:val="%2"/>
      <w:numFmt w:val="decimal"/>
      <w:start w:val="1"/>
    </w:lvl>
  </w:abstractNum>
  <w:abstractNum w:abstractNumId="103">
    <w:nsid w:val="5C10FE21"/>
    <w:multiLevelType w:val="hybridMultilevel"/>
    <w:lvl w:ilvl="0">
      <w:lvlJc w:val="left"/>
      <w:lvlText w:val="(%1)"/>
      <w:numFmt w:val="decimal"/>
      <w:start w:val="12"/>
    </w:lvl>
  </w:abstractNum>
  <w:abstractNum w:abstractNumId="104">
    <w:nsid w:val="E7FFA2B"/>
    <w:multiLevelType w:val="hybridMultilevel"/>
    <w:lvl w:ilvl="0">
      <w:lvlJc w:val="left"/>
      <w:lvlText w:val="(%1)"/>
      <w:numFmt w:val="lowerLetter"/>
      <w:start w:val="1"/>
    </w:lvl>
    <w:lvl w:ilvl="1">
      <w:lvlJc w:val="left"/>
      <w:lvlText w:val="(%2)"/>
      <w:numFmt w:val="decimal"/>
      <w:start w:val="1"/>
    </w:lvl>
  </w:abstractNum>
  <w:abstractNum w:abstractNumId="105">
    <w:nsid w:val="3C5991AA"/>
    <w:multiLevelType w:val="hybridMultilevel"/>
    <w:lvl w:ilvl="0">
      <w:lvlJc w:val="left"/>
      <w:lvlText w:val="(%1)"/>
      <w:numFmt w:val="lowerLetter"/>
      <w:start w:val="3"/>
    </w:lvl>
    <w:lvl w:ilvl="1">
      <w:lvlJc w:val="left"/>
      <w:lvlText w:val="(%2)"/>
      <w:numFmt w:val="decimal"/>
      <w:start w:val="1"/>
    </w:lvl>
  </w:abstractNum>
  <w:abstractNum w:abstractNumId="106">
    <w:nsid w:val="4BD8591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7">
    <w:nsid w:val="78DF6A55"/>
    <w:multiLevelType w:val="hybridMultilevel"/>
    <w:lvl w:ilvl="0">
      <w:lvlJc w:val="left"/>
      <w:lvlText w:val="(%1)"/>
      <w:numFmt w:val="decimal"/>
      <w:start w:val="5"/>
    </w:lvl>
  </w:abstractNum>
  <w:abstractNum w:abstractNumId="108">
    <w:nsid w:val="39B7AAA2"/>
    <w:multiLevelType w:val="hybridMultilevel"/>
    <w:lvl w:ilvl="0">
      <w:lvlJc w:val="left"/>
      <w:lvlText w:val="(%1)"/>
      <w:numFmt w:val="decimal"/>
      <w:start w:val="7"/>
    </w:lvl>
  </w:abstractNum>
  <w:abstractNum w:abstractNumId="109">
    <w:nsid w:val="2B0D8DBE"/>
    <w:multiLevelType w:val="hybridMultilevel"/>
    <w:lvl w:ilvl="0">
      <w:lvlJc w:val="left"/>
      <w:lvlText w:val="(%1)"/>
      <w:numFmt w:val="decimal"/>
      <w:start w:val="9"/>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1"/>
    </w:lvl>
  </w:abstractNum>
  <w:abstractNum w:abstractNumId="112">
    <w:nsid w:val="69E373"/>
    <w:multiLevelType w:val="hybridMultilevel"/>
    <w:lvl w:ilvl="0">
      <w:lvlJc w:val="left"/>
      <w:lvlText w:val="(%1)"/>
      <w:numFmt w:val="lowerLetter"/>
      <w:start w:val="2"/>
    </w:lvl>
  </w:abstractNum>
  <w:abstractNum w:abstractNumId="113">
    <w:nsid w:val="2C27173B"/>
    <w:multiLevelType w:val="hybridMultilevel"/>
    <w:lvl w:ilvl="0">
      <w:lvlJc w:val="left"/>
      <w:lvlText w:val="(%1)"/>
      <w:numFmt w:val="decimal"/>
      <w:start w:val="12"/>
    </w:lvl>
  </w:abstractNum>
  <w:abstractNum w:abstractNumId="114">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5">
    <w:nsid w:val="6AA7B75C"/>
    <w:multiLevelType w:val="hybridMultilevel"/>
    <w:lvl w:ilvl="0">
      <w:lvlJc w:val="left"/>
      <w:lvlText w:val="(%1)"/>
      <w:numFmt w:val="lowerLetter"/>
      <w:start w:val="3"/>
    </w:lvl>
  </w:abstractNum>
  <w:abstractNum w:abstractNumId="116">
    <w:nsid w:val="1DF029D3"/>
    <w:multiLevelType w:val="hybridMultilevel"/>
    <w:lvl w:ilvl="0">
      <w:lvlJc w:val="left"/>
      <w:lvlText w:val="(%1)"/>
      <w:numFmt w:val="lowerLetter"/>
      <w:start w:val="1"/>
    </w:lvl>
    <w:lvl w:ilvl="1">
      <w:lvlJc w:val="left"/>
      <w:lvlText w:val="(%2)"/>
      <w:numFmt w:val="decimal"/>
      <w:start w:val="1"/>
    </w:lvl>
  </w:abstractNum>
  <w:abstractNum w:abstractNumId="117">
    <w:nsid w:val="5675FF36"/>
    <w:multiLevelType w:val="hybridMultilevel"/>
    <w:lvl w:ilvl="0">
      <w:lvlJc w:val="left"/>
      <w:lvlText w:val="(%1)"/>
      <w:numFmt w:val="decimal"/>
      <w:start w:val="4"/>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lowerLetter"/>
      <w:start w:val="1"/>
    </w:lvl>
    <w:lvl w:ilvl="1">
      <w:lvlJc w:val="left"/>
      <w:lvlText w:val="(%2)"/>
      <w:numFmt w:val="decimal"/>
      <w:start w:val="1"/>
    </w:lvl>
  </w:abstractNum>
  <w:abstractNum w:abstractNumId="120">
    <w:nsid w:val="2708C9AF"/>
    <w:multiLevelType w:val="hybridMultilevel"/>
    <w:lvl w:ilvl="0">
      <w:lvlJc w:val="left"/>
      <w:lvlText w:val="%1"/>
      <w:numFmt w:val="lowerLetter"/>
      <w:start w:val="1"/>
    </w:lvl>
    <w:lvl w:ilvl="1">
      <w:lvlJc w:val="left"/>
      <w:lvlText w:val="(%2)"/>
      <w:numFmt w:val="decimal"/>
      <w:start w:val="7"/>
    </w:lvl>
  </w:abstractNum>
  <w:abstractNum w:abstractNumId="121">
    <w:nsid w:val="5B25ACE2"/>
    <w:multiLevelType w:val="hybridMultilevel"/>
    <w:lvl w:ilvl="0">
      <w:lvlJc w:val="left"/>
      <w:lvlText w:val="(%1)"/>
      <w:numFmt w:val="lowerLetter"/>
      <w:start w:val="5"/>
    </w:lvl>
    <w:lvl w:ilvl="1">
      <w:lvlJc w:val="left"/>
      <w:lvlText w:val="(%2)"/>
      <w:numFmt w:val="decimal"/>
      <w:start w:val="1"/>
    </w:lvl>
  </w:abstractNum>
  <w:abstractNum w:abstractNumId="122">
    <w:nsid w:val="175DFCF0"/>
    <w:multiLevelType w:val="hybridMultilevel"/>
    <w:lvl w:ilvl="0">
      <w:lvlJc w:val="left"/>
      <w:lvlText w:val="(%1)"/>
      <w:numFmt w:val="lowerLetter"/>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2019-12-11T08:21:07Z</dcterms:created>
  <dcterms:modified xsi:type="dcterms:W3CDTF">2019-12-11T08:21:07Z</dcterms:modified>
</cp:coreProperties>
</file>