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6744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744970"/>
                    </a:xfrm>
                    <a:prstGeom prst="rect">
                      <a:avLst/>
                    </a:prstGeom>
                    <a:noFill/>
                  </pic:spPr>
                </pic:pic>
              </a:graphicData>
            </a:graphic>
          </wp:anchor>
        </w:drawing>
      </w:r>
    </w:p>
    <w:p>
      <w:pPr>
        <w:spacing w:after="0" w:line="103" w:lineRule="exact"/>
        <w:rPr>
          <w:sz w:val="24"/>
          <w:szCs w:val="24"/>
          <w:color w:val="auto"/>
        </w:rPr>
      </w:pPr>
    </w:p>
    <w:p>
      <w:pPr>
        <w:sectPr>
          <w:pgSz w:w="11900" w:h="16903"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03/31/2011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903"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1"/>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7"/>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1,386</w:t>
            </w:r>
            <w:r>
              <w:rPr>
                <w:rFonts w:ascii="Arial" w:cs="Arial" w:eastAsia="Arial" w:hAnsi="Arial"/>
                <w:sz w:val="21"/>
                <w:szCs w:val="21"/>
                <w:color w:val="008000"/>
                <w:w w:val="83"/>
                <w:vertAlign w:val="superscript"/>
              </w:rPr>
              <w:t>(2)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2,186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91"/>
              </w:rPr>
              <w:t>959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91"/>
              </w:rPr>
              <w:t>427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800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4,329</w:t>
            </w:r>
            <w:r>
              <w:rPr>
                <w:rFonts w:ascii="Arial" w:cs="Arial" w:eastAsia="Arial" w:hAnsi="Arial"/>
                <w:sz w:val="21"/>
                <w:szCs w:val="21"/>
                <w:color w:val="008000"/>
                <w:w w:val="83"/>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5,129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2,995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2,134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1,334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800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18,931</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80" w:type="dxa"/>
            <w:vAlign w:val="bottom"/>
            <w:tcBorders>
              <w:bottom w:val="single" w:sz="8" w:color="2C2C2C"/>
            </w:tcBorders>
            <w:gridSpan w:val="9"/>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1,386</w:t>
            </w:r>
            <w:r>
              <w:rPr>
                <w:rFonts w:ascii="Arial" w:cs="Arial" w:eastAsia="Arial" w:hAnsi="Arial"/>
                <w:sz w:val="21"/>
                <w:szCs w:val="21"/>
                <w:color w:val="008000"/>
                <w:w w:val="92"/>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1,386</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1,386</w:t>
            </w:r>
            <w:r>
              <w:rPr>
                <w:rFonts w:ascii="Arial" w:cs="Arial" w:eastAsia="Arial" w:hAnsi="Arial"/>
                <w:sz w:val="21"/>
                <w:szCs w:val="21"/>
                <w:color w:val="008000"/>
                <w:w w:val="84"/>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4,329</w:t>
            </w:r>
            <w:r>
              <w:rPr>
                <w:rFonts w:ascii="Arial" w:cs="Arial" w:eastAsia="Arial" w:hAnsi="Arial"/>
                <w:sz w:val="21"/>
                <w:szCs w:val="21"/>
                <w:color w:val="008000"/>
                <w:w w:val="92"/>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4,329</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8,652</w:t>
            </w:r>
            <w:r>
              <w:rPr>
                <w:rFonts w:ascii="Arial" w:cs="Arial" w:eastAsia="Arial" w:hAnsi="Arial"/>
                <w:sz w:val="21"/>
                <w:szCs w:val="21"/>
                <w:color w:val="008000"/>
                <w:w w:val="84"/>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16,385</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(6)</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16,385</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16,385</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00" w:firstLine="4"/>
        <w:spacing w:after="0" w:line="295"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March 31, 2009 pursuant to the Company's Salary Stock Plan (the "GMSSP") and vested upon grant. The portion of this award currently payable was settled on March 31, 2011 in cash, less a portion withheld for taxes.</w:t>
      </w:r>
    </w:p>
    <w:p>
      <w:pPr>
        <w:ind w:left="40" w:right="14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2009 the employee received a grant of 1,386 SSUs, of which 462 SSUs were scheduled to be payable on March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4,158 SSUs granted on March 31, 2009, of which 1,386 SSUs became payable on March 31, 2011.</w:t>
      </w:r>
    </w:p>
    <w:p>
      <w:pPr>
        <w:spacing w:after="0" w:line="32" w:lineRule="exact"/>
        <w:rPr>
          <w:rFonts w:ascii="Arial" w:cs="Arial" w:eastAsia="Arial" w:hAnsi="Arial"/>
          <w:sz w:val="13"/>
          <w:szCs w:val="13"/>
          <w:color w:val="008000"/>
        </w:rPr>
      </w:pPr>
    </w:p>
    <w:p>
      <w:pPr>
        <w:jc w:val="both"/>
        <w:ind w:left="40" w:right="16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$31.28.</w:t>
      </w:r>
    </w:p>
    <w:p>
      <w:pPr>
        <w:spacing w:after="0" w:line="29" w:lineRule="exact"/>
        <w:rPr>
          <w:rFonts w:ascii="Arial" w:cs="Arial" w:eastAsia="Arial" w:hAnsi="Arial"/>
          <w:sz w:val="13"/>
          <w:szCs w:val="13"/>
          <w:color w:val="008000"/>
        </w:rPr>
      </w:pPr>
    </w:p>
    <w:p>
      <w:pPr>
        <w:ind w:left="40" w:right="4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deemed to have been issued, nunc pro tunc, on March 31, 2010 pursuant to the GMSSP and vested upon grant. The portion of this award currently payable was settled on March 31, 2011 in cash, less a portion withheld for taxes.</w:t>
      </w:r>
    </w:p>
    <w:p>
      <w:pPr>
        <w:spacing w:after="0" w:line="22" w:lineRule="exact"/>
        <w:rPr>
          <w:rFonts w:ascii="Arial" w:cs="Arial" w:eastAsia="Arial" w:hAnsi="Arial"/>
          <w:sz w:val="13"/>
          <w:szCs w:val="13"/>
          <w:color w:val="008000"/>
        </w:rPr>
      </w:pPr>
    </w:p>
    <w:p>
      <w:pPr>
        <w:ind w:left="40" w:right="16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2010 the employee received a grant of 4,329 SSUs, of which 1,433 SSUs were scheduled to be payable on March 31, 2011. Pursuant to the terms of the GMSSP, each issued and outstanding SSUs was automatically converted upon the effectiveness of the Stock Split into three SSUs, so that the employee was credited with a total of 12,987 SSUs granted on March 31, 2010, of which 4,329 SSUs became payable on March 31, 2011.</w:t>
      </w:r>
    </w:p>
    <w:p>
      <w:pPr>
        <w:spacing w:after="0" w:line="29" w:lineRule="exact"/>
        <w:rPr>
          <w:rFonts w:ascii="Arial" w:cs="Arial" w:eastAsia="Arial" w:hAnsi="Arial"/>
          <w:sz w:val="13"/>
          <w:szCs w:val="13"/>
          <w:color w:val="008000"/>
        </w:rPr>
      </w:pPr>
    </w:p>
    <w:p>
      <w:pPr>
        <w:ind w:left="40" w:right="240" w:firstLine="4"/>
        <w:spacing w:after="0" w:line="29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SSUs reported in this item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ectPr>
          <w:pgSz w:w="11900" w:h="16903" w:orient="portrait"/>
          <w:cols w:equalWidth="0" w:num="1">
            <w:col w:w="11520"/>
          </w:cols>
          <w:pgMar w:left="240" w:top="223" w:right="139" w:bottom="0" w:gutter="0" w:footer="0" w:header="0"/>
          <w:type w:val="continuous"/>
        </w:sectPr>
      </w:pPr>
    </w:p>
    <w:p>
      <w:pPr>
        <w:spacing w:after="0" w:line="2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Anne T. Larin,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1299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Ms. Barra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77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73430" cy="8255"/>
                    </a:xfrm>
                    <a:prstGeom prst="rect">
                      <a:avLst/>
                    </a:prstGeom>
                    <a:noFill/>
                  </pic:spPr>
                </pic:pic>
              </a:graphicData>
            </a:graphic>
          </wp:anchor>
        </w:drawing>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0000FF"/>
        </w:rPr>
        <w:t>04/04/2011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487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903" w:orient="portrait"/>
          <w:cols w:equalWidth="0" w:num="2">
            <w:col w:w="8900" w:space="240"/>
            <w:col w:w="2380"/>
          </w:cols>
          <w:pgMar w:left="240" w:top="223" w:right="139" w:bottom="0" w:gutter="0" w:footer="0" w:header="0"/>
          <w:type w:val="continuous"/>
        </w:sectPr>
      </w:pPr>
    </w:p>
    <w:bookmarkStart w:id="1" w:name="page2"/>
    <w:bookmarkEnd w:id="1"/>
    <w:p>
      <w:pPr>
        <w:jc w:val="both"/>
        <w:ind w:right="2619" w:firstLine="4"/>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2019-12-17T00:44:13Z</dcterms:created>
  <dcterms:modified xsi:type="dcterms:W3CDTF">2019-12-17T00:44:13Z</dcterms:modified>
</cp:coreProperties>
</file>