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79"/>
              </w:rPr>
              <w:t>7,079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74,709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3,808</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70,901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gridSpan w:val="3"/>
          </w:tcPr>
          <w:p>
            <w:pPr>
              <w:jc w:val="center"/>
              <w:ind w:left="608"/>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3,271</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67,630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1"/>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7,079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6" w:lineRule="exact"/>
              <w:rPr>
                <w:sz w:val="20"/>
                <w:szCs w:val="20"/>
                <w:color w:val="auto"/>
              </w:rPr>
            </w:pPr>
            <w:r>
              <w:rPr>
                <w:rFonts w:ascii="Arial" w:cs="Arial" w:eastAsia="Arial" w:hAnsi="Arial"/>
                <w:sz w:val="14"/>
                <w:szCs w:val="14"/>
                <w:color w:val="0000FF"/>
              </w:rPr>
              <w:t>7,079</w:t>
            </w: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in 2013 pursuant to the Company's Salary Stock Plan (the "GMSSP") and vested upon grant. The portion of this award currently payable was settled on March 31, 2016 in cash, less a portion withheld for taxes.</w:t>
      </w:r>
    </w:p>
    <w:p>
      <w:pPr>
        <w:spacing w:after="0" w:line="30"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were settled in three equal, annual installments.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$31.30.</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04/04/2016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1"/>
              </w:rPr>
              <w:t>Attorney-In-Fact for Mr. Reuss</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2019-12-08T19:49:13Z</dcterms:created>
  <dcterms:modified xsi:type="dcterms:W3CDTF">2019-12-08T19:49:13Z</dcterms:modified>
</cp:coreProperties>
</file>