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-244475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214"/>
              <w:spacing w:after="0" w:line="149"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9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27305</wp:posOffset>
            </wp:positionV>
            <wp:extent cx="7324090" cy="530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05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340" w:space="340"/>
            <w:col w:w="884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EWANICK JOEL</w:t>
        </w:r>
      </w:hyperlink>
    </w:p>
    <w:p>
      <w:pPr>
        <w:spacing w:after="0" w:line="30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000"/>
        <w:spacing w:after="0" w:line="308" w:lineRule="auto"/>
        <w:rPr>
          <w:sz w:val="20"/>
          <w:szCs w:val="20"/>
          <w:color w:val="auto"/>
        </w:rPr>
      </w:pPr>
      <w:r>
        <w:rPr>
          <w:rFonts w:ascii="Times New Roman" w:cs="Times New Roman" w:eastAsia="Times New Roman" w:hAnsi="Times New Roman"/>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06/30/2011</w:t>
      </w:r>
    </w:p>
    <w:p>
      <w:pPr>
        <w:spacing w:after="0" w:line="20" w:lineRule="exact"/>
        <w:rPr>
          <w:sz w:val="24"/>
          <w:szCs w:val="24"/>
          <w:color w:val="auto"/>
        </w:rPr>
      </w:pPr>
      <w:r>
        <w:rPr>
          <w:sz w:val="24"/>
          <w:szCs w:val="24"/>
          <w:color w:val="auto"/>
        </w:rPr>
        <w:br w:type="column"/>
      </w:r>
    </w:p>
    <w:p>
      <w:pPr>
        <w:ind w:left="-2" w:right="680" w:firstLine="2"/>
        <w:spacing w:after="0" w:line="266"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78"/>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158"/>
        <w:spacing w:after="0"/>
        <w:rPr>
          <w:sz w:val="20"/>
          <w:szCs w:val="20"/>
          <w:color w:val="auto"/>
        </w:rPr>
      </w:pPr>
      <w:r>
        <w:rPr>
          <w:rFonts w:ascii="Times New Roman" w:cs="Times New Roman" w:eastAsia="Times New Roman" w:hAnsi="Times New Roman"/>
          <w:sz w:val="17"/>
          <w:szCs w:val="17"/>
          <w:color w:val="0000FF"/>
        </w:rPr>
        <w:t>Vice President</w:t>
      </w:r>
    </w:p>
    <w:p>
      <w:pPr>
        <w:spacing w:after="0" w:line="440" w:lineRule="exact"/>
        <w:rPr>
          <w:sz w:val="24"/>
          <w:szCs w:val="24"/>
          <w:color w:val="auto"/>
        </w:rPr>
      </w:pPr>
    </w:p>
    <w:p>
      <w:pPr>
        <w:sectPr>
          <w:pgSz w:w="11900" w:h="16838" w:orient="portrait"/>
          <w:cols w:equalWidth="0" w:num="3">
            <w:col w:w="3340" w:space="720"/>
            <w:col w:w="3262" w:space="720"/>
            <w:col w:w="3478"/>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820" w:type="dxa"/>
            <w:vAlign w:val="bottom"/>
            <w:gridSpan w:val="6"/>
          </w:tcPr>
          <w:p>
            <w:pPr>
              <w:jc w:val="center"/>
              <w:ind w:right="53"/>
              <w:spacing w:after="0" w:line="118" w:lineRule="exact"/>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tcPr>
          <w:p>
            <w:pPr>
              <w:ind w:left="320"/>
              <w:spacing w:after="0" w:line="11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86"/>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ind w:left="72"/>
              <w:spacing w:after="0"/>
              <w:rPr>
                <w:sz w:val="20"/>
                <w:szCs w:val="20"/>
                <w:color w:val="auto"/>
              </w:rPr>
            </w:pPr>
            <w:r>
              <w:rPr>
                <w:rFonts w:ascii="Times New Roman" w:cs="Times New Roman" w:eastAsia="Times New Roman" w:hAnsi="Times New Roman"/>
                <w:sz w:val="17"/>
                <w:szCs w:val="17"/>
                <w:color w:val="0000FF"/>
                <w:w w:val="93"/>
              </w:rPr>
              <w:t>1,158</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ind w:left="54"/>
              <w:spacing w:after="0" w:line="319"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1,158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rPr>
              <w:t>357</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30.39</w:t>
            </w:r>
            <w:r>
              <w:rPr>
                <w:rFonts w:ascii="Times New Roman" w:cs="Times New Roman" w:eastAsia="Times New Roman" w:hAnsi="Times New Roman"/>
                <w:sz w:val="22"/>
                <w:szCs w:val="22"/>
                <w:color w:val="008000"/>
                <w:w w:val="95"/>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801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9"/>
              </w:rPr>
              <w:t>3,702</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ind w:left="54"/>
              <w:spacing w:after="0" w:line="319"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4,503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760" w:type="dxa"/>
            <w:vAlign w:val="bottom"/>
            <w:gridSpan w:val="10"/>
          </w:tcPr>
          <w:p>
            <w:pPr>
              <w:jc w:val="center"/>
              <w:ind w:left="4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1,158</w:t>
            </w:r>
            <w:r>
              <w:rPr>
                <w:rFonts w:ascii="Times New Roman" w:cs="Times New Roman" w:eastAsia="Times New Roman" w:hAnsi="Times New Roman"/>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1,158</w:t>
            </w:r>
            <w:r>
              <w:rPr>
                <w:rFonts w:ascii="Times New Roman" w:cs="Times New Roman" w:eastAsia="Times New Roman" w:hAnsi="Times New Roman"/>
                <w:sz w:val="22"/>
                <w:szCs w:val="22"/>
                <w:color w:val="008000"/>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2,316</w:t>
            </w:r>
            <w:r>
              <w:rPr>
                <w:rFonts w:ascii="Times New Roman" w:cs="Times New Roman" w:eastAsia="Times New Roman" w:hAnsi="Times New Roman"/>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3"/>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660" w:firstLine="6"/>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reported in this item was issued upon the settlement of a portion of a grant of Salary Stock Units ("SSUs) issued on June 30, 2010 pursuant to the Company's Salary Stock Plan (the "GMSSP") and vested upon grant. The portion of this award currently payable was settled on June 30, 2011 in shares of the Company's Common Stock, less a portion withheld for taxes.</w:t>
      </w:r>
    </w:p>
    <w:p>
      <w:pPr>
        <w:spacing w:after="0" w:line="8" w:lineRule="exact"/>
        <w:rPr>
          <w:rFonts w:ascii="Times New Roman" w:cs="Times New Roman" w:eastAsia="Times New Roman" w:hAnsi="Times New Roman"/>
          <w:sz w:val="13"/>
          <w:szCs w:val="13"/>
          <w:color w:val="008000"/>
        </w:rPr>
      </w:pPr>
    </w:p>
    <w:p>
      <w:pPr>
        <w:jc w:val="both"/>
        <w:ind w:left="40" w:right="200" w:firstLine="6"/>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30, 2010 the employee received a grant of 1,158 SSUs, of which 386 SSUs were scheduled to be payable on June 30, 2011.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3,474 SSUs granted on June 30, 2010, of which 1,158 SSUs became payable on June 30, 2011.</w:t>
      </w:r>
    </w:p>
    <w:p>
      <w:pPr>
        <w:spacing w:after="0" w:line="19" w:lineRule="exact"/>
        <w:rPr>
          <w:rFonts w:ascii="Times New Roman" w:cs="Times New Roman" w:eastAsia="Times New Roman" w:hAnsi="Times New Roman"/>
          <w:sz w:val="13"/>
          <w:szCs w:val="13"/>
          <w:color w:val="008000"/>
        </w:rPr>
      </w:pPr>
    </w:p>
    <w:p>
      <w:pPr>
        <w:ind w:left="40" w:right="300" w:firstLine="6"/>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$30.39.</w:t>
      </w:r>
    </w:p>
    <w:p>
      <w:pPr>
        <w:spacing w:after="0" w:line="19" w:lineRule="exact"/>
        <w:rPr>
          <w:rFonts w:ascii="Times New Roman" w:cs="Times New Roman" w:eastAsia="Times New Roman" w:hAnsi="Times New Roman"/>
          <w:sz w:val="13"/>
          <w:szCs w:val="13"/>
          <w:color w:val="008000"/>
        </w:rPr>
      </w:pPr>
    </w:p>
    <w:p>
      <w:pPr>
        <w:ind w:left="40" w:right="500" w:firstLine="6"/>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reported in this item were granted on June 30, 2011 pursuant to the GMSSP and were fully vested upon grant. The SSUs will be delivered in the form of shares of Common Stock in three equal, annual installments beginning on June 30, 2012.</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Anne T. Larin, attorney-in-</w:t>
            </w:r>
          </w:p>
        </w:tc>
        <w:tc>
          <w:tcPr>
            <w:tcW w:w="20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07/05/2011</w:t>
            </w:r>
          </w:p>
        </w:tc>
        <w:tc>
          <w:tcPr>
            <w:tcW w:w="0" w:type="dxa"/>
            <w:vAlign w:val="bottom"/>
          </w:tcPr>
          <w:p>
            <w:pPr>
              <w:spacing w:after="0"/>
              <w:rPr>
                <w:sz w:val="1"/>
                <w:szCs w:val="1"/>
                <w:color w:val="auto"/>
              </w:rPr>
            </w:pPr>
          </w:p>
        </w:tc>
      </w:tr>
      <w:tr>
        <w:trPr>
          <w:trHeight w:val="91"/>
        </w:trPr>
        <w:tc>
          <w:tcPr>
            <w:tcW w:w="1440" w:type="dxa"/>
            <w:vAlign w:val="bottom"/>
            <w:vMerge w:val="restart"/>
          </w:tcPr>
          <w:p>
            <w:pPr>
              <w:spacing w:after="0" w:line="193" w:lineRule="exact"/>
              <w:rPr>
                <w:sz w:val="20"/>
                <w:szCs w:val="20"/>
                <w:color w:val="auto"/>
              </w:rPr>
            </w:pPr>
            <w:r>
              <w:rPr>
                <w:rFonts w:ascii="Times New Roman" w:cs="Times New Roman" w:eastAsia="Times New Roman" w:hAnsi="Times New Roman"/>
                <w:sz w:val="17"/>
                <w:szCs w:val="17"/>
                <w:color w:val="0000FF"/>
                <w:w w:val="99"/>
              </w:rPr>
              <w:t>fact for Mr. Ewanick</w:t>
            </w:r>
          </w:p>
        </w:tc>
        <w:tc>
          <w:tcPr>
            <w:tcW w:w="8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4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06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2019-12-17T00:52:23Z</dcterms:created>
  <dcterms:modified xsi:type="dcterms:W3CDTF">2019-12-17T00:52:23Z</dcterms:modified>
</cp:coreProperties>
</file>