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-236220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2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5278120</wp:posOffset>
            </wp:positionH>
            <wp:positionV relativeFrom="paragraph">
              <wp:posOffset>-631190</wp:posOffset>
            </wp:positionV>
            <wp:extent cx="58420" cy="6445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3998595</wp:posOffset>
            </wp:positionH>
            <wp:positionV relativeFrom="paragraph">
              <wp:posOffset>-631190</wp:posOffset>
            </wp:positionV>
            <wp:extent cx="58420" cy="644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-1622425</wp:posOffset>
            </wp:positionH>
            <wp:positionV relativeFrom="paragraph">
              <wp:posOffset>24130</wp:posOffset>
            </wp:positionV>
            <wp:extent cx="7045960" cy="50609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50609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60"/>
            <w:col w:w="8540"/>
          </w:cols>
          <w:pgMar w:left="460" w:top="216" w:right="359" w:bottom="1440" w:gutter="0" w:footer="0" w:header="0"/>
        </w:sectPr>
      </w:pP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Hatto Christopher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3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300 RENAISSANCE CENTER</w:t>
            </w: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3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M/C: 482-C23-A68</w:t>
            </w: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3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DETROIT</w:t>
            </w:r>
          </w:p>
        </w:tc>
        <w:tc>
          <w:tcPr>
            <w:tcW w:w="13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MI</w:t>
            </w:r>
          </w:p>
        </w:tc>
        <w:tc>
          <w:tcPr>
            <w:tcW w:w="13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48265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3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208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General Motors Co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GM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1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02/06/2024</w:t>
            </w: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Vice President &amp; CAO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8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80"/>
        <w:spacing w:after="0" w:line="235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37" w:lineRule="exact"/>
        <w:rPr>
          <w:sz w:val="24"/>
          <w:szCs w:val="24"/>
          <w:color w:val="auto"/>
        </w:r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15" w:lineRule="exact"/>
        <w:rPr>
          <w:sz w:val="24"/>
          <w:szCs w:val="24"/>
          <w:color w:val="auto"/>
        </w:rPr>
      </w:pPr>
    </w:p>
    <w:p>
      <w:pPr>
        <w:ind w:left="320" w:right="600"/>
        <w:spacing w:after="0" w:line="25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00"/>
            <w:col w:w="724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5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5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7,232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02/06/2024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ind w:left="10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7,232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7,232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1">
            <w:col w:w="11080"/>
          </w:cols>
          <w:pgMar w:left="460" w:top="216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Restricted Stock Units ("RSUs") are awarded pursuant to the Company's 2020 Long-Term Incentive Plan.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RSUs do not have a conversion or exercise price. Upon vesting, they will be settled in shares of the Company's common stock on a one-for-basis.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Of these RSUs, one-third will vest on February 6, 2025, one-third will vest on February 6, 2026, and one-third will vest on February 6, 2027.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RSUs do not have a date on which they will expire. They will be fully settled on February 6, 2027.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/s/ Tia Y. Turk, Attorney-In-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-635</wp:posOffset>
            </wp:positionV>
            <wp:extent cx="121221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22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 for Mr. Hatto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-14605</wp:posOffset>
            </wp:positionV>
            <wp:extent cx="78105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10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8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02/08/2024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-4445</wp:posOffset>
            </wp:positionH>
            <wp:positionV relativeFrom="paragraph">
              <wp:posOffset>-635</wp:posOffset>
            </wp:positionV>
            <wp:extent cx="48895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9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6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500" w:space="300"/>
            <w:col w:w="2280"/>
          </w:cols>
          <w:pgMar w:left="460" w:top="216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9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92153" TargetMode="External"/><Relationship Id="rId13" Type="http://schemas.openxmlformats.org/officeDocument/2006/relationships/hyperlink" Target="http://www.sec.gov/cgi-bin/browse-edgar?action=getcompany&amp;CIK=00014678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2024-02-08T16:17:35Z</dcterms:created>
  <dcterms:modified xsi:type="dcterms:W3CDTF">2024-02-08T16:17:35Z</dcterms:modified>
</cp:coreProperties>
</file>