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SCHOEWE THOMAS M</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08/01/2017</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vMerge w:val="restart"/>
          </w:tcPr>
          <w:p>
            <w:pPr>
              <w:spacing w:after="0"/>
              <w:rPr>
                <w:sz w:val="20"/>
                <w:szCs w:val="20"/>
                <w:color w:val="auto"/>
              </w:rPr>
            </w:pPr>
            <w:r>
              <w:rPr>
                <w:rFonts w:ascii="Arial" w:cs="Arial" w:eastAsia="Arial" w:hAnsi="Arial"/>
                <w:sz w:val="18"/>
                <w:szCs w:val="18"/>
                <w:color w:val="0000FF"/>
                <w:w w:val="99"/>
              </w:rPr>
              <w:t>M/C: 482-C23-D24</w:t>
            </w: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8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2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80" w:type="dxa"/>
            <w:vAlign w:val="bottom"/>
            <w:gridSpan w:val="7"/>
            <w:vMerge w:val="continue"/>
          </w:tcPr>
          <w:p>
            <w:pPr>
              <w:spacing w:after="0"/>
              <w:rPr>
                <w:sz w:val="8"/>
                <w:szCs w:val="8"/>
                <w:color w:val="auto"/>
              </w:rPr>
            </w:pPr>
          </w:p>
        </w:tc>
        <w:tc>
          <w:tcPr>
            <w:tcW w:w="22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80" w:type="dxa"/>
            <w:vAlign w:val="bottom"/>
          </w:tcPr>
          <w:p>
            <w:pPr>
              <w:ind w:left="40"/>
              <w:spacing w:after="0"/>
              <w:rPr>
                <w:sz w:val="20"/>
                <w:szCs w:val="20"/>
                <w:color w:val="auto"/>
              </w:rPr>
            </w:pPr>
            <w:r>
              <w:rPr>
                <w:rFonts w:ascii="Arial" w:cs="Arial" w:eastAsia="Arial" w:hAnsi="Arial"/>
                <w:sz w:val="18"/>
                <w:szCs w:val="18"/>
                <w:color w:val="0000FF"/>
              </w:rPr>
              <w:t>MI</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620" w:type="dxa"/>
            <w:vAlign w:val="bottom"/>
          </w:tcPr>
          <w:p>
            <w:pPr>
              <w:spacing w:after="0"/>
              <w:rPr>
                <w:sz w:val="15"/>
                <w:szCs w:val="15"/>
                <w:color w:val="auto"/>
              </w:rPr>
            </w:pPr>
          </w:p>
        </w:tc>
        <w:tc>
          <w:tcPr>
            <w:tcW w:w="21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jc w:val="right"/>
              <w:ind w:right="330"/>
              <w:spacing w:after="0"/>
              <w:rPr>
                <w:sz w:val="20"/>
                <w:szCs w:val="20"/>
                <w:color w:val="auto"/>
              </w:rPr>
            </w:pPr>
            <w:r>
              <w:rPr>
                <w:rFonts w:ascii="Arial" w:cs="Arial" w:eastAsia="Arial" w:hAnsi="Arial"/>
                <w:sz w:val="12"/>
                <w:szCs w:val="12"/>
                <w:b w:val="1"/>
                <w:bCs w:val="1"/>
                <w:color w:val="auto"/>
                <w:w w:val="95"/>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08/01/2017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70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7,605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3"/>
          </w:tcPr>
          <w:p>
            <w:pPr>
              <w:jc w:val="right"/>
              <w:ind w:right="1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34.75</w:t>
            </w:r>
            <w:r>
              <w:rPr>
                <w:rFonts w:ascii="Arial" w:cs="Arial" w:eastAsia="Arial" w:hAnsi="Arial"/>
                <w:sz w:val="22"/>
                <w:szCs w:val="22"/>
                <w:color w:val="008000"/>
                <w:w w:val="8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15,250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08/01/2017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70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6,755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3"/>
          </w:tcPr>
          <w:p>
            <w:pPr>
              <w:jc w:val="right"/>
              <w:ind w:right="1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34.77</w:t>
            </w:r>
            <w:r>
              <w:rPr>
                <w:rFonts w:ascii="Arial" w:cs="Arial" w:eastAsia="Arial" w:hAnsi="Arial"/>
                <w:sz w:val="22"/>
                <w:szCs w:val="22"/>
                <w:color w:val="008000"/>
                <w:w w:val="82"/>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22,005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7"/>
          </w:tcPr>
          <w:p>
            <w:pPr>
              <w:jc w:val="center"/>
              <w:ind w:right="57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0" w:type="dxa"/>
            <w:vAlign w:val="bottom"/>
            <w:gridSpan w:val="14"/>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purchase price of the shares. The shares were purchased in multiple transactions at prices from $34.76 to $34.73, inclusive. The Reporting Person undertakes to provide to the SEC, GM and any security holder, upon request, full information regarding the number of shares purchased at each price point within the ranges set forth in this footnote.</w:t>
      </w:r>
    </w:p>
    <w:p>
      <w:pPr>
        <w:ind w:left="40" w:right="4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purchase price of the shares. The shares were purchased in multiple transactions at prices from $34.78 to $34.77, inclusive. The Reporting Person undertakes to provide to the SEC, GM and any security holder, upon request, full information regarding the number of shares purchased at each price point within the ranges set forth in this footnote.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08/03/2017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Schoewe</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137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2019-12-24T07:24:52Z</dcterms:created>
  <dcterms:modified xsi:type="dcterms:W3CDTF">2019-12-24T07:24:52Z</dcterms:modified>
</cp:coreProperties>
</file>