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612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252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09/30/2011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8"/>
        <w:spacing w:after="0"/>
        <w:rPr>
          <w:sz w:val="20"/>
          <w:szCs w:val="20"/>
          <w:color w:val="auto"/>
        </w:rPr>
      </w:pPr>
      <w:r>
        <w:rPr>
          <w:rFonts w:ascii="Arial" w:cs="Arial" w:eastAsia="Arial" w:hAnsi="Arial"/>
          <w:sz w:val="17"/>
          <w:szCs w:val="17"/>
          <w:color w:val="0000FF"/>
        </w:rPr>
        <w:t>Vice President</w:t>
      </w:r>
    </w:p>
    <w:p>
      <w:pPr>
        <w:spacing w:after="0" w:line="451" w:lineRule="exact"/>
        <w:rPr>
          <w:sz w:val="24"/>
          <w:szCs w:val="24"/>
          <w:color w:val="auto"/>
        </w:rPr>
      </w:pPr>
    </w:p>
    <w:p>
      <w:pPr>
        <w:sectPr>
          <w:pgSz w:w="11900" w:h="16838" w:orient="portrait"/>
          <w:cols w:equalWidth="0" w:num="3">
            <w:col w:w="3340" w:space="720"/>
            <w:col w:w="3262" w:space="720"/>
            <w:col w:w="3478"/>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6"/>
          </w:tcPr>
          <w:p>
            <w:pPr>
              <w:jc w:val="center"/>
              <w:ind w:right="51"/>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jc w:val="center"/>
              <w:ind w:left="6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7"/>
                <w:szCs w:val="17"/>
                <w:color w:val="0000FF"/>
                <w:w w:val="85"/>
              </w:rPr>
              <w:t>2,967</w:t>
            </w:r>
            <w:r>
              <w:rPr>
                <w:rFonts w:ascii="Arial" w:cs="Arial" w:eastAsia="Arial" w:hAnsi="Arial"/>
                <w:sz w:val="22"/>
                <w:szCs w:val="22"/>
                <w:color w:val="008000"/>
                <w:w w:val="85"/>
                <w:vertAlign w:val="superscript"/>
              </w:rPr>
              <w:t>(2)</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18,484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91"/>
              </w:rPr>
              <w:t>951</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20.3</w:t>
            </w:r>
            <w:r>
              <w:rPr>
                <w:rFonts w:ascii="Arial" w:cs="Arial" w:eastAsia="Arial" w:hAnsi="Arial"/>
                <w:sz w:val="22"/>
                <w:szCs w:val="22"/>
                <w:color w:val="008000"/>
                <w:w w:val="85"/>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17,533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7"/>
                <w:szCs w:val="17"/>
                <w:color w:val="0000FF"/>
                <w:w w:val="85"/>
              </w:rPr>
              <w:t>4,959</w:t>
            </w:r>
            <w:r>
              <w:rPr>
                <w:rFonts w:ascii="Arial" w:cs="Arial" w:eastAsia="Arial" w:hAnsi="Arial"/>
                <w:sz w:val="22"/>
                <w:szCs w:val="22"/>
                <w:color w:val="008000"/>
                <w:w w:val="85"/>
                <w:vertAlign w:val="superscript"/>
              </w:rPr>
              <w:t>(5)</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22,492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89"/>
              </w:rPr>
              <w:t>1,590</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20.3</w:t>
            </w:r>
            <w:r>
              <w:rPr>
                <w:rFonts w:ascii="Arial" w:cs="Arial" w:eastAsia="Arial" w:hAnsi="Arial"/>
                <w:sz w:val="22"/>
                <w:szCs w:val="22"/>
                <w:color w:val="008000"/>
                <w:w w:val="85"/>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20,902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(6)</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88"/>
              </w:rPr>
              <w:t>19,520</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40,422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70"/>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00FF"/>
              </w:rPr>
              <w:t>2,967</w:t>
            </w:r>
            <w:r>
              <w:rPr>
                <w:rFonts w:ascii="Arial" w:cs="Arial" w:eastAsia="Arial" w:hAnsi="Arial"/>
                <w:sz w:val="22"/>
                <w:szCs w:val="22"/>
                <w:color w:val="008000"/>
                <w:vertAlign w:val="superscript"/>
              </w:rPr>
              <w:t>(2)</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85"/>
              </w:rPr>
              <w:t>2,967</w:t>
            </w:r>
            <w:r>
              <w:rPr>
                <w:rFonts w:ascii="Arial" w:cs="Arial" w:eastAsia="Arial" w:hAnsi="Arial"/>
                <w:sz w:val="22"/>
                <w:szCs w:val="22"/>
                <w:color w:val="008000"/>
                <w:w w:val="85"/>
                <w:vertAlign w:val="superscript"/>
              </w:rPr>
              <w:t>(2)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2,967</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09/30/2011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M</w:t>
            </w:r>
          </w:p>
        </w:tc>
        <w:tc>
          <w:tcPr>
            <w:tcW w:w="1000" w:type="dxa"/>
            <w:vAlign w:val="bottom"/>
            <w:vMerge w:val="continue"/>
          </w:tcPr>
          <w:p>
            <w:pPr>
              <w:spacing w:after="0"/>
              <w:rPr>
                <w:sz w:val="13"/>
                <w:szCs w:val="13"/>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ind w:right="70"/>
              <w:spacing w:after="0"/>
              <w:rPr>
                <w:sz w:val="20"/>
                <w:szCs w:val="20"/>
                <w:color w:val="auto"/>
              </w:rPr>
            </w:pPr>
            <w:r>
              <w:rPr>
                <w:rFonts w:ascii="Arial" w:cs="Arial" w:eastAsia="Arial" w:hAnsi="Arial"/>
                <w:sz w:val="11"/>
                <w:szCs w:val="11"/>
                <w:color w:val="008000"/>
                <w:w w:val="88"/>
              </w:rPr>
              <w:t>(1)</w:t>
            </w:r>
          </w:p>
        </w:tc>
        <w:tc>
          <w:tcPr>
            <w:tcW w:w="6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00"/>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00FF"/>
              </w:rPr>
              <w:t>4,959</w:t>
            </w:r>
            <w:r>
              <w:rPr>
                <w:rFonts w:ascii="Arial" w:cs="Arial" w:eastAsia="Arial" w:hAnsi="Arial"/>
                <w:sz w:val="22"/>
                <w:szCs w:val="22"/>
                <w:color w:val="008000"/>
                <w:vertAlign w:val="superscript"/>
              </w:rPr>
              <w:t>(5)</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85"/>
              </w:rPr>
              <w:t>4,959</w:t>
            </w:r>
            <w:r>
              <w:rPr>
                <w:rFonts w:ascii="Arial" w:cs="Arial" w:eastAsia="Arial" w:hAnsi="Arial"/>
                <w:sz w:val="22"/>
                <w:szCs w:val="22"/>
                <w:color w:val="008000"/>
                <w:w w:val="85"/>
                <w:vertAlign w:val="superscript"/>
              </w:rPr>
              <w:t>(2)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9,912</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09/30/2011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M</w:t>
            </w:r>
          </w:p>
        </w:tc>
        <w:tc>
          <w:tcPr>
            <w:tcW w:w="1000" w:type="dxa"/>
            <w:vAlign w:val="bottom"/>
            <w:vMerge w:val="continue"/>
          </w:tcPr>
          <w:p>
            <w:pPr>
              <w:spacing w:after="0"/>
              <w:rPr>
                <w:sz w:val="13"/>
                <w:szCs w:val="13"/>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ind w:right="70"/>
              <w:spacing w:after="0"/>
              <w:rPr>
                <w:sz w:val="20"/>
                <w:szCs w:val="20"/>
                <w:color w:val="auto"/>
              </w:rPr>
            </w:pPr>
            <w:r>
              <w:rPr>
                <w:rFonts w:ascii="Arial" w:cs="Arial" w:eastAsia="Arial" w:hAnsi="Arial"/>
                <w:sz w:val="11"/>
                <w:szCs w:val="11"/>
                <w:color w:val="008000"/>
                <w:w w:val="88"/>
              </w:rPr>
              <w:t>(1)</w:t>
            </w:r>
          </w:p>
        </w:tc>
        <w:tc>
          <w:tcPr>
            <w:tcW w:w="6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00"/>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20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deemed to have been issued, nunc pro tunc, on September 30, 2009 pursuant to the Company's Salary Stock Plan (the "GMSSP") and vested upon grant. The portion of this award currently payable was settled on September 30, 2011 in shares of the Company's Common Stock, less a portion withheld for taxes.</w:t>
      </w:r>
    </w:p>
    <w:p>
      <w:pPr>
        <w:spacing w:after="0" w:line="25" w:lineRule="exact"/>
        <w:rPr>
          <w:rFonts w:ascii="Arial" w:cs="Arial" w:eastAsia="Arial" w:hAnsi="Arial"/>
          <w:sz w:val="13"/>
          <w:szCs w:val="13"/>
          <w:color w:val="008000"/>
        </w:rPr>
      </w:pPr>
    </w:p>
    <w:p>
      <w:pPr>
        <w:ind w:left="40" w:right="14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2009 the employee received a grant of 2,967 SSUs, of which 989 SSUs were scheduled to be payable on September 30,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8,901 SSUs granted on September 30, 2009, of which 2,967 SSUs became payable on September 30, 2011.</w:t>
      </w:r>
    </w:p>
    <w:p>
      <w:pPr>
        <w:spacing w:after="0" w:line="28" w:lineRule="exact"/>
        <w:rPr>
          <w:rFonts w:ascii="Arial" w:cs="Arial" w:eastAsia="Arial" w:hAnsi="Arial"/>
          <w:sz w:val="13"/>
          <w:szCs w:val="13"/>
          <w:color w:val="008000"/>
        </w:rPr>
      </w:pPr>
    </w:p>
    <w:p>
      <w:pPr>
        <w:ind w:left="40" w:right="30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$20.30.</w:t>
      </w:r>
    </w:p>
    <w:p>
      <w:pPr>
        <w:spacing w:after="0" w:line="25" w:lineRule="exact"/>
        <w:rPr>
          <w:rFonts w:ascii="Arial" w:cs="Arial" w:eastAsia="Arial" w:hAnsi="Arial"/>
          <w:sz w:val="13"/>
          <w:szCs w:val="13"/>
          <w:color w:val="008000"/>
        </w:rPr>
      </w:pPr>
    </w:p>
    <w:p>
      <w:pPr>
        <w:ind w:left="40" w:right="26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issued on September 30, 2010 pursuant to the GMSSP and vested upon grant. The portion of this award currently payable was settled on September 30, 2011 in shares of the Company's Common Stock, less a portion withheld for taxes.</w:t>
      </w:r>
    </w:p>
    <w:p>
      <w:pPr>
        <w:spacing w:after="0" w:line="15" w:lineRule="exact"/>
        <w:rPr>
          <w:rFonts w:ascii="Arial" w:cs="Arial" w:eastAsia="Arial" w:hAnsi="Arial"/>
          <w:sz w:val="13"/>
          <w:szCs w:val="13"/>
          <w:color w:val="008000"/>
        </w:rPr>
      </w:pPr>
    </w:p>
    <w:p>
      <w:pPr>
        <w:ind w:left="40" w:right="32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2010 the employee received a grant of 4,957 SSUs, of which 1,653 SSUs were scheduled to be payable on September 30, 2011. Pursuant to the terms of the GMSSP, each issued and outstanding SSUs was automatically converted upon the effectiveness of the Stock Split into three SSUs, so that the employee was credited with a total of 14,871 SSUs granted on September 30, 2010, of which 4,959 SSUs became payable on September 30, 2011.</w:t>
      </w:r>
    </w:p>
    <w:p>
      <w:pPr>
        <w:spacing w:after="0" w:line="25" w:lineRule="exact"/>
        <w:rPr>
          <w:rFonts w:ascii="Arial" w:cs="Arial" w:eastAsia="Arial" w:hAnsi="Arial"/>
          <w:sz w:val="13"/>
          <w:szCs w:val="13"/>
          <w:color w:val="008000"/>
        </w:rPr>
      </w:pPr>
    </w:p>
    <w:p>
      <w:pPr>
        <w:ind w:left="40" w:right="1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September 30, 2011 pursuant to the GMSSP and were fully vested upon grant. The SSUs will be delivered in the form of shares of Common Stock in three equal, annual installments beginning on September 30, 2012.</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10/04/2011</w:t>
            </w:r>
          </w:p>
        </w:tc>
        <w:tc>
          <w:tcPr>
            <w:tcW w:w="0" w:type="dxa"/>
            <w:vAlign w:val="bottom"/>
          </w:tcPr>
          <w:p>
            <w:pPr>
              <w:spacing w:after="0"/>
              <w:rPr>
                <w:sz w:val="1"/>
                <w:szCs w:val="1"/>
                <w:color w:val="auto"/>
              </w:rPr>
            </w:pPr>
          </w:p>
        </w:tc>
      </w:tr>
      <w:tr>
        <w:trPr>
          <w:trHeight w:val="91"/>
        </w:trPr>
        <w:tc>
          <w:tcPr>
            <w:tcW w:w="2280" w:type="dxa"/>
            <w:vAlign w:val="bottom"/>
            <w:gridSpan w:val="3"/>
            <w:vMerge w:val="restart"/>
          </w:tcPr>
          <w:p>
            <w:pPr>
              <w:spacing w:after="0" w:line="193" w:lineRule="exact"/>
              <w:rPr>
                <w:sz w:val="20"/>
                <w:szCs w:val="20"/>
                <w:color w:val="auto"/>
              </w:rPr>
            </w:pPr>
            <w:r>
              <w:rPr>
                <w:rFonts w:ascii="Arial" w:cs="Arial" w:eastAsia="Arial" w:hAnsi="Arial"/>
                <w:sz w:val="17"/>
                <w:szCs w:val="17"/>
                <w:color w:val="0000FF"/>
              </w:rPr>
              <w:t>fact for Mr. Reuss</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8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2019-12-17T00:56:10Z</dcterms:created>
  <dcterms:modified xsi:type="dcterms:W3CDTF">2019-12-17T00:56:10Z</dcterms:modified>
</cp:coreProperties>
</file>