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22, 2024</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ectPr>
          <w:pgSz w:w="11900" w:h="16838" w:orient="portrait"/>
          <w:cols w:equalWidth="0" w:num="1">
            <w:col w:w="11100"/>
          </w:cols>
          <w:pgMar w:left="320" w:top="1440" w:right="479" w:bottom="1440" w:gutter="0" w:footer="0" w:header="0"/>
        </w:sectPr>
      </w:pPr>
    </w:p>
    <w:p>
      <w:pPr>
        <w:spacing w:after="0" w:line="11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67" w:lineRule="exact"/>
        <w:rPr>
          <w:sz w:val="24"/>
          <w:szCs w:val="24"/>
          <w:color w:val="auto"/>
        </w:rPr>
      </w:pPr>
    </w:p>
    <w:p>
      <w:pPr>
        <w:sectPr>
          <w:pgSz w:w="11900" w:h="16838" w:orient="portrait"/>
          <w:cols w:equalWidth="0" w:num="3">
            <w:col w:w="4660" w:space="720"/>
            <w:col w:w="2820" w:space="720"/>
            <w:col w:w="2180"/>
          </w:cols>
          <w:pgMar w:left="320" w:top="1440"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79" w:lineRule="exact"/>
        <w:rPr>
          <w:sz w:val="24"/>
          <w:szCs w:val="24"/>
          <w:color w:val="auto"/>
        </w:rPr>
      </w:pPr>
    </w:p>
    <w:p>
      <w:pPr>
        <w:sectPr>
          <w:pgSz w:w="11900" w:h="16838" w:orient="portrait"/>
          <w:cols w:equalWidth="0" w:num="3">
            <w:col w:w="4060" w:space="720"/>
            <w:col w:w="2560" w:space="720"/>
            <w:col w:w="3040"/>
          </w:cols>
          <w:pgMar w:left="320" w:top="1440" w:right="479" w:bottom="1440" w:gutter="0" w:footer="0" w:header="0"/>
          <w:type w:val="continuous"/>
        </w:sectPr>
      </w:pPr>
    </w:p>
    <w:p>
      <w:pPr>
        <w:ind w:left="780"/>
        <w:spacing w:after="0"/>
        <w:tabs>
          <w:tab w:leader="none" w:pos="2800" w:val="left"/>
          <w:tab w:leader="none" w:pos="3580" w:val="left"/>
        </w:tabs>
        <w:rPr>
          <w:sz w:val="20"/>
          <w:szCs w:val="20"/>
          <w:color w:val="auto"/>
        </w:rPr>
      </w:pPr>
      <w:r>
        <w:rPr>
          <w:rFonts w:ascii="Times New Roman" w:cs="Times New Roman" w:eastAsia="Times New Roman" w:hAnsi="Times New Roman"/>
          <w:sz w:val="18"/>
          <w:szCs w:val="18"/>
          <w:b w:val="1"/>
          <w:bCs w:val="1"/>
          <w:color w:val="auto"/>
        </w:rPr>
        <w:t>300 Renaissance Center,</w:t>
        <w:tab/>
        <w:t>Detroit,</w:t>
      </w:r>
      <w:r>
        <w:rPr>
          <w:sz w:val="20"/>
          <w:szCs w:val="20"/>
          <w:color w:val="auto"/>
        </w:rPr>
        <w:tab/>
      </w:r>
      <w:r>
        <w:rPr>
          <w:rFonts w:ascii="Times New Roman" w:cs="Times New Roman" w:eastAsia="Times New Roman" w:hAnsi="Times New Roman"/>
          <w:sz w:val="17"/>
          <w:szCs w:val="17"/>
          <w:b w:val="1"/>
          <w:bCs w:val="1"/>
          <w:color w:val="auto"/>
        </w:rPr>
        <w:t>Michigan</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60"/>
        <w:spacing w:after="0"/>
        <w:rPr>
          <w:sz w:val="20"/>
          <w:szCs w:val="20"/>
          <w:color w:val="auto"/>
        </w:rPr>
      </w:pPr>
      <w:r>
        <w:rPr>
          <w:rFonts w:ascii="Times New Roman" w:cs="Times New Roman" w:eastAsia="Times New Roman" w:hAnsi="Times New Roman"/>
          <w:sz w:val="17"/>
          <w:szCs w:val="17"/>
          <w:b w:val="1"/>
          <w:bCs w:val="1"/>
          <w:color w:val="auto"/>
        </w:rPr>
        <w:t>48265 -3000</w:t>
      </w:r>
    </w:p>
    <w:p>
      <w:pPr>
        <w:spacing w:after="0" w:line="43"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20" w:space="720"/>
            <w:col w:w="2860"/>
          </w:cols>
          <w:pgMar w:left="320" w:top="1440" w:right="479" w:bottom="1440" w:gutter="0" w:footer="0" w:header="0"/>
          <w:type w:val="continuous"/>
        </w:sectPr>
      </w:pPr>
    </w:p>
    <w:p>
      <w:pPr>
        <w:spacing w:after="0" w:line="1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9" w:lineRule="exact"/>
        <w:rPr>
          <w:rFonts w:ascii="MS PGothic" w:cs="MS PGothic" w:eastAsia="MS PGothic" w:hAnsi="MS PGothic"/>
          <w:sz w:val="18"/>
          <w:szCs w:val="18"/>
          <w:color w:val="auto"/>
        </w:rPr>
      </w:pPr>
    </w:p>
    <w:p>
      <w:pPr>
        <w:ind w:left="3760" w:right="3240" w:hanging="3714"/>
        <w:spacing w:after="0" w:line="414"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3" w:lineRule="exact"/>
        <w:rPr>
          <w:sz w:val="24"/>
          <w:szCs w:val="24"/>
          <w:color w:val="auto"/>
        </w:rPr>
      </w:pPr>
    </w:p>
    <w:tbl>
      <w:tblPr>
        <w:tblLayout w:type="fixed"/>
        <w:tblInd w:w="13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40" w:type="dxa"/>
            <w:vAlign w:val="bottom"/>
          </w:tcPr>
          <w:p>
            <w:pPr>
              <w:spacing w:after="0"/>
              <w:rPr>
                <w:sz w:val="16"/>
                <w:szCs w:val="16"/>
                <w:color w:val="auto"/>
              </w:rPr>
            </w:pP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3680" w:type="dxa"/>
            <w:vAlign w:val="bottom"/>
            <w:gridSpan w:val="3"/>
          </w:tcPr>
          <w:p>
            <w:pPr>
              <w:jc w:val="center"/>
              <w:ind w:right="15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On October 22, 2024, General Motors Company (GM) issued a news release and supplemental materials on the subject of its 2024 third quarter consolidated earnings. The news release and supplemental materials are attached as Exhibit 99.1.</w:t>
      </w:r>
    </w:p>
    <w:p>
      <w:pPr>
        <w:spacing w:after="0" w:line="189" w:lineRule="exact"/>
        <w:rPr>
          <w:sz w:val="20"/>
          <w:szCs w:val="20"/>
          <w:color w:val="auto"/>
        </w:rPr>
      </w:pPr>
    </w:p>
    <w:p>
      <w:pPr>
        <w:ind w:right="20" w:firstLine="162"/>
        <w:spacing w:after="0" w:line="282" w:lineRule="auto"/>
        <w:rPr>
          <w:sz w:val="20"/>
          <w:szCs w:val="20"/>
          <w:color w:val="auto"/>
        </w:rPr>
      </w:pPr>
      <w:r>
        <w:rPr>
          <w:rFonts w:ascii="Times New Roman" w:cs="Times New Roman" w:eastAsia="Times New Roman" w:hAnsi="Times New Roman"/>
          <w:sz w:val="18"/>
          <w:szCs w:val="18"/>
          <w:color w:val="auto"/>
        </w:rPr>
        <w:t>Charts furnished to securities analysts in connection with GM's 2024 third quarter consolidated earnings release are available on GM's website at www.gm.com/investors/earnings-releases.html.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560" w:type="dxa"/>
            <w:vAlign w:val="bottom"/>
            <w:gridSpan w:val="4"/>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6"/>
        </w:trPr>
        <w:tc>
          <w:tcPr>
            <w:tcW w:w="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60" w:type="dxa"/>
            <w:vAlign w:val="bottom"/>
            <w:tcBorders>
              <w:top w:val="single" w:sz="8" w:color="auto"/>
            </w:tcBorders>
          </w:tcPr>
          <w:p>
            <w:pPr>
              <w:spacing w:after="0"/>
              <w:rPr>
                <w:sz w:val="20"/>
                <w:szCs w:val="20"/>
                <w:color w:val="auto"/>
              </w:rPr>
            </w:pPr>
          </w:p>
        </w:tc>
        <w:tc>
          <w:tcPr>
            <w:tcW w:w="5240" w:type="dxa"/>
            <w:vAlign w:val="bottom"/>
            <w:gridSpan w:val="2"/>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99.1</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News Release and Financial Highlights Dated October 22, 2024</w:t>
            </w:r>
          </w:p>
        </w:tc>
      </w:tr>
      <w:tr>
        <w:trPr>
          <w:trHeight w:val="20"/>
        </w:trPr>
        <w:tc>
          <w:tcPr>
            <w:tcW w:w="4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8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743"/>
        </w:trPr>
        <w:tc>
          <w:tcPr>
            <w:tcW w:w="60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r>
      <w:tr>
        <w:trPr>
          <w:trHeight w:val="169"/>
        </w:trPr>
        <w:tc>
          <w:tcPr>
            <w:tcW w:w="60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 October 22, 2024</w:t>
            </w:r>
          </w:p>
        </w:tc>
        <w:tc>
          <w:tcPr>
            <w:tcW w:w="5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tc>
      </w:t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20"/>
          </w:cols>
          <w:pgMar w:left="320" w:top="113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1450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640"/>
        <w:spacing w:after="0"/>
        <w:rPr>
          <w:sz w:val="20"/>
          <w:szCs w:val="20"/>
          <w:color w:val="auto"/>
        </w:rPr>
      </w:pPr>
      <w:r>
        <w:rPr>
          <w:rFonts w:ascii="Arial" w:cs="Arial" w:eastAsia="Arial" w:hAnsi="Arial"/>
          <w:sz w:val="52"/>
          <w:szCs w:val="52"/>
          <w:color w:val="6D6D6D"/>
        </w:rPr>
        <w:t>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219075</wp:posOffset>
            </wp:positionV>
            <wp:extent cx="6934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For Release: Tuesday, October 22, 2024, at 6:30 a.m. ET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GM releases 2024 third-quarter results and updates full-year guidance</w:t>
      </w:r>
    </w:p>
    <w:p>
      <w:pPr>
        <w:spacing w:after="0" w:line="24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(NYSE: GM) today reported third-quarter 2024 revenue of $48.8 billion, net income attributable to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$3.1 billion, and EBIT-adjusted of $4.1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GM is also updating its 2024 full-year earnings guidance for the third consecutive quarter:</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060" w:type="dxa"/>
            <w:vAlign w:val="bottom"/>
          </w:tcPr>
          <w:p>
            <w:pPr>
              <w:spacing w:after="0"/>
              <w:rPr>
                <w:sz w:val="19"/>
                <w:szCs w:val="19"/>
                <w:color w:val="auto"/>
              </w:rPr>
            </w:pPr>
          </w:p>
        </w:tc>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Updated 2024 Guidance</w:t>
            </w:r>
          </w:p>
        </w:tc>
        <w:tc>
          <w:tcPr>
            <w:tcW w:w="372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rPr>
              <w:t>Previous 2024 Guidance</w:t>
            </w:r>
          </w:p>
        </w:tc>
      </w:tr>
      <w:tr>
        <w:trPr>
          <w:trHeight w:val="215"/>
        </w:trPr>
        <w:tc>
          <w:tcPr>
            <w:tcW w:w="406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2520" w:type="dxa"/>
            <w:vAlign w:val="bottom"/>
          </w:tcPr>
          <w:p>
            <w:pPr>
              <w:ind w:left="20"/>
              <w:spacing w:after="0"/>
              <w:rPr>
                <w:sz w:val="20"/>
                <w:szCs w:val="20"/>
                <w:color w:val="auto"/>
              </w:rPr>
            </w:pPr>
            <w:r>
              <w:rPr>
                <w:rFonts w:ascii="Arial" w:cs="Arial" w:eastAsia="Arial" w:hAnsi="Arial"/>
                <w:sz w:val="16"/>
                <w:szCs w:val="16"/>
                <w:color w:val="auto"/>
              </w:rPr>
              <w:t>$10.4 billion - $11.1 billion</w:t>
            </w:r>
          </w:p>
        </w:tc>
        <w:tc>
          <w:tcPr>
            <w:tcW w:w="3720" w:type="dxa"/>
            <w:vAlign w:val="bottom"/>
            <w:gridSpan w:val="2"/>
          </w:tcPr>
          <w:p>
            <w:pPr>
              <w:ind w:left="620"/>
              <w:spacing w:after="0"/>
              <w:rPr>
                <w:sz w:val="20"/>
                <w:szCs w:val="20"/>
                <w:color w:val="auto"/>
              </w:rPr>
            </w:pPr>
            <w:r>
              <w:rPr>
                <w:rFonts w:ascii="Arial" w:cs="Arial" w:eastAsia="Arial" w:hAnsi="Arial"/>
                <w:sz w:val="16"/>
                <w:szCs w:val="16"/>
                <w:color w:val="auto"/>
              </w:rPr>
              <w:t>$10.0 billion - $11.4 billion</w:t>
            </w:r>
          </w:p>
        </w:tc>
      </w:tr>
      <w:tr>
        <w:trPr>
          <w:trHeight w:val="229"/>
        </w:trPr>
        <w:tc>
          <w:tcPr>
            <w:tcW w:w="4060" w:type="dxa"/>
            <w:vAlign w:val="bottom"/>
          </w:tcPr>
          <w:p>
            <w:pPr>
              <w:spacing w:after="0"/>
              <w:rPr>
                <w:sz w:val="20"/>
                <w:szCs w:val="20"/>
                <w:color w:val="auto"/>
              </w:rPr>
            </w:pPr>
            <w:r>
              <w:rPr>
                <w:rFonts w:ascii="Arial" w:cs="Arial" w:eastAsia="Arial" w:hAnsi="Arial"/>
                <w:sz w:val="16"/>
                <w:szCs w:val="16"/>
                <w:color w:val="auto"/>
              </w:rPr>
              <w:t>EBIT-adjusted</w:t>
            </w:r>
          </w:p>
        </w:tc>
        <w:tc>
          <w:tcPr>
            <w:tcW w:w="2520" w:type="dxa"/>
            <w:vAlign w:val="bottom"/>
          </w:tcPr>
          <w:p>
            <w:pPr>
              <w:ind w:left="20"/>
              <w:spacing w:after="0"/>
              <w:rPr>
                <w:sz w:val="20"/>
                <w:szCs w:val="20"/>
                <w:color w:val="auto"/>
              </w:rPr>
            </w:pPr>
            <w:r>
              <w:rPr>
                <w:rFonts w:ascii="Arial" w:cs="Arial" w:eastAsia="Arial" w:hAnsi="Arial"/>
                <w:sz w:val="16"/>
                <w:szCs w:val="16"/>
                <w:color w:val="auto"/>
              </w:rPr>
              <w:t>$14.0 billion - $15.0 billion</w:t>
            </w:r>
          </w:p>
        </w:tc>
        <w:tc>
          <w:tcPr>
            <w:tcW w:w="3720" w:type="dxa"/>
            <w:vAlign w:val="bottom"/>
            <w:gridSpan w:val="2"/>
          </w:tcPr>
          <w:p>
            <w:pPr>
              <w:ind w:left="620"/>
              <w:spacing w:after="0"/>
              <w:rPr>
                <w:sz w:val="20"/>
                <w:szCs w:val="20"/>
                <w:color w:val="auto"/>
              </w:rPr>
            </w:pPr>
            <w:r>
              <w:rPr>
                <w:rFonts w:ascii="Arial" w:cs="Arial" w:eastAsia="Arial" w:hAnsi="Arial"/>
                <w:sz w:val="16"/>
                <w:szCs w:val="16"/>
                <w:color w:val="auto"/>
              </w:rPr>
              <w:t>$13.0 billion - $15.0 billion</w:t>
            </w:r>
          </w:p>
        </w:tc>
      </w:tr>
      <w:tr>
        <w:trPr>
          <w:trHeight w:val="230"/>
        </w:trPr>
        <w:tc>
          <w:tcPr>
            <w:tcW w:w="406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2520" w:type="dxa"/>
            <w:vAlign w:val="bottom"/>
          </w:tcPr>
          <w:p>
            <w:pPr>
              <w:ind w:left="20"/>
              <w:spacing w:after="0"/>
              <w:rPr>
                <w:sz w:val="20"/>
                <w:szCs w:val="20"/>
                <w:color w:val="auto"/>
              </w:rPr>
            </w:pPr>
            <w:r>
              <w:rPr>
                <w:rFonts w:ascii="Arial" w:cs="Arial" w:eastAsia="Arial" w:hAnsi="Arial"/>
                <w:sz w:val="16"/>
                <w:szCs w:val="16"/>
                <w:color w:val="auto"/>
              </w:rPr>
              <w:t>$22.0 billion - $24.0 billion</w:t>
            </w:r>
          </w:p>
        </w:tc>
        <w:tc>
          <w:tcPr>
            <w:tcW w:w="3720" w:type="dxa"/>
            <w:vAlign w:val="bottom"/>
            <w:gridSpan w:val="2"/>
          </w:tcPr>
          <w:p>
            <w:pPr>
              <w:ind w:left="620"/>
              <w:spacing w:after="0"/>
              <w:rPr>
                <w:sz w:val="20"/>
                <w:szCs w:val="20"/>
                <w:color w:val="auto"/>
              </w:rPr>
            </w:pPr>
            <w:r>
              <w:rPr>
                <w:rFonts w:ascii="Arial" w:cs="Arial" w:eastAsia="Arial" w:hAnsi="Arial"/>
                <w:sz w:val="16"/>
                <w:szCs w:val="16"/>
                <w:color w:val="auto"/>
              </w:rPr>
              <w:t>$19.2 billion - $22.2 billion</w:t>
            </w:r>
          </w:p>
        </w:tc>
      </w:tr>
      <w:tr>
        <w:trPr>
          <w:trHeight w:val="229"/>
        </w:trPr>
        <w:tc>
          <w:tcPr>
            <w:tcW w:w="406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2520" w:type="dxa"/>
            <w:vAlign w:val="bottom"/>
          </w:tcPr>
          <w:p>
            <w:pPr>
              <w:ind w:left="20"/>
              <w:spacing w:after="0"/>
              <w:rPr>
                <w:sz w:val="20"/>
                <w:szCs w:val="20"/>
                <w:color w:val="auto"/>
              </w:rPr>
            </w:pPr>
            <w:r>
              <w:rPr>
                <w:rFonts w:ascii="Arial" w:cs="Arial" w:eastAsia="Arial" w:hAnsi="Arial"/>
                <w:sz w:val="16"/>
                <w:szCs w:val="16"/>
                <w:color w:val="auto"/>
              </w:rPr>
              <w:t>$12.5 billion - $13.5 billion</w:t>
            </w:r>
          </w:p>
        </w:tc>
        <w:tc>
          <w:tcPr>
            <w:tcW w:w="3720" w:type="dxa"/>
            <w:vAlign w:val="bottom"/>
            <w:gridSpan w:val="2"/>
          </w:tcPr>
          <w:p>
            <w:pPr>
              <w:ind w:left="620"/>
              <w:spacing w:after="0"/>
              <w:rPr>
                <w:sz w:val="20"/>
                <w:szCs w:val="20"/>
                <w:color w:val="auto"/>
              </w:rPr>
            </w:pPr>
            <w:r>
              <w:rPr>
                <w:rFonts w:ascii="Arial" w:cs="Arial" w:eastAsia="Arial" w:hAnsi="Arial"/>
                <w:sz w:val="16"/>
                <w:szCs w:val="16"/>
                <w:color w:val="auto"/>
              </w:rPr>
              <w:t>$9.5 billion - $11.5 billion</w:t>
            </w:r>
          </w:p>
        </w:tc>
      </w:tr>
      <w:tr>
        <w:trPr>
          <w:trHeight w:val="229"/>
        </w:trPr>
        <w:tc>
          <w:tcPr>
            <w:tcW w:w="4060" w:type="dxa"/>
            <w:vAlign w:val="bottom"/>
          </w:tcPr>
          <w:p>
            <w:pPr>
              <w:spacing w:after="0"/>
              <w:rPr>
                <w:sz w:val="20"/>
                <w:szCs w:val="20"/>
                <w:color w:val="auto"/>
              </w:rPr>
            </w:pPr>
            <w:r>
              <w:rPr>
                <w:rFonts w:ascii="Arial" w:cs="Arial" w:eastAsia="Arial" w:hAnsi="Arial"/>
                <w:sz w:val="16"/>
                <w:szCs w:val="16"/>
                <w:color w:val="auto"/>
              </w:rPr>
              <w:t>EPS-diluted</w:t>
            </w:r>
          </w:p>
        </w:tc>
        <w:tc>
          <w:tcPr>
            <w:tcW w:w="2520" w:type="dxa"/>
            <w:vAlign w:val="bottom"/>
          </w:tcPr>
          <w:p>
            <w:pPr>
              <w:ind w:left="20"/>
              <w:spacing w:after="0"/>
              <w:rPr>
                <w:sz w:val="20"/>
                <w:szCs w:val="20"/>
                <w:color w:val="auto"/>
              </w:rPr>
            </w:pPr>
            <w:r>
              <w:rPr>
                <w:rFonts w:ascii="Arial" w:cs="Arial" w:eastAsia="Arial" w:hAnsi="Arial"/>
                <w:sz w:val="16"/>
                <w:szCs w:val="16"/>
                <w:color w:val="auto"/>
              </w:rPr>
              <w:t>$9.14 - $9.64</w:t>
            </w:r>
          </w:p>
        </w:tc>
        <w:tc>
          <w:tcPr>
            <w:tcW w:w="1040" w:type="dxa"/>
            <w:vAlign w:val="bottom"/>
          </w:tcPr>
          <w:p>
            <w:pPr>
              <w:ind w:left="620"/>
              <w:spacing w:after="0"/>
              <w:rPr>
                <w:sz w:val="20"/>
                <w:szCs w:val="20"/>
                <w:color w:val="auto"/>
              </w:rPr>
            </w:pPr>
            <w:r>
              <w:rPr>
                <w:rFonts w:ascii="Arial" w:cs="Arial" w:eastAsia="Arial" w:hAnsi="Arial"/>
                <w:sz w:val="16"/>
                <w:szCs w:val="16"/>
                <w:color w:val="auto"/>
                <w:w w:val="99"/>
              </w:rPr>
              <w:t>$8.93</w:t>
            </w:r>
          </w:p>
        </w:tc>
        <w:tc>
          <w:tcPr>
            <w:tcW w:w="2680" w:type="dxa"/>
            <w:vAlign w:val="bottom"/>
          </w:tcPr>
          <w:p>
            <w:pPr>
              <w:ind w:left="40"/>
              <w:spacing w:after="0"/>
              <w:rPr>
                <w:sz w:val="20"/>
                <w:szCs w:val="20"/>
                <w:color w:val="auto"/>
              </w:rPr>
            </w:pPr>
            <w:r>
              <w:rPr>
                <w:rFonts w:ascii="Arial" w:cs="Arial" w:eastAsia="Arial" w:hAnsi="Arial"/>
                <w:sz w:val="16"/>
                <w:szCs w:val="16"/>
                <w:color w:val="auto"/>
              </w:rPr>
              <w:t>- $9.93</w:t>
            </w:r>
          </w:p>
        </w:tc>
      </w:tr>
      <w:tr>
        <w:trPr>
          <w:trHeight w:val="230"/>
        </w:trPr>
        <w:tc>
          <w:tcPr>
            <w:tcW w:w="4060" w:type="dxa"/>
            <w:vAlign w:val="bottom"/>
          </w:tcPr>
          <w:p>
            <w:pPr>
              <w:spacing w:after="0"/>
              <w:rPr>
                <w:sz w:val="20"/>
                <w:szCs w:val="20"/>
                <w:color w:val="auto"/>
              </w:rPr>
            </w:pPr>
            <w:r>
              <w:rPr>
                <w:rFonts w:ascii="Arial" w:cs="Arial" w:eastAsia="Arial" w:hAnsi="Arial"/>
                <w:sz w:val="16"/>
                <w:szCs w:val="16"/>
                <w:color w:val="auto"/>
              </w:rPr>
              <w:t>EPS-diluted-adjusted</w:t>
            </w:r>
          </w:p>
        </w:tc>
        <w:tc>
          <w:tcPr>
            <w:tcW w:w="2520" w:type="dxa"/>
            <w:vAlign w:val="bottom"/>
          </w:tcPr>
          <w:p>
            <w:pPr>
              <w:ind w:left="20"/>
              <w:spacing w:after="0"/>
              <w:rPr>
                <w:sz w:val="20"/>
                <w:szCs w:val="20"/>
                <w:color w:val="auto"/>
              </w:rPr>
            </w:pPr>
            <w:r>
              <w:rPr>
                <w:rFonts w:ascii="Arial" w:cs="Arial" w:eastAsia="Arial" w:hAnsi="Arial"/>
                <w:sz w:val="16"/>
                <w:szCs w:val="16"/>
                <w:color w:val="auto"/>
              </w:rPr>
              <w:t>$10.00 - $10.50</w:t>
            </w:r>
          </w:p>
        </w:tc>
        <w:tc>
          <w:tcPr>
            <w:tcW w:w="1040" w:type="dxa"/>
            <w:vAlign w:val="bottom"/>
          </w:tcPr>
          <w:p>
            <w:pPr>
              <w:ind w:left="620"/>
              <w:spacing w:after="0"/>
              <w:rPr>
                <w:sz w:val="20"/>
                <w:szCs w:val="20"/>
                <w:color w:val="auto"/>
              </w:rPr>
            </w:pPr>
            <w:r>
              <w:rPr>
                <w:rFonts w:ascii="Arial" w:cs="Arial" w:eastAsia="Arial" w:hAnsi="Arial"/>
                <w:sz w:val="16"/>
                <w:szCs w:val="16"/>
                <w:color w:val="auto"/>
                <w:w w:val="99"/>
              </w:rPr>
              <w:t>$9.50</w:t>
            </w:r>
          </w:p>
        </w:tc>
        <w:tc>
          <w:tcPr>
            <w:tcW w:w="2680" w:type="dxa"/>
            <w:vAlign w:val="bottom"/>
          </w:tcPr>
          <w:p>
            <w:pPr>
              <w:ind w:left="40"/>
              <w:spacing w:after="0"/>
              <w:rPr>
                <w:sz w:val="20"/>
                <w:szCs w:val="20"/>
                <w:color w:val="auto"/>
              </w:rPr>
            </w:pPr>
            <w:r>
              <w:rPr>
                <w:rFonts w:ascii="Arial" w:cs="Arial" w:eastAsia="Arial" w:hAnsi="Arial"/>
                <w:sz w:val="16"/>
                <w:szCs w:val="16"/>
                <w:color w:val="auto"/>
              </w:rPr>
              <w:t>- $10.50</w:t>
            </w:r>
          </w:p>
        </w:tc>
      </w:tr>
    </w:tbl>
    <w:p>
      <w:pPr>
        <w:spacing w:after="0" w:line="32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GM's 2024 financial guidance includes anticipated capital spending of $10.5 billion - $11.5 billion, inclusive of investments in the company's battery cell manufacturing joint ventures.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for investors and analysts</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GM Chair and CEO Mary Barra and GM Chief Financial Officer Paul Jacobson will host a conference call for the investment community at 8:30 a.m. ET today to discuss these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details are as follows:</w:t>
      </w:r>
    </w:p>
    <w:p>
      <w:pPr>
        <w:spacing w:after="0" w:line="3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1-800-857-9821 (U.S.)</w:t>
      </w:r>
    </w:p>
    <w:p>
      <w:pPr>
        <w:spacing w:after="0" w:line="10"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1-517-308-9481 (international/caller-paid)</w:t>
      </w:r>
    </w:p>
    <w:p>
      <w:pPr>
        <w:spacing w:after="0" w:line="12" w:lineRule="exact"/>
        <w:rPr>
          <w:rFonts w:ascii="Arial" w:cs="Arial" w:eastAsia="Arial" w:hAnsi="Arial"/>
          <w:sz w:val="22"/>
          <w:szCs w:val="22"/>
          <w:color w:val="auto"/>
        </w:rPr>
      </w:pPr>
    </w:p>
    <w:p>
      <w:pPr>
        <w:ind w:left="640" w:hanging="308"/>
        <w:spacing w:after="0"/>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Conference call passcode: </w:t>
      </w:r>
      <w:r>
        <w:rPr>
          <w:rFonts w:ascii="Arial" w:cs="Arial" w:eastAsia="Arial" w:hAnsi="Arial"/>
          <w:sz w:val="18"/>
          <w:szCs w:val="18"/>
          <w:color w:val="auto"/>
        </w:rPr>
        <w:t>General Motors</w:t>
      </w:r>
    </w:p>
    <w:p>
      <w:pPr>
        <w:spacing w:after="0" w:line="2" w:lineRule="exact"/>
        <w:rPr>
          <w:rFonts w:ascii="Arial" w:cs="Arial" w:eastAsia="Arial" w:hAnsi="Arial"/>
          <w:sz w:val="22"/>
          <w:szCs w:val="22"/>
          <w:color w:val="auto"/>
        </w:rPr>
      </w:pPr>
    </w:p>
    <w:p>
      <w:pPr>
        <w:ind w:left="640" w:hanging="308"/>
        <w:spacing w:after="0" w:line="233" w:lineRule="auto"/>
        <w:tabs>
          <w:tab w:leader="none" w:pos="640" w:val="left"/>
        </w:tabs>
        <w:numPr>
          <w:ilvl w:val="0"/>
          <w:numId w:val="2"/>
        </w:numPr>
        <w:rPr>
          <w:rFonts w:ascii="Arial" w:cs="Arial" w:eastAsia="Arial" w:hAnsi="Arial"/>
          <w:sz w:val="22"/>
          <w:szCs w:val="22"/>
          <w:color w:val="auto"/>
        </w:rPr>
      </w:pPr>
      <w:r>
        <w:rPr>
          <w:rFonts w:ascii="Arial" w:cs="Arial" w:eastAsia="Arial" w:hAnsi="Arial"/>
          <w:sz w:val="18"/>
          <w:szCs w:val="18"/>
          <w:color w:val="auto"/>
        </w:rPr>
        <w:t>An audio replay will be available on the GM Investor Relations website in the Events section.</w:t>
      </w:r>
    </w:p>
    <w:p>
      <w:pPr>
        <w:spacing w:after="0" w:line="235"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Visit the GM Investor Relations website to download the company’s earnings deck and GM Chair and CEO Mary Barra’s letter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6" w:right="339" w:bottom="1440" w:gutter="0" w:footer="0" w:header="0"/>
        </w:sectPr>
      </w:pPr>
    </w:p>
    <w:bookmarkStart w:id="4" w:name="page5"/>
    <w:bookmarkEnd w:id="4"/>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Results Overview</w:t>
      </w:r>
    </w:p>
    <w:p>
      <w:pPr>
        <w:spacing w:after="0" w:line="58"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Three Months Ended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640" w:type="dxa"/>
            <w:vAlign w:val="bottom"/>
          </w:tcPr>
          <w:p>
            <w:pPr>
              <w:spacing w:after="0"/>
              <w:rPr>
                <w:sz w:val="20"/>
                <w:szCs w:val="20"/>
                <w:color w:val="auto"/>
              </w:rPr>
            </w:pPr>
            <w:r>
              <w:rPr>
                <w:rFonts w:ascii="Arial" w:cs="Arial" w:eastAsia="Arial" w:hAnsi="Arial"/>
                <w:sz w:val="16"/>
                <w:szCs w:val="16"/>
                <w:i w:val="1"/>
                <w:iCs w:val="1"/>
                <w:color w:val="auto"/>
              </w:rPr>
              <w:t>($M) except per share amounts</w:t>
            </w:r>
          </w:p>
        </w:tc>
        <w:tc>
          <w:tcPr>
            <w:tcW w:w="1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2024</w:t>
            </w:r>
          </w:p>
        </w:tc>
        <w:tc>
          <w:tcPr>
            <w:tcW w:w="1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2023</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3640" w:type="dxa"/>
            <w:vAlign w:val="bottom"/>
          </w:tcPr>
          <w:p>
            <w:pPr>
              <w:spacing w:after="0"/>
              <w:rPr>
                <w:sz w:val="20"/>
                <w:szCs w:val="20"/>
                <w:color w:val="auto"/>
              </w:rPr>
            </w:pPr>
            <w:r>
              <w:rPr>
                <w:rFonts w:ascii="Arial" w:cs="Arial" w:eastAsia="Arial" w:hAnsi="Arial"/>
                <w:sz w:val="16"/>
                <w:szCs w:val="16"/>
                <w:color w:val="auto"/>
              </w:rPr>
              <w:t>Revenue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48,757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44,131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4,626</w:t>
            </w:r>
          </w:p>
        </w:tc>
        <w:tc>
          <w:tcPr>
            <w:tcW w:w="1500" w:type="dxa"/>
            <w:vAlign w:val="bottom"/>
          </w:tcPr>
          <w:p>
            <w:pPr>
              <w:jc w:val="right"/>
              <w:spacing w:after="0"/>
              <w:rPr>
                <w:sz w:val="20"/>
                <w:szCs w:val="20"/>
                <w:color w:val="auto"/>
              </w:rPr>
            </w:pPr>
            <w:r>
              <w:rPr>
                <w:rFonts w:ascii="Arial" w:cs="Arial" w:eastAsia="Arial" w:hAnsi="Arial"/>
                <w:sz w:val="16"/>
                <w:szCs w:val="16"/>
                <w:color w:val="auto"/>
              </w:rPr>
              <w:t>10.5 %</w:t>
            </w:r>
          </w:p>
        </w:tc>
      </w:tr>
      <w:tr>
        <w:trPr>
          <w:trHeight w:val="215"/>
        </w:trPr>
        <w:tc>
          <w:tcPr>
            <w:tcW w:w="364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3,056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3,064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(8)</w:t>
            </w: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EBIT-adjusted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4,115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3,564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551</w:t>
            </w:r>
          </w:p>
        </w:tc>
        <w:tc>
          <w:tcPr>
            <w:tcW w:w="1500" w:type="dxa"/>
            <w:vAlign w:val="bottom"/>
          </w:tcPr>
          <w:p>
            <w:pPr>
              <w:jc w:val="right"/>
              <w:spacing w:after="0"/>
              <w:rPr>
                <w:sz w:val="20"/>
                <w:szCs w:val="20"/>
                <w:color w:val="auto"/>
              </w:rPr>
            </w:pPr>
            <w:r>
              <w:rPr>
                <w:rFonts w:ascii="Arial" w:cs="Arial" w:eastAsia="Arial" w:hAnsi="Arial"/>
                <w:sz w:val="16"/>
                <w:szCs w:val="16"/>
                <w:color w:val="auto"/>
              </w:rPr>
              <w:t>15.5 %</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Net income margin</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6.9 %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(0.6) ppts</w:t>
            </w:r>
          </w:p>
        </w:tc>
        <w:tc>
          <w:tcPr>
            <w:tcW w:w="15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EBIT-adjusted margin</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8.1 %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0.3 ppts</w:t>
            </w:r>
          </w:p>
        </w:tc>
        <w:tc>
          <w:tcPr>
            <w:tcW w:w="150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Automotive operating cash flow</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7,863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6,794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1,069</w:t>
            </w:r>
          </w:p>
        </w:tc>
        <w:tc>
          <w:tcPr>
            <w:tcW w:w="1500" w:type="dxa"/>
            <w:vAlign w:val="bottom"/>
          </w:tcPr>
          <w:p>
            <w:pPr>
              <w:jc w:val="right"/>
              <w:spacing w:after="0"/>
              <w:rPr>
                <w:sz w:val="20"/>
                <w:szCs w:val="20"/>
                <w:color w:val="auto"/>
              </w:rPr>
            </w:pPr>
            <w:r>
              <w:rPr>
                <w:rFonts w:ascii="Arial" w:cs="Arial" w:eastAsia="Arial" w:hAnsi="Arial"/>
                <w:sz w:val="16"/>
                <w:szCs w:val="16"/>
                <w:color w:val="auto"/>
              </w:rPr>
              <w:t>15.7 %</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Adjusted automotive free cash flow</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5,834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4,910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924</w:t>
            </w:r>
          </w:p>
        </w:tc>
        <w:tc>
          <w:tcPr>
            <w:tcW w:w="1500" w:type="dxa"/>
            <w:vAlign w:val="bottom"/>
          </w:tcPr>
          <w:p>
            <w:pPr>
              <w:jc w:val="right"/>
              <w:spacing w:after="0"/>
              <w:rPr>
                <w:sz w:val="20"/>
                <w:szCs w:val="20"/>
                <w:color w:val="auto"/>
              </w:rPr>
            </w:pPr>
            <w:r>
              <w:rPr>
                <w:rFonts w:ascii="Arial" w:cs="Arial" w:eastAsia="Arial" w:hAnsi="Arial"/>
                <w:sz w:val="16"/>
                <w:szCs w:val="16"/>
                <w:color w:val="auto"/>
              </w:rPr>
              <w:t>18.8 %</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EPS-diluted(a)</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2.68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2.20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0.48</w:t>
            </w:r>
          </w:p>
        </w:tc>
        <w:tc>
          <w:tcPr>
            <w:tcW w:w="1500" w:type="dxa"/>
            <w:vAlign w:val="bottom"/>
          </w:tcPr>
          <w:p>
            <w:pPr>
              <w:jc w:val="right"/>
              <w:spacing w:after="0"/>
              <w:rPr>
                <w:sz w:val="20"/>
                <w:szCs w:val="20"/>
                <w:color w:val="auto"/>
              </w:rPr>
            </w:pPr>
            <w:r>
              <w:rPr>
                <w:rFonts w:ascii="Arial" w:cs="Arial" w:eastAsia="Arial" w:hAnsi="Arial"/>
                <w:sz w:val="16"/>
                <w:szCs w:val="16"/>
                <w:color w:val="auto"/>
              </w:rPr>
              <w:t>21.8 %</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EPS-diluted-adjusted(a)</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2.96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2.28</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0.68</w:t>
            </w:r>
          </w:p>
        </w:tc>
        <w:tc>
          <w:tcPr>
            <w:tcW w:w="1500" w:type="dxa"/>
            <w:vAlign w:val="bottom"/>
          </w:tcPr>
          <w:p>
            <w:pPr>
              <w:jc w:val="right"/>
              <w:spacing w:after="0"/>
              <w:rPr>
                <w:sz w:val="20"/>
                <w:szCs w:val="20"/>
                <w:color w:val="auto"/>
              </w:rPr>
            </w:pPr>
            <w:r>
              <w:rPr>
                <w:rFonts w:ascii="Arial" w:cs="Arial" w:eastAsia="Arial" w:hAnsi="Arial"/>
                <w:sz w:val="16"/>
                <w:szCs w:val="16"/>
                <w:color w:val="auto"/>
              </w:rPr>
              <w:t>29.8 %</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GMNA EBIT-adjusted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3,982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3,526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456</w:t>
            </w:r>
          </w:p>
        </w:tc>
        <w:tc>
          <w:tcPr>
            <w:tcW w:w="1500" w:type="dxa"/>
            <w:vAlign w:val="bottom"/>
          </w:tcPr>
          <w:p>
            <w:pPr>
              <w:jc w:val="right"/>
              <w:spacing w:after="0"/>
              <w:rPr>
                <w:sz w:val="20"/>
                <w:szCs w:val="20"/>
                <w:color w:val="auto"/>
              </w:rPr>
            </w:pPr>
            <w:r>
              <w:rPr>
                <w:rFonts w:ascii="Arial" w:cs="Arial" w:eastAsia="Arial" w:hAnsi="Arial"/>
                <w:sz w:val="16"/>
                <w:szCs w:val="16"/>
                <w:color w:val="auto"/>
              </w:rPr>
              <w:t>12.9 %</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GMNA EBIT-adjusted margin</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9.8 %</w:t>
            </w:r>
          </w:p>
        </w:tc>
        <w:tc>
          <w:tcPr>
            <w:tcW w:w="30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(0.1) ppts</w:t>
            </w:r>
          </w:p>
        </w:tc>
        <w:tc>
          <w:tcPr>
            <w:tcW w:w="15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GMI EBIT-adjusted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42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357</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(315)</w:t>
            </w:r>
          </w:p>
        </w:tc>
        <w:tc>
          <w:tcPr>
            <w:tcW w:w="1500" w:type="dxa"/>
            <w:vAlign w:val="bottom"/>
          </w:tcPr>
          <w:p>
            <w:pPr>
              <w:jc w:val="right"/>
              <w:spacing w:after="0"/>
              <w:rPr>
                <w:sz w:val="20"/>
                <w:szCs w:val="20"/>
                <w:color w:val="auto"/>
              </w:rPr>
            </w:pPr>
            <w:r>
              <w:rPr>
                <w:rFonts w:ascii="Arial" w:cs="Arial" w:eastAsia="Arial" w:hAnsi="Arial"/>
                <w:sz w:val="16"/>
                <w:szCs w:val="16"/>
                <w:color w:val="auto"/>
              </w:rPr>
              <w:t>(88.2)%</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China equity income (loss)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(137)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192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(329)</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GM Financial EBT-adjusted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687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741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59"/>
              <w:spacing w:after="0"/>
              <w:rPr>
                <w:sz w:val="20"/>
                <w:szCs w:val="20"/>
                <w:color w:val="auto"/>
              </w:rPr>
            </w:pPr>
            <w:r>
              <w:rPr>
                <w:rFonts w:ascii="Arial" w:cs="Arial" w:eastAsia="Arial" w:hAnsi="Arial"/>
                <w:sz w:val="16"/>
                <w:szCs w:val="16"/>
                <w:color w:val="auto"/>
              </w:rPr>
              <w:t>(54)</w:t>
            </w:r>
          </w:p>
        </w:tc>
        <w:tc>
          <w:tcPr>
            <w:tcW w:w="1500" w:type="dxa"/>
            <w:vAlign w:val="bottom"/>
          </w:tcPr>
          <w:p>
            <w:pPr>
              <w:jc w:val="right"/>
              <w:spacing w:after="0"/>
              <w:rPr>
                <w:sz w:val="20"/>
                <w:szCs w:val="20"/>
                <w:color w:val="auto"/>
              </w:rPr>
            </w:pPr>
            <w:r>
              <w:rPr>
                <w:rFonts w:ascii="Arial" w:cs="Arial" w:eastAsia="Arial" w:hAnsi="Arial"/>
                <w:sz w:val="16"/>
                <w:szCs w:val="16"/>
                <w:color w:val="auto"/>
              </w:rPr>
              <w:t>(7.3)%</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hanging="332"/>
        <w:spacing w:after="0" w:line="261"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EPS-diluted and EPS-diluted-adjusted include a $(0.02) and $(0.05) impact from revaluation on equity investments in the three months ended September 30, 2024 and 2023.</w:t>
      </w:r>
    </w:p>
    <w:p>
      <w:pPr>
        <w:spacing w:after="0" w:line="175"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color w:val="auto"/>
        </w:rPr>
        <w:t xml:space="preserve">General Motors </w:t>
      </w:r>
      <w:r>
        <w:rPr>
          <w:rFonts w:ascii="Arial" w:cs="Arial" w:eastAsia="Arial" w:hAnsi="Arial"/>
          <w:sz w:val="18"/>
          <w:szCs w:val="18"/>
          <w:color w:val="auto"/>
        </w:rPr>
        <w:t>(NYSE:GM) is driving the future of transportation, leveraging advanced technology to build safer, smarter, and lower</w:t>
      </w:r>
      <w:r>
        <w:rPr>
          <w:rFonts w:ascii="Arial" w:cs="Arial" w:eastAsia="Arial" w:hAnsi="Arial"/>
          <w:sz w:val="18"/>
          <w:szCs w:val="18"/>
          <w:b w:val="1"/>
          <w:bCs w:val="1"/>
          <w:color w:val="auto"/>
        </w:rPr>
        <w:t xml:space="preserve"> </w:t>
      </w:r>
      <w:r>
        <w:rPr>
          <w:rFonts w:ascii="Arial" w:cs="Arial" w:eastAsia="Arial" w:hAnsi="Arial"/>
          <w:sz w:val="18"/>
          <w:szCs w:val="18"/>
          <w:color w:val="auto"/>
        </w:rPr>
        <w:t>emission cars, trucks, and SUVs. GM’s Buick, Cadillac, Chevrolet, and GMC brands offer a broad portfolio of innovative gasoline-powered vehicles and the industry’s widest range of EVs, as we move to an all-electric future. Learn more at GM.com.</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780" w:type="dxa"/>
            <w:vAlign w:val="bottom"/>
          </w:tcPr>
          <w:p>
            <w:pPr>
              <w:ind w:left="440"/>
              <w:spacing w:after="0"/>
              <w:rPr>
                <w:sz w:val="20"/>
                <w:szCs w:val="20"/>
                <w:color w:val="auto"/>
              </w:rPr>
            </w:pPr>
            <w:r>
              <w:rPr>
                <w:rFonts w:ascii="Arial" w:cs="Arial" w:eastAsia="Arial" w:hAnsi="Arial"/>
                <w:sz w:val="18"/>
                <w:szCs w:val="18"/>
                <w:b w:val="1"/>
                <w:bCs w:val="1"/>
                <w:color w:val="auto"/>
              </w:rPr>
              <w:t>###</w:t>
            </w:r>
          </w:p>
        </w:tc>
      </w:tr>
      <w:tr>
        <w:trPr>
          <w:trHeight w:val="513"/>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780" w:type="dxa"/>
            <w:vAlign w:val="bottom"/>
          </w:tcPr>
          <w:p>
            <w:pPr>
              <w:spacing w:after="0"/>
              <w:rPr>
                <w:sz w:val="24"/>
                <w:szCs w:val="24"/>
                <w:color w:val="auto"/>
              </w:rPr>
            </w:pPr>
          </w:p>
        </w:tc>
      </w:tr>
      <w:tr>
        <w:trPr>
          <w:trHeight w:val="239"/>
        </w:trPr>
        <w:tc>
          <w:tcPr>
            <w:tcW w:w="5020" w:type="dxa"/>
            <w:vAlign w:val="bottom"/>
            <w:gridSpan w:val="3"/>
          </w:tcPr>
          <w:p>
            <w:pPr>
              <w:spacing w:after="0"/>
              <w:rPr>
                <w:sz w:val="20"/>
                <w:szCs w:val="20"/>
                <w:color w:val="auto"/>
              </w:rPr>
            </w:pPr>
            <w:r>
              <w:rPr>
                <w:rFonts w:ascii="Arial" w:cs="Arial" w:eastAsia="Arial" w:hAnsi="Arial"/>
                <w:sz w:val="18"/>
                <w:szCs w:val="18"/>
                <w:color w:val="auto"/>
              </w:rPr>
              <w:t>Jim Cain</w:t>
            </w:r>
          </w:p>
        </w:tc>
        <w:tc>
          <w:tcPr>
            <w:tcW w:w="1780" w:type="dxa"/>
            <w:vAlign w:val="bottom"/>
          </w:tcPr>
          <w:p>
            <w:pPr>
              <w:spacing w:after="0"/>
              <w:rPr>
                <w:sz w:val="20"/>
                <w:szCs w:val="20"/>
                <w:color w:val="auto"/>
              </w:rPr>
            </w:pPr>
            <w:r>
              <w:rPr>
                <w:rFonts w:ascii="Arial" w:cs="Arial" w:eastAsia="Arial" w:hAnsi="Arial"/>
                <w:sz w:val="18"/>
                <w:szCs w:val="18"/>
                <w:color w:val="auto"/>
              </w:rPr>
              <w:t>Ashish Kohli, CFA</w:t>
            </w: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20"/>
                <w:szCs w:val="20"/>
                <w:color w:val="auto"/>
              </w:rPr>
            </w:pPr>
            <w:r>
              <w:rPr>
                <w:rFonts w:ascii="Arial" w:cs="Arial" w:eastAsia="Arial" w:hAnsi="Arial"/>
                <w:sz w:val="18"/>
                <w:szCs w:val="18"/>
                <w:color w:val="auto"/>
                <w:w w:val="98"/>
              </w:rPr>
              <w:t>GM Investor Relations</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313-407-2843</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847-964-3459</w:t>
            </w: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james.cain@chevrolet.com</w:t>
            </w:r>
          </w:p>
        </w:tc>
        <w:tc>
          <w:tcPr>
            <w:tcW w:w="1780" w:type="dxa"/>
            <w:vAlign w:val="bottom"/>
          </w:tcPr>
          <w:p>
            <w:pPr>
              <w:spacing w:after="0" w:line="195" w:lineRule="exact"/>
              <w:rPr>
                <w:sz w:val="20"/>
                <w:szCs w:val="20"/>
                <w:color w:val="auto"/>
              </w:rPr>
            </w:pPr>
            <w:r>
              <w:rPr>
                <w:rFonts w:ascii="Arial" w:cs="Arial" w:eastAsia="Arial" w:hAnsi="Arial"/>
                <w:sz w:val="18"/>
                <w:szCs w:val="18"/>
                <w:color w:val="0563C1"/>
                <w:w w:val="99"/>
              </w:rPr>
              <w:t>ashish.kohli@gm.com</w:t>
            </w:r>
          </w:p>
        </w:tc>
      </w:tr>
      <w:tr>
        <w:trPr>
          <w:trHeight w:val="515"/>
        </w:trPr>
        <w:tc>
          <w:tcPr>
            <w:tcW w:w="2160" w:type="dxa"/>
            <w:vAlign w:val="bottom"/>
            <w:tcBorders>
              <w:top w:val="single" w:sz="8" w:color="0563C1"/>
            </w:tcBorders>
            <w:gridSpan w:val="2"/>
          </w:tcPr>
          <w:p>
            <w:pPr>
              <w:spacing w:after="0"/>
              <w:rPr>
                <w:sz w:val="20"/>
                <w:szCs w:val="20"/>
                <w:color w:val="auto"/>
              </w:rPr>
            </w:pPr>
            <w:r>
              <w:rPr>
                <w:rFonts w:ascii="Arial" w:cs="Arial" w:eastAsia="Arial" w:hAnsi="Arial"/>
                <w:sz w:val="18"/>
                <w:szCs w:val="18"/>
                <w:color w:val="auto"/>
              </w:rPr>
              <w:t>David Caldwell</w:t>
            </w:r>
          </w:p>
        </w:tc>
        <w:tc>
          <w:tcPr>
            <w:tcW w:w="2860" w:type="dxa"/>
            <w:vAlign w:val="bottom"/>
          </w:tcPr>
          <w:p>
            <w:pPr>
              <w:spacing w:after="0"/>
              <w:rPr>
                <w:sz w:val="24"/>
                <w:szCs w:val="24"/>
                <w:color w:val="auto"/>
              </w:rPr>
            </w:pPr>
          </w:p>
        </w:tc>
        <w:tc>
          <w:tcPr>
            <w:tcW w:w="1780" w:type="dxa"/>
            <w:vAlign w:val="bottom"/>
            <w:tcBorders>
              <w:top w:val="single" w:sz="8" w:color="0563C1"/>
            </w:tcBorders>
          </w:tcPr>
          <w:p>
            <w:pPr>
              <w:spacing w:after="0"/>
              <w:rPr>
                <w:sz w:val="24"/>
                <w:szCs w:val="24"/>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GM Communications</w:t>
            </w:r>
          </w:p>
        </w:tc>
        <w:tc>
          <w:tcPr>
            <w:tcW w:w="178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586-899-7861</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4"/>
        </w:trPr>
        <w:tc>
          <w:tcPr>
            <w:tcW w:w="5020" w:type="dxa"/>
            <w:vAlign w:val="bottom"/>
            <w:gridSpan w:val="3"/>
          </w:tcPr>
          <w:p>
            <w:pPr>
              <w:spacing w:after="0" w:line="195" w:lineRule="exact"/>
              <w:rPr>
                <w:sz w:val="20"/>
                <w:szCs w:val="20"/>
                <w:color w:val="auto"/>
              </w:rPr>
            </w:pPr>
            <w:r>
              <w:rPr>
                <w:rFonts w:ascii="Arial" w:cs="Arial" w:eastAsia="Arial" w:hAnsi="Arial"/>
                <w:sz w:val="18"/>
                <w:szCs w:val="18"/>
                <w:color w:val="0563C1"/>
              </w:rPr>
              <w:t>david.caldwell@gm.com</w:t>
            </w:r>
          </w:p>
        </w:tc>
        <w:tc>
          <w:tcPr>
            <w:tcW w:w="1780" w:type="dxa"/>
            <w:vAlign w:val="bottom"/>
          </w:tcPr>
          <w:p>
            <w:pPr>
              <w:spacing w:after="0"/>
              <w:rPr>
                <w:sz w:val="16"/>
                <w:szCs w:val="16"/>
                <w:color w:val="auto"/>
              </w:rPr>
            </w:pPr>
          </w:p>
        </w:tc>
      </w:tr>
      <w:tr>
        <w:trPr>
          <w:trHeight w:val="20"/>
        </w:trPr>
        <w:tc>
          <w:tcPr>
            <w:tcW w:w="194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Cautionary Note on Forward-Looking Statements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press release and related comments by management may include “forward-looking statements” within the meaning of the U.S. federal securities laws. Forward-looking statements are any statements other than statements of historical fact and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most recent Annual Report on Form 10-K and our other filings with the U.S. Securities and Exchange Commission.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Guidance Reconciliations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Net income attributable to stockholders under U.S. GAAP to expected EBIT-adjusted (dollars in billions):</w:t>
      </w:r>
    </w:p>
    <w:p>
      <w:pPr>
        <w:spacing w:after="0" w:line="307"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Year Ending December 31, 2024</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182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b w:val="1"/>
                <w:bCs w:val="1"/>
                <w:color w:val="auto"/>
              </w:rPr>
              <w:t>Updated</w:t>
            </w:r>
          </w:p>
        </w:tc>
        <w:tc>
          <w:tcPr>
            <w:tcW w:w="9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Net income attributable to stockholders</w:t>
            </w:r>
          </w:p>
        </w:tc>
        <w:tc>
          <w:tcPr>
            <w:tcW w:w="1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$ 10.4-11.1</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$ 10.0-11.4</w:t>
            </w:r>
          </w:p>
        </w:tc>
      </w:tr>
      <w:tr>
        <w:trPr>
          <w:trHeight w:val="215"/>
        </w:trPr>
        <w:tc>
          <w:tcPr>
            <w:tcW w:w="732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980" w:type="dxa"/>
            <w:vAlign w:val="bottom"/>
          </w:tcPr>
          <w:p>
            <w:pPr>
              <w:jc w:val="right"/>
              <w:spacing w:after="0"/>
              <w:rPr>
                <w:sz w:val="20"/>
                <w:szCs w:val="20"/>
                <w:color w:val="auto"/>
              </w:rPr>
            </w:pPr>
            <w:r>
              <w:rPr>
                <w:rFonts w:ascii="Arial" w:cs="Arial" w:eastAsia="Arial" w:hAnsi="Arial"/>
                <w:sz w:val="16"/>
                <w:szCs w:val="16"/>
                <w:color w:val="auto"/>
              </w:rPr>
              <w:t>2.4-2.7</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2.2-2.8</w:t>
            </w:r>
          </w:p>
        </w:tc>
      </w:tr>
      <w:tr>
        <w:trPr>
          <w:trHeight w:val="216"/>
        </w:trPr>
        <w:tc>
          <w:tcPr>
            <w:tcW w:w="7320" w:type="dxa"/>
            <w:vAlign w:val="bottom"/>
            <w:gridSpan w:val="2"/>
          </w:tcPr>
          <w:p>
            <w:pPr>
              <w:spacing w:after="0"/>
              <w:rPr>
                <w:sz w:val="20"/>
                <w:szCs w:val="20"/>
                <w:color w:val="auto"/>
              </w:rPr>
            </w:pPr>
            <w:r>
              <w:rPr>
                <w:rFonts w:ascii="Arial" w:cs="Arial" w:eastAsia="Arial" w:hAnsi="Arial"/>
                <w:sz w:val="16"/>
                <w:szCs w:val="16"/>
                <w:color w:val="auto"/>
              </w:rPr>
              <w:t>Automotive interest income, net</w:t>
            </w: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7320" w:type="dxa"/>
            <w:vAlign w:val="bottom"/>
            <w:gridSpan w:val="2"/>
          </w:tcPr>
          <w:p>
            <w:pPr>
              <w:spacing w:after="0"/>
              <w:rPr>
                <w:sz w:val="20"/>
                <w:szCs w:val="20"/>
                <w:color w:val="auto"/>
              </w:rPr>
            </w:pPr>
            <w:r>
              <w:rPr>
                <w:rFonts w:ascii="Arial" w:cs="Arial" w:eastAsia="Arial" w:hAnsi="Arial"/>
                <w:sz w:val="16"/>
                <w:szCs w:val="16"/>
                <w:color w:val="auto"/>
              </w:rPr>
              <w:t>Adjustments(a)</w:t>
            </w: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EBIT-adjusted</w:t>
            </w:r>
          </w:p>
        </w:tc>
        <w:tc>
          <w:tcPr>
            <w:tcW w:w="18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$ 14.0-15.0</w:t>
            </w:r>
          </w:p>
        </w:tc>
        <w:tc>
          <w:tcPr>
            <w:tcW w:w="120" w:type="dxa"/>
            <w:vAlign w:val="bottom"/>
          </w:tcPr>
          <w:p>
            <w:pPr>
              <w:spacing w:after="0"/>
              <w:rPr>
                <w:sz w:val="18"/>
                <w:szCs w:val="18"/>
                <w:color w:val="auto"/>
              </w:rPr>
            </w:pP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$ 13.0-15.0</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hanging="332"/>
        <w:spacing w:after="0" w:line="284"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expected EPS-diluted under U.S. GAAP to expected EPS-diluted-adjusted:</w:t>
      </w:r>
    </w:p>
    <w:p>
      <w:pPr>
        <w:spacing w:after="0" w:line="293"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Year Ending December 31, 2024</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74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b w:val="1"/>
                <w:bCs w:val="1"/>
                <w:color w:val="auto"/>
              </w:rPr>
              <w:t>Updated</w:t>
            </w:r>
          </w:p>
        </w:tc>
        <w:tc>
          <w:tcPr>
            <w:tcW w:w="10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48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17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$ 9.14-9.64</w:t>
            </w:r>
          </w:p>
        </w:tc>
        <w:tc>
          <w:tcPr>
            <w:tcW w:w="10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$ 8.93-9.93</w:t>
            </w:r>
          </w:p>
        </w:tc>
      </w:tr>
      <w:tr>
        <w:trPr>
          <w:trHeight w:val="215"/>
        </w:trPr>
        <w:tc>
          <w:tcPr>
            <w:tcW w:w="7220" w:type="dxa"/>
            <w:vAlign w:val="bottom"/>
            <w:gridSpan w:val="2"/>
          </w:tcPr>
          <w:p>
            <w:pPr>
              <w:spacing w:after="0"/>
              <w:rPr>
                <w:sz w:val="20"/>
                <w:szCs w:val="20"/>
                <w:color w:val="auto"/>
              </w:rPr>
            </w:pPr>
            <w:r>
              <w:rPr>
                <w:rFonts w:ascii="Arial" w:cs="Arial" w:eastAsia="Arial" w:hAnsi="Arial"/>
                <w:sz w:val="16"/>
                <w:szCs w:val="16"/>
                <w:color w:val="auto"/>
              </w:rPr>
              <w:t>Adjustments(a)</w:t>
            </w:r>
          </w:p>
        </w:tc>
        <w:tc>
          <w:tcPr>
            <w:tcW w:w="1080" w:type="dxa"/>
            <w:vAlign w:val="bottom"/>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0.57</w:t>
            </w:r>
          </w:p>
        </w:tc>
      </w:tr>
      <w:tr>
        <w:trPr>
          <w:trHeight w:val="210"/>
        </w:trPr>
        <w:tc>
          <w:tcPr>
            <w:tcW w:w="5480" w:type="dxa"/>
            <w:vAlign w:val="bottom"/>
          </w:tcPr>
          <w:p>
            <w:pPr>
              <w:spacing w:after="0"/>
              <w:rPr>
                <w:sz w:val="20"/>
                <w:szCs w:val="20"/>
                <w:color w:val="auto"/>
              </w:rPr>
            </w:pPr>
            <w:r>
              <w:rPr>
                <w:rFonts w:ascii="Arial" w:cs="Arial" w:eastAsia="Arial" w:hAnsi="Arial"/>
                <w:sz w:val="16"/>
                <w:szCs w:val="16"/>
                <w:color w:val="auto"/>
              </w:rPr>
              <w:t>EPS-diluted-adjusted</w:t>
            </w:r>
          </w:p>
        </w:tc>
        <w:tc>
          <w:tcPr>
            <w:tcW w:w="17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$ 10.00-10.50</w:t>
            </w:r>
          </w:p>
        </w:tc>
        <w:tc>
          <w:tcPr>
            <w:tcW w:w="100" w:type="dxa"/>
            <w:vAlign w:val="bottom"/>
          </w:tcPr>
          <w:p>
            <w:pPr>
              <w:spacing w:after="0"/>
              <w:rPr>
                <w:sz w:val="18"/>
                <w:szCs w:val="18"/>
                <w:color w:val="auto"/>
              </w:rPr>
            </w:pP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$ 9.50-10.50</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right="20" w:hanging="332"/>
        <w:spacing w:after="0" w:line="284"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the reconciliation of diluted earnings per common share under U.S. GAAP to EPS-diluted-adjusted for adjustment details. These expected financial results do not include the potential impact of future adjustments related to special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reconciles expected automotive net cash provided by operating activities under U.S. GAAP to expected adjusted automotive free cash flow (dollars in billions):</w:t>
      </w:r>
    </w:p>
    <w:p>
      <w:pPr>
        <w:spacing w:after="0" w:line="214"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Year Ending December 31, 2024</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5500" w:type="dxa"/>
            <w:vAlign w:val="bottom"/>
          </w:tcPr>
          <w:p>
            <w:pPr>
              <w:spacing w:after="0"/>
              <w:rPr>
                <w:sz w:val="17"/>
                <w:szCs w:val="17"/>
                <w:color w:val="auto"/>
              </w:rPr>
            </w:pPr>
          </w:p>
        </w:tc>
        <w:tc>
          <w:tcPr>
            <w:tcW w:w="182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b w:val="1"/>
                <w:bCs w:val="1"/>
                <w:color w:val="auto"/>
              </w:rPr>
              <w:t>Updated</w:t>
            </w:r>
          </w:p>
        </w:tc>
        <w:tc>
          <w:tcPr>
            <w:tcW w:w="9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Previous</w:t>
            </w:r>
          </w:p>
        </w:tc>
      </w:tr>
      <w:tr>
        <w:trPr>
          <w:trHeight w:val="209"/>
        </w:trPr>
        <w:tc>
          <w:tcPr>
            <w:tcW w:w="5500" w:type="dxa"/>
            <w:vAlign w:val="bottom"/>
          </w:tcPr>
          <w:p>
            <w:pPr>
              <w:spacing w:after="0"/>
              <w:rPr>
                <w:sz w:val="20"/>
                <w:szCs w:val="20"/>
                <w:color w:val="auto"/>
              </w:rPr>
            </w:pPr>
            <w:r>
              <w:rPr>
                <w:rFonts w:ascii="Arial" w:cs="Arial" w:eastAsia="Arial" w:hAnsi="Arial"/>
                <w:sz w:val="16"/>
                <w:szCs w:val="16"/>
                <w:color w:val="auto"/>
              </w:rPr>
              <w:t>Net automotive cash provided by operating activities</w:t>
            </w:r>
          </w:p>
        </w:tc>
        <w:tc>
          <w:tcPr>
            <w:tcW w:w="1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$ 22.0-24.0</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$ 19.2-22.2</w:t>
            </w:r>
          </w:p>
        </w:tc>
      </w:tr>
      <w:tr>
        <w:trPr>
          <w:trHeight w:val="215"/>
        </w:trPr>
        <w:tc>
          <w:tcPr>
            <w:tcW w:w="7320" w:type="dxa"/>
            <w:vAlign w:val="bottom"/>
            <w:gridSpan w:val="2"/>
          </w:tcPr>
          <w:p>
            <w:pPr>
              <w:spacing w:after="0"/>
              <w:rPr>
                <w:sz w:val="20"/>
                <w:szCs w:val="20"/>
                <w:color w:val="auto"/>
              </w:rPr>
            </w:pPr>
            <w:r>
              <w:rPr>
                <w:rFonts w:ascii="Arial" w:cs="Arial" w:eastAsia="Arial" w:hAnsi="Arial"/>
                <w:sz w:val="16"/>
                <w:szCs w:val="16"/>
                <w:color w:val="auto"/>
              </w:rPr>
              <w:t>Less: Capital expenditures</w:t>
            </w:r>
          </w:p>
        </w:tc>
        <w:tc>
          <w:tcPr>
            <w:tcW w:w="980" w:type="dxa"/>
            <w:vAlign w:val="bottom"/>
          </w:tcPr>
          <w:p>
            <w:pPr>
              <w:jc w:val="right"/>
              <w:spacing w:after="0"/>
              <w:rPr>
                <w:sz w:val="20"/>
                <w:szCs w:val="20"/>
                <w:color w:val="auto"/>
              </w:rPr>
            </w:pPr>
            <w:r>
              <w:rPr>
                <w:rFonts w:ascii="Arial" w:cs="Arial" w:eastAsia="Arial" w:hAnsi="Arial"/>
                <w:sz w:val="16"/>
                <w:szCs w:val="16"/>
                <w:color w:val="auto"/>
              </w:rPr>
              <w:t>10.0-11.0</w:t>
            </w:r>
          </w:p>
        </w:tc>
        <w:tc>
          <w:tcPr>
            <w:tcW w:w="12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6"/>
                <w:szCs w:val="16"/>
                <w:color w:val="auto"/>
              </w:rPr>
              <w:t>10.0-11.0</w:t>
            </w:r>
          </w:p>
        </w:tc>
      </w:tr>
      <w:tr>
        <w:trPr>
          <w:trHeight w:val="216"/>
        </w:trPr>
        <w:tc>
          <w:tcPr>
            <w:tcW w:w="7320" w:type="dxa"/>
            <w:vAlign w:val="bottom"/>
            <w:gridSpan w:val="2"/>
          </w:tcPr>
          <w:p>
            <w:pPr>
              <w:spacing w:after="0"/>
              <w:rPr>
                <w:sz w:val="20"/>
                <w:szCs w:val="20"/>
                <w:color w:val="auto"/>
              </w:rPr>
            </w:pPr>
            <w:r>
              <w:rPr>
                <w:rFonts w:ascii="Arial" w:cs="Arial" w:eastAsia="Arial" w:hAnsi="Arial"/>
                <w:sz w:val="16"/>
                <w:szCs w:val="16"/>
                <w:color w:val="auto"/>
              </w:rPr>
              <w:t>Adjustments</w:t>
            </w: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800" w:type="dxa"/>
            <w:vAlign w:val="bottom"/>
          </w:tcPr>
          <w:p>
            <w:pPr>
              <w:jc w:val="right"/>
              <w:ind w:right="1"/>
              <w:spacing w:after="0"/>
              <w:rPr>
                <w:sz w:val="20"/>
                <w:szCs w:val="20"/>
                <w:color w:val="auto"/>
              </w:rPr>
            </w:pPr>
            <w:r>
              <w:rPr>
                <w:rFonts w:ascii="Arial" w:cs="Arial" w:eastAsia="Arial" w:hAnsi="Arial"/>
                <w:sz w:val="16"/>
                <w:szCs w:val="16"/>
                <w:color w:val="auto"/>
              </w:rPr>
              <w:t>0.3</w:t>
            </w: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Adjusted automotive free cash flow(a)</w:t>
            </w:r>
          </w:p>
        </w:tc>
        <w:tc>
          <w:tcPr>
            <w:tcW w:w="18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$ 12.5-13.5</w:t>
            </w:r>
          </w:p>
        </w:tc>
        <w:tc>
          <w:tcPr>
            <w:tcW w:w="120" w:type="dxa"/>
            <w:vAlign w:val="bottom"/>
          </w:tcPr>
          <w:p>
            <w:pPr>
              <w:spacing w:after="0"/>
              <w:rPr>
                <w:sz w:val="18"/>
                <w:szCs w:val="18"/>
                <w:color w:val="auto"/>
              </w:rPr>
            </w:pP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$ 9.5-11.5</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expected financial results do not include the potential impact of future adjustments related to special items.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5900"/>
        <w:spacing w:after="0"/>
        <w:rPr>
          <w:rFonts w:ascii="Arial" w:cs="Arial" w:eastAsia="Arial" w:hAnsi="Arial"/>
          <w:sz w:val="14"/>
          <w:szCs w:val="14"/>
          <w:color w:val="auto"/>
        </w:rPr>
      </w:pPr>
      <w:r>
        <w:rPr>
          <w:rFonts w:ascii="Arial" w:cs="Arial" w:eastAsia="Arial" w:hAnsi="Arial"/>
          <w:sz w:val="16"/>
          <w:szCs w:val="16"/>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(Unaudited)</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10"/>
          </w:tcPr>
          <w:p>
            <w:pPr>
              <w:ind w:left="340"/>
              <w:spacing w:after="0"/>
              <w:rPr>
                <w:sz w:val="20"/>
                <w:szCs w:val="20"/>
                <w:color w:val="auto"/>
              </w:rPr>
            </w:pPr>
            <w:r>
              <w:rPr>
                <w:rFonts w:ascii="Arial" w:cs="Arial" w:eastAsia="Arial" w:hAnsi="Arial"/>
                <w:sz w:val="11"/>
                <w:szCs w:val="11"/>
                <w:b w:val="1"/>
                <w:bCs w:val="1"/>
                <w:color w:val="auto"/>
                <w:w w:val="97"/>
              </w:rPr>
              <w:t>Three Months Ended September 30, 2024</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8"/>
          </w:tcPr>
          <w:p>
            <w:pPr>
              <w:ind w:left="340"/>
              <w:spacing w:after="0"/>
              <w:rPr>
                <w:sz w:val="20"/>
                <w:szCs w:val="20"/>
                <w:color w:val="auto"/>
              </w:rPr>
            </w:pPr>
            <w:r>
              <w:rPr>
                <w:rFonts w:ascii="Arial" w:cs="Arial" w:eastAsia="Arial" w:hAnsi="Arial"/>
                <w:sz w:val="11"/>
                <w:szCs w:val="11"/>
                <w:b w:val="1"/>
                <w:bCs w:val="1"/>
                <w:color w:val="auto"/>
              </w:rPr>
              <w:t>Three Months Ended September 30, 2023</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w w:val="99"/>
              </w:rPr>
              <w:t>Cruise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200"/>
              <w:spacing w:after="0" w:line="109" w:lineRule="exact"/>
              <w:rPr>
                <w:sz w:val="20"/>
                <w:szCs w:val="20"/>
                <w:color w:val="auto"/>
              </w:rPr>
            </w:pPr>
            <w:r>
              <w:rPr>
                <w:rFonts w:ascii="Arial" w:cs="Arial" w:eastAsia="Arial" w:hAnsi="Arial"/>
                <w:sz w:val="11"/>
                <w:szCs w:val="11"/>
                <w:b w:val="1"/>
                <w:bCs w:val="1"/>
                <w:color w:val="auto"/>
              </w:rPr>
              <w:t>GM</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8"/>
              </w:rPr>
              <w:t>Reclassifications/Eliminations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w w:val="92"/>
              </w:rPr>
              <w:t>Combined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20" w:type="dxa"/>
            <w:vAlign w:val="bottom"/>
            <w:gridSpan w:val="4"/>
          </w:tcPr>
          <w:p>
            <w:pPr>
              <w:jc w:val="center"/>
              <w:ind w:right="200"/>
              <w:spacing w:after="0" w:line="109"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4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rPr>
              <w:t>Financial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2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2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sales and revenue</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Automotive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44,735</w:t>
            </w: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2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44,735</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40,503</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40,498</w:t>
            </w:r>
          </w:p>
        </w:tc>
        <w:tc>
          <w:tcPr>
            <w:tcW w:w="0" w:type="dxa"/>
            <w:vAlign w:val="bottom"/>
          </w:tcPr>
          <w:p>
            <w:pPr>
              <w:spacing w:after="0"/>
              <w:rPr>
                <w:sz w:val="1"/>
                <w:szCs w:val="1"/>
                <w:color w:val="auto"/>
              </w:rPr>
            </w:pPr>
          </w:p>
        </w:tc>
      </w:tr>
      <w:tr>
        <w:trPr>
          <w:trHeight w:val="198"/>
        </w:trPr>
        <w:tc>
          <w:tcPr>
            <w:tcW w:w="1620" w:type="dxa"/>
            <w:vAlign w:val="bottom"/>
            <w:gridSpan w:val="2"/>
          </w:tcPr>
          <w:p>
            <w:pPr>
              <w:ind w:left="140"/>
              <w:spacing w:after="0"/>
              <w:rPr>
                <w:sz w:val="20"/>
                <w:szCs w:val="20"/>
                <w:color w:val="auto"/>
              </w:rPr>
            </w:pPr>
            <w:r>
              <w:rPr>
                <w:rFonts w:ascii="Arial" w:cs="Arial" w:eastAsia="Arial" w:hAnsi="Arial"/>
                <w:sz w:val="13"/>
                <w:szCs w:val="13"/>
                <w:color w:val="auto"/>
              </w:rPr>
              <w:t>GM Financial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4,031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4,021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3,633</w:t>
            </w:r>
          </w:p>
        </w:tc>
        <w:tc>
          <w:tcPr>
            <w:tcW w:w="0" w:type="dxa"/>
            <w:vAlign w:val="bottom"/>
          </w:tcPr>
          <w:p>
            <w:pPr>
              <w:spacing w:after="0"/>
              <w:rPr>
                <w:sz w:val="1"/>
                <w:szCs w:val="1"/>
                <w:color w:val="auto"/>
              </w:rPr>
            </w:pPr>
          </w:p>
        </w:tc>
      </w:tr>
      <w:tr>
        <w:trPr>
          <w:trHeight w:val="200"/>
        </w:trPr>
        <w:tc>
          <w:tcPr>
            <w:tcW w:w="172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3"/>
                <w:szCs w:val="13"/>
                <w:color w:val="auto"/>
                <w:w w:val="97"/>
              </w:rPr>
              <w:t>Total net sales and revenue</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44,735</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4,031</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48,757</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40,503</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3,641</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44,131</w:t>
            </w:r>
          </w:p>
        </w:tc>
        <w:tc>
          <w:tcPr>
            <w:tcW w:w="0" w:type="dxa"/>
            <w:vAlign w:val="bottom"/>
          </w:tcPr>
          <w:p>
            <w:pPr>
              <w:spacing w:after="0"/>
              <w:rPr>
                <w:sz w:val="1"/>
                <w:szCs w:val="1"/>
                <w:color w:val="auto"/>
              </w:rPr>
            </w:pPr>
          </w:p>
        </w:tc>
      </w:tr>
      <w:tr>
        <w:trPr>
          <w:trHeight w:val="174"/>
        </w:trPr>
        <w:tc>
          <w:tcPr>
            <w:tcW w:w="1620" w:type="dxa"/>
            <w:vAlign w:val="bottom"/>
            <w:gridSpan w:val="2"/>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620" w:type="dxa"/>
            <w:vAlign w:val="bottom"/>
            <w:gridSpan w:val="2"/>
            <w:shd w:val="clear" w:color="auto" w:fill="CCEEFF"/>
          </w:tcPr>
          <w:p>
            <w:pPr>
              <w:ind w:left="140"/>
              <w:spacing w:after="0" w:line="123" w:lineRule="exact"/>
              <w:rPr>
                <w:sz w:val="20"/>
                <w:szCs w:val="20"/>
                <w:color w:val="auto"/>
              </w:rPr>
            </w:pPr>
            <w:r>
              <w:rPr>
                <w:rFonts w:ascii="Arial" w:cs="Arial" w:eastAsia="Arial" w:hAnsi="Arial"/>
                <w:sz w:val="13"/>
                <w:szCs w:val="13"/>
                <w:color w:val="auto"/>
                <w:w w:val="96"/>
              </w:rPr>
              <w:t>Automotive and other cost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38,768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240</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39,007</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35,141</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35,842</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of sales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140"/>
              <w:spacing w:after="0" w:line="122" w:lineRule="exact"/>
              <w:rPr>
                <w:sz w:val="20"/>
                <w:szCs w:val="20"/>
                <w:color w:val="auto"/>
              </w:rPr>
            </w:pPr>
            <w:r>
              <w:rPr>
                <w:rFonts w:ascii="Arial" w:cs="Arial" w:eastAsia="Arial" w:hAnsi="Arial"/>
                <w:sz w:val="13"/>
                <w:szCs w:val="13"/>
                <w:color w:val="auto"/>
              </w:rPr>
              <w:t>GM Financial interest,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300"/>
              <w:spacing w:after="0" w:line="122" w:lineRule="exact"/>
              <w:rPr>
                <w:sz w:val="20"/>
                <w:szCs w:val="20"/>
                <w:color w:val="auto"/>
              </w:rPr>
            </w:pPr>
            <w:r>
              <w:rPr>
                <w:rFonts w:ascii="Arial" w:cs="Arial" w:eastAsia="Arial" w:hAnsi="Arial"/>
                <w:sz w:val="13"/>
                <w:szCs w:val="13"/>
                <w:color w:val="auto"/>
              </w:rPr>
              <w:t>operating and 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3,354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3,353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2,933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2,933</w:t>
            </w:r>
          </w:p>
        </w:tc>
        <w:tc>
          <w:tcPr>
            <w:tcW w:w="0" w:type="dxa"/>
            <w:vAlign w:val="bottom"/>
          </w:tcPr>
          <w:p>
            <w:pPr>
              <w:spacing w:after="0"/>
              <w:rPr>
                <w:sz w:val="1"/>
                <w:szCs w:val="1"/>
                <w:color w:val="auto"/>
              </w:rPr>
            </w:pPr>
          </w:p>
        </w:tc>
      </w:tr>
      <w:tr>
        <w:trPr>
          <w:trHeight w:val="185"/>
        </w:trPr>
        <w:tc>
          <w:tcPr>
            <w:tcW w:w="1620" w:type="dxa"/>
            <w:vAlign w:val="bottom"/>
            <w:gridSpan w:val="2"/>
          </w:tcPr>
          <w:p>
            <w:pPr>
              <w:ind w:left="300"/>
              <w:spacing w:after="0"/>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620" w:type="dxa"/>
            <w:vAlign w:val="bottom"/>
            <w:gridSpan w:val="2"/>
            <w:shd w:val="clear" w:color="auto" w:fill="CCEEFF"/>
          </w:tcPr>
          <w:p>
            <w:pPr>
              <w:ind w:left="140"/>
              <w:spacing w:after="0" w:line="126" w:lineRule="exact"/>
              <w:rPr>
                <w:sz w:val="20"/>
                <w:szCs w:val="20"/>
                <w:color w:val="auto"/>
              </w:rPr>
            </w:pPr>
            <w:r>
              <w:rPr>
                <w:rFonts w:ascii="Arial" w:cs="Arial" w:eastAsia="Arial" w:hAnsi="Arial"/>
                <w:sz w:val="13"/>
                <w:szCs w:val="13"/>
                <w:color w:val="auto"/>
              </w:rPr>
              <w:t>Automotive and other</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300"/>
              <w:spacing w:after="0" w:line="122" w:lineRule="exact"/>
              <w:rPr>
                <w:sz w:val="20"/>
                <w:szCs w:val="20"/>
                <w:color w:val="auto"/>
              </w:rPr>
            </w:pPr>
            <w:r>
              <w:rPr>
                <w:rFonts w:ascii="Arial" w:cs="Arial" w:eastAsia="Arial" w:hAnsi="Arial"/>
                <w:sz w:val="13"/>
                <w:szCs w:val="13"/>
                <w:color w:val="auto"/>
              </w:rPr>
              <w:t>selling, general and</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2,544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203</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2,745</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2,344</w:t>
            </w:r>
          </w:p>
        </w:tc>
        <w:tc>
          <w:tcPr>
            <w:tcW w:w="0" w:type="dxa"/>
            <w:vAlign w:val="bottom"/>
          </w:tcPr>
          <w:p>
            <w:pPr>
              <w:spacing w:after="0"/>
              <w:rPr>
                <w:sz w:val="1"/>
                <w:szCs w:val="1"/>
                <w:color w:val="auto"/>
              </w:rPr>
            </w:pPr>
          </w:p>
        </w:tc>
      </w:tr>
      <w:tr>
        <w:trPr>
          <w:trHeight w:val="185"/>
        </w:trPr>
        <w:tc>
          <w:tcPr>
            <w:tcW w:w="16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w w:val="97"/>
              </w:rPr>
              <w:t>administrative expense</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3"/>
                <w:szCs w:val="13"/>
                <w:color w:val="auto"/>
                <w:w w:val="99"/>
              </w:rPr>
              <w:t>Total costs and expenses</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41,312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442</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3,354</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45,105</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37,359</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833</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2,933</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200"/>
        </w:trPr>
        <w:tc>
          <w:tcPr>
            <w:tcW w:w="16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w w:val="98"/>
              </w:rPr>
              <w:t>Operating income (loss)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3,424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3,013</w:t>
            </w:r>
          </w:p>
        </w:tc>
        <w:tc>
          <w:tcPr>
            <w:tcW w:w="0" w:type="dxa"/>
            <w:vAlign w:val="bottom"/>
          </w:tcPr>
          <w:p>
            <w:pPr>
              <w:spacing w:after="0"/>
              <w:rPr>
                <w:sz w:val="1"/>
                <w:szCs w:val="1"/>
                <w:color w:val="auto"/>
              </w:rPr>
            </w:pPr>
          </w:p>
        </w:tc>
      </w:tr>
      <w:tr>
        <w:trPr>
          <w:trHeight w:val="198"/>
        </w:trPr>
        <w:tc>
          <w:tcPr>
            <w:tcW w:w="1620" w:type="dxa"/>
            <w:vAlign w:val="bottom"/>
            <w:gridSpan w:val="2"/>
          </w:tcPr>
          <w:p>
            <w:pPr>
              <w:ind w:left="20"/>
              <w:spacing w:after="0"/>
              <w:rPr>
                <w:sz w:val="20"/>
                <w:szCs w:val="20"/>
                <w:color w:val="auto"/>
              </w:rPr>
            </w:pPr>
            <w:r>
              <w:rPr>
                <w:rFonts w:ascii="Arial" w:cs="Arial" w:eastAsia="Arial" w:hAnsi="Arial"/>
                <w:sz w:val="13"/>
                <w:szCs w:val="13"/>
                <w:color w:val="auto"/>
                <w:w w:val="96"/>
              </w:rPr>
              <w:t>Automotive interest expense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25"/>
        </w:trPr>
        <w:tc>
          <w:tcPr>
            <w:tcW w:w="1620" w:type="dxa"/>
            <w:vAlign w:val="bottom"/>
            <w:gridSpan w:val="2"/>
            <w:shd w:val="clear" w:color="auto" w:fill="CCEEFF"/>
          </w:tcPr>
          <w:p>
            <w:pPr>
              <w:ind w:left="20"/>
              <w:spacing w:after="0" w:line="126" w:lineRule="exact"/>
              <w:rPr>
                <w:sz w:val="20"/>
                <w:szCs w:val="20"/>
                <w:color w:val="auto"/>
              </w:rPr>
            </w:pPr>
            <w:r>
              <w:rPr>
                <w:rFonts w:ascii="Arial" w:cs="Arial" w:eastAsia="Arial" w:hAnsi="Arial"/>
                <w:sz w:val="13"/>
                <w:szCs w:val="13"/>
                <w:color w:val="auto"/>
              </w:rPr>
              <w:t>Interest income and other</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379</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89"/>
        </w:trPr>
        <w:tc>
          <w:tcPr>
            <w:tcW w:w="17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non-operating income, net</w:t>
            </w:r>
          </w:p>
        </w:tc>
        <w:tc>
          <w:tcPr>
            <w:tcW w:w="1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4"/>
            <w:vMerge w:val="continue"/>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6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Equity income (loss)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06"/>
        </w:trPr>
        <w:tc>
          <w:tcPr>
            <w:tcW w:w="162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2"/>
                <w:szCs w:val="12"/>
                <w:color w:val="auto"/>
              </w:rPr>
              <w:t>Income (loss) before income</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3,465</w:t>
            </w:r>
          </w:p>
        </w:tc>
        <w:tc>
          <w:tcPr>
            <w:tcW w:w="20" w:type="dxa"/>
            <w:vAlign w:val="bottom"/>
            <w:shd w:val="clear" w:color="auto" w:fill="CCEEFF"/>
          </w:tcPr>
          <w:p>
            <w:pPr>
              <w:spacing w:after="0"/>
              <w:rPr>
                <w:sz w:val="9"/>
                <w:szCs w:val="9"/>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(435)</w:t>
            </w:r>
          </w:p>
        </w:tc>
        <w:tc>
          <w:tcPr>
            <w:tcW w:w="20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5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687</w:t>
            </w:r>
          </w:p>
        </w:tc>
        <w:tc>
          <w:tcPr>
            <w:tcW w:w="126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3,717</w:t>
            </w:r>
          </w:p>
        </w:tc>
        <w:tc>
          <w:tcPr>
            <w:tcW w:w="40" w:type="dxa"/>
            <w:vAlign w:val="bottom"/>
            <w:shd w:val="clear" w:color="auto" w:fill="CCEEFF"/>
          </w:tcPr>
          <w:p>
            <w:pPr>
              <w:spacing w:after="0"/>
              <w:rPr>
                <w:sz w:val="9"/>
                <w:szCs w:val="9"/>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3,514</w:t>
            </w:r>
          </w:p>
        </w:tc>
        <w:tc>
          <w:tcPr>
            <w:tcW w:w="40" w:type="dxa"/>
            <w:vAlign w:val="bottom"/>
            <w:shd w:val="clear" w:color="auto" w:fill="CCEEFF"/>
          </w:tcPr>
          <w:p>
            <w:pPr>
              <w:spacing w:after="0"/>
              <w:rPr>
                <w:sz w:val="9"/>
                <w:szCs w:val="9"/>
                <w:color w:val="auto"/>
              </w:rPr>
            </w:pPr>
          </w:p>
        </w:tc>
        <w:tc>
          <w:tcPr>
            <w:tcW w:w="20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3,464</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taxes</w:t>
            </w: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260" w:type="dxa"/>
            <w:vAlign w:val="bottom"/>
            <w:gridSpan w:val="3"/>
            <w:vMerge w:val="continue"/>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2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Income tax expense (benefit)</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00"/>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2,994</w:t>
            </w:r>
          </w:p>
        </w:tc>
        <w:tc>
          <w:tcPr>
            <w:tcW w:w="0" w:type="dxa"/>
            <w:vAlign w:val="bottom"/>
          </w:tcPr>
          <w:p>
            <w:pPr>
              <w:spacing w:after="0"/>
              <w:rPr>
                <w:sz w:val="1"/>
                <w:szCs w:val="1"/>
                <w:color w:val="auto"/>
              </w:rPr>
            </w:pPr>
          </w:p>
        </w:tc>
      </w:tr>
      <w:tr>
        <w:trPr>
          <w:trHeight w:val="122"/>
        </w:trPr>
        <w:tc>
          <w:tcPr>
            <w:tcW w:w="1720" w:type="dxa"/>
            <w:vAlign w:val="bottom"/>
            <w:gridSpan w:val="3"/>
          </w:tcPr>
          <w:p>
            <w:pPr>
              <w:ind w:left="20"/>
              <w:spacing w:after="0" w:line="122" w:lineRule="exact"/>
              <w:rPr>
                <w:sz w:val="20"/>
                <w:szCs w:val="20"/>
                <w:color w:val="auto"/>
              </w:rPr>
            </w:pPr>
            <w:r>
              <w:rPr>
                <w:rFonts w:ascii="Arial" w:cs="Arial" w:eastAsia="Arial" w:hAnsi="Arial"/>
                <w:sz w:val="13"/>
                <w:szCs w:val="13"/>
                <w:color w:val="auto"/>
                <w:w w:val="99"/>
              </w:rPr>
              <w:t>Net loss (income) attributable</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5"/>
        </w:trPr>
        <w:tc>
          <w:tcPr>
            <w:tcW w:w="1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w w:val="95"/>
              </w:rPr>
              <w:t>to noncontrolling interests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1620" w:type="dxa"/>
            <w:vAlign w:val="bottom"/>
            <w:gridSpan w:val="2"/>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Net income (loss)</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attributable to</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3,064</w:t>
            </w:r>
          </w:p>
        </w:tc>
        <w:tc>
          <w:tcPr>
            <w:tcW w:w="0" w:type="dxa"/>
            <w:vAlign w:val="bottom"/>
          </w:tcPr>
          <w:p>
            <w:pPr>
              <w:spacing w:after="0"/>
              <w:rPr>
                <w:sz w:val="1"/>
                <w:szCs w:val="1"/>
                <w:color w:val="auto"/>
              </w:rPr>
            </w:pPr>
          </w:p>
        </w:tc>
      </w:tr>
      <w:tr>
        <w:trPr>
          <w:trHeight w:val="182"/>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b w:val="1"/>
                <w:bCs w:val="1"/>
                <w:color w:val="auto"/>
              </w:rPr>
              <w:t>Net income (loss)</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w w:val="98"/>
              </w:rPr>
              <w:t>attributable to common</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07"/>
        </w:trPr>
        <w:tc>
          <w:tcPr>
            <w:tcW w:w="1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0"/>
          </w:tcPr>
          <w:p>
            <w:pPr>
              <w:ind w:left="280"/>
              <w:spacing w:after="0"/>
              <w:rPr>
                <w:sz w:val="20"/>
                <w:szCs w:val="20"/>
                <w:color w:val="auto"/>
              </w:rPr>
            </w:pPr>
            <w:r>
              <w:rPr>
                <w:rFonts w:ascii="Arial" w:cs="Arial" w:eastAsia="Arial" w:hAnsi="Arial"/>
                <w:sz w:val="11"/>
                <w:szCs w:val="11"/>
                <w:b w:val="1"/>
                <w:bCs w:val="1"/>
                <w:color w:val="auto"/>
              </w:rPr>
              <w:t>Nine Months Ended September 30, 2024</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ind w:left="340"/>
              <w:spacing w:after="0"/>
              <w:rPr>
                <w:sz w:val="20"/>
                <w:szCs w:val="20"/>
                <w:color w:val="auto"/>
              </w:rPr>
            </w:pPr>
            <w:r>
              <w:rPr>
                <w:rFonts w:ascii="Arial" w:cs="Arial" w:eastAsia="Arial" w:hAnsi="Arial"/>
                <w:sz w:val="11"/>
                <w:szCs w:val="11"/>
                <w:b w:val="1"/>
                <w:bCs w:val="1"/>
                <w:color w:val="auto"/>
              </w:rPr>
              <w:t>Nine Months Ended September 30, 2023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gridSpan w:val="5"/>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9"/>
                <w:szCs w:val="9"/>
                <w:color w:val="auto"/>
              </w:rPr>
            </w:pPr>
          </w:p>
        </w:tc>
        <w:tc>
          <w:tcPr>
            <w:tcW w:w="620" w:type="dxa"/>
            <w:vAlign w:val="bottom"/>
            <w:gridSpan w:val="3"/>
            <w:vMerge w:val="restart"/>
          </w:tcPr>
          <w:p>
            <w:pPr>
              <w:jc w:val="right"/>
              <w:ind w:right="220"/>
              <w:spacing w:after="0"/>
              <w:rPr>
                <w:sz w:val="20"/>
                <w:szCs w:val="20"/>
                <w:color w:val="auto"/>
              </w:rPr>
            </w:pPr>
            <w:r>
              <w:rPr>
                <w:rFonts w:ascii="Arial" w:cs="Arial" w:eastAsia="Arial" w:hAnsi="Arial"/>
                <w:sz w:val="11"/>
                <w:szCs w:val="11"/>
                <w:b w:val="1"/>
                <w:bCs w:val="1"/>
                <w:color w:val="auto"/>
              </w:rPr>
              <w:t>Cruise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280"/>
              <w:spacing w:after="0" w:line="109" w:lineRule="exact"/>
              <w:rPr>
                <w:sz w:val="20"/>
                <w:szCs w:val="20"/>
                <w:color w:val="auto"/>
              </w:rPr>
            </w:pPr>
            <w:r>
              <w:rPr>
                <w:rFonts w:ascii="Arial" w:cs="Arial" w:eastAsia="Arial" w:hAnsi="Arial"/>
                <w:sz w:val="11"/>
                <w:szCs w:val="11"/>
                <w:b w:val="1"/>
                <w:bCs w:val="1"/>
                <w:color w:val="auto"/>
              </w:rPr>
              <w:t>GM</w:t>
            </w:r>
          </w:p>
        </w:tc>
        <w:tc>
          <w:tcPr>
            <w:tcW w:w="40" w:type="dxa"/>
            <w:vAlign w:val="bottom"/>
          </w:tcPr>
          <w:p>
            <w:pPr>
              <w:spacing w:after="0"/>
              <w:rPr>
                <w:sz w:val="9"/>
                <w:szCs w:val="9"/>
                <w:color w:val="auto"/>
              </w:rPr>
            </w:pPr>
          </w:p>
        </w:tc>
        <w:tc>
          <w:tcPr>
            <w:tcW w:w="166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rPr>
              <w:t>Combined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Automotive</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20" w:type="dxa"/>
            <w:vAlign w:val="bottom"/>
            <w:gridSpan w:val="4"/>
          </w:tcPr>
          <w:p>
            <w:pPr>
              <w:jc w:val="center"/>
              <w:ind w:right="200"/>
              <w:spacing w:after="0" w:line="109"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Reclassifications/Eliminations</w:t>
            </w:r>
          </w:p>
        </w:tc>
        <w:tc>
          <w:tcPr>
            <w:tcW w:w="100" w:type="dxa"/>
            <w:vAlign w:val="bottom"/>
          </w:tcPr>
          <w:p>
            <w:pPr>
              <w:spacing w:after="0"/>
              <w:rPr>
                <w:sz w:val="9"/>
                <w:szCs w:val="9"/>
                <w:color w:val="auto"/>
              </w:rPr>
            </w:pPr>
          </w:p>
        </w:tc>
        <w:tc>
          <w:tcPr>
            <w:tcW w:w="640" w:type="dxa"/>
            <w:vAlign w:val="bottom"/>
            <w:vMerge w:val="restart"/>
          </w:tcPr>
          <w:p>
            <w:pPr>
              <w:jc w:val="right"/>
              <w:ind w:right="29"/>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Financial</w:t>
            </w:r>
          </w:p>
        </w:tc>
        <w:tc>
          <w:tcPr>
            <w:tcW w:w="40" w:type="dxa"/>
            <w:vAlign w:val="bottom"/>
          </w:tcPr>
          <w:p>
            <w:pPr>
              <w:spacing w:after="0"/>
              <w:rPr>
                <w:sz w:val="13"/>
                <w:szCs w:val="13"/>
                <w:color w:val="auto"/>
              </w:rPr>
            </w:pPr>
          </w:p>
        </w:tc>
        <w:tc>
          <w:tcPr>
            <w:tcW w:w="166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2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6"/>
              </w:rPr>
              <w:t>Financial</w:t>
            </w:r>
          </w:p>
        </w:tc>
        <w:tc>
          <w:tcPr>
            <w:tcW w:w="1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600" w:type="dxa"/>
            <w:vAlign w:val="bottom"/>
          </w:tcPr>
          <w:p>
            <w:pPr>
              <w:ind w:left="20"/>
              <w:spacing w:after="0"/>
              <w:rPr>
                <w:sz w:val="20"/>
                <w:szCs w:val="20"/>
                <w:color w:val="auto"/>
              </w:rPr>
            </w:pPr>
            <w:r>
              <w:rPr>
                <w:rFonts w:ascii="Arial" w:cs="Arial" w:eastAsia="Arial" w:hAnsi="Arial"/>
                <w:sz w:val="13"/>
                <w:szCs w:val="13"/>
                <w:b w:val="1"/>
                <w:bCs w:val="1"/>
                <w:color w:val="auto"/>
              </w:rPr>
              <w:t>Net sales and revenue</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Automotive</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$ 128,007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$ 128,008</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118,403</w:t>
            </w: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$ 118,398</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GM Financial</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11,761</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11,732</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10,482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10,465</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line="114" w:lineRule="exact"/>
              <w:rPr>
                <w:sz w:val="20"/>
                <w:szCs w:val="20"/>
                <w:color w:val="auto"/>
              </w:rPr>
            </w:pPr>
            <w:r>
              <w:rPr>
                <w:rFonts w:ascii="Arial" w:cs="Arial" w:eastAsia="Arial" w:hAnsi="Arial"/>
                <w:sz w:val="13"/>
                <w:szCs w:val="13"/>
                <w:color w:val="auto"/>
              </w:rPr>
              <w:t>Total net sales and</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128,007</w:t>
            </w: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60" w:type="dxa"/>
            <w:vAlign w:val="bottom"/>
            <w:shd w:val="clear" w:color="auto" w:fill="CCEEFF"/>
          </w:tcPr>
          <w:p>
            <w:pPr>
              <w:spacing w:after="0"/>
              <w:rPr>
                <w:sz w:val="9"/>
                <w:szCs w:val="9"/>
                <w:color w:val="auto"/>
              </w:rPr>
            </w:pPr>
          </w:p>
        </w:tc>
        <w:tc>
          <w:tcPr>
            <w:tcW w:w="64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11,761</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(105)</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139,740</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118,403</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10,482</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128,863</w:t>
            </w:r>
          </w:p>
        </w:tc>
        <w:tc>
          <w:tcPr>
            <w:tcW w:w="0" w:type="dxa"/>
            <w:vAlign w:val="bottom"/>
          </w:tcPr>
          <w:p>
            <w:pPr>
              <w:spacing w:after="0"/>
              <w:rPr>
                <w:sz w:val="1"/>
                <w:szCs w:val="1"/>
                <w:color w:val="auto"/>
              </w:rPr>
            </w:pPr>
          </w:p>
        </w:tc>
      </w:tr>
      <w:tr>
        <w:trPr>
          <w:trHeight w:val="180"/>
        </w:trPr>
        <w:tc>
          <w:tcPr>
            <w:tcW w:w="16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revenue</w:t>
            </w: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4"/>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20" w:type="dxa"/>
            <w:vAlign w:val="bottom"/>
            <w:gridSpan w:val="2"/>
          </w:tcPr>
          <w:p>
            <w:pPr>
              <w:ind w:left="20"/>
              <w:spacing w:after="0"/>
              <w:rPr>
                <w:sz w:val="20"/>
                <w:szCs w:val="20"/>
                <w:color w:val="auto"/>
              </w:rPr>
            </w:pPr>
            <w:r>
              <w:rPr>
                <w:rFonts w:ascii="Arial" w:cs="Arial" w:eastAsia="Arial" w:hAnsi="Arial"/>
                <w:sz w:val="13"/>
                <w:szCs w:val="13"/>
                <w:b w:val="1"/>
                <w:bCs w:val="1"/>
                <w:color w:val="auto"/>
              </w:rPr>
              <w:t>Costs and expenses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62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3"/>
                <w:szCs w:val="13"/>
                <w:color w:val="auto"/>
              </w:rPr>
              <w:t>Automotive and other</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109,958</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111,618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102,917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104,721</w:t>
            </w:r>
          </w:p>
        </w:tc>
        <w:tc>
          <w:tcPr>
            <w:tcW w:w="0" w:type="dxa"/>
            <w:vAlign w:val="bottom"/>
          </w:tcPr>
          <w:p>
            <w:pPr>
              <w:spacing w:after="0"/>
              <w:rPr>
                <w:sz w:val="1"/>
                <w:szCs w:val="1"/>
                <w:color w:val="auto"/>
              </w:rPr>
            </w:pPr>
          </w:p>
        </w:tc>
      </w:tr>
      <w:tr>
        <w:trPr>
          <w:trHeight w:val="180"/>
        </w:trPr>
        <w:tc>
          <w:tcPr>
            <w:tcW w:w="16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cost of sales</w:t>
            </w:r>
          </w:p>
        </w:tc>
        <w:tc>
          <w:tcPr>
            <w:tcW w:w="10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4"/>
            <w:vMerge w:val="continue"/>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620" w:type="dxa"/>
            <w:vAlign w:val="bottom"/>
            <w:gridSpan w:val="2"/>
          </w:tcPr>
          <w:p>
            <w:pPr>
              <w:ind w:left="140"/>
              <w:spacing w:after="0" w:line="131" w:lineRule="exact"/>
              <w:rPr>
                <w:sz w:val="20"/>
                <w:szCs w:val="20"/>
                <w:color w:val="auto"/>
              </w:rPr>
            </w:pPr>
            <w:r>
              <w:rPr>
                <w:rFonts w:ascii="Arial" w:cs="Arial" w:eastAsia="Arial" w:hAnsi="Arial"/>
                <w:sz w:val="13"/>
                <w:szCs w:val="13"/>
                <w:color w:val="auto"/>
              </w:rPr>
              <w:t>GM Financial interest,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20" w:type="dxa"/>
            <w:vAlign w:val="bottom"/>
            <w:gridSpan w:val="2"/>
          </w:tcPr>
          <w:p>
            <w:pPr>
              <w:ind w:left="300"/>
              <w:spacing w:after="0" w:line="126" w:lineRule="exact"/>
              <w:rPr>
                <w:sz w:val="20"/>
                <w:szCs w:val="20"/>
                <w:color w:val="auto"/>
              </w:rPr>
            </w:pPr>
            <w:r>
              <w:rPr>
                <w:rFonts w:ascii="Arial" w:cs="Arial" w:eastAsia="Arial" w:hAnsi="Arial"/>
                <w:sz w:val="13"/>
                <w:szCs w:val="13"/>
                <w:color w:val="auto"/>
              </w:rPr>
              <w:t>operating and 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9,569</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9,568</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8,314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8,313</w:t>
            </w:r>
          </w:p>
        </w:tc>
        <w:tc>
          <w:tcPr>
            <w:tcW w:w="0" w:type="dxa"/>
            <w:vAlign w:val="bottom"/>
          </w:tcPr>
          <w:p>
            <w:pPr>
              <w:spacing w:after="0"/>
              <w:rPr>
                <w:sz w:val="1"/>
                <w:szCs w:val="1"/>
                <w:color w:val="auto"/>
              </w:rPr>
            </w:pPr>
          </w:p>
        </w:tc>
      </w:tr>
      <w:tr>
        <w:trPr>
          <w:trHeight w:val="171"/>
        </w:trPr>
        <w:tc>
          <w:tcPr>
            <w:tcW w:w="1620" w:type="dxa"/>
            <w:vAlign w:val="bottom"/>
            <w:gridSpan w:val="2"/>
          </w:tcPr>
          <w:p>
            <w:pPr>
              <w:ind w:left="300"/>
              <w:spacing w:after="0"/>
              <w:rPr>
                <w:sz w:val="20"/>
                <w:szCs w:val="20"/>
                <w:color w:val="auto"/>
              </w:rPr>
            </w:pPr>
            <w:r>
              <w:rPr>
                <w:rFonts w:ascii="Arial" w:cs="Arial" w:eastAsia="Arial" w:hAnsi="Arial"/>
                <w:sz w:val="13"/>
                <w:szCs w:val="13"/>
                <w:color w:val="auto"/>
              </w:rPr>
              <w:t>expenses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20" w:type="dxa"/>
            <w:vAlign w:val="bottom"/>
            <w:gridSpan w:val="2"/>
            <w:shd w:val="clear" w:color="auto" w:fill="CCEEFF"/>
          </w:tcPr>
          <w:p>
            <w:pPr>
              <w:ind w:left="140"/>
              <w:spacing w:after="0" w:line="134" w:lineRule="exact"/>
              <w:rPr>
                <w:sz w:val="20"/>
                <w:szCs w:val="20"/>
                <w:color w:val="auto"/>
              </w:rPr>
            </w:pPr>
            <w:r>
              <w:rPr>
                <w:rFonts w:ascii="Arial" w:cs="Arial" w:eastAsia="Arial" w:hAnsi="Arial"/>
                <w:sz w:val="13"/>
                <w:szCs w:val="13"/>
                <w:color w:val="auto"/>
              </w:rPr>
              <w:t>Automotive and other</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20" w:type="dxa"/>
            <w:vAlign w:val="bottom"/>
            <w:gridSpan w:val="2"/>
            <w:shd w:val="clear" w:color="auto" w:fill="CCEEFF"/>
          </w:tcPr>
          <w:p>
            <w:pPr>
              <w:ind w:left="300"/>
              <w:spacing w:after="0" w:line="126" w:lineRule="exact"/>
              <w:rPr>
                <w:sz w:val="20"/>
                <w:szCs w:val="20"/>
                <w:color w:val="auto"/>
              </w:rPr>
            </w:pPr>
            <w:r>
              <w:rPr>
                <w:rFonts w:ascii="Arial" w:cs="Arial" w:eastAsia="Arial" w:hAnsi="Arial"/>
                <w:sz w:val="13"/>
                <w:szCs w:val="13"/>
                <w:color w:val="auto"/>
              </w:rPr>
              <w:t>selling, general and</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300"/>
              <w:spacing w:after="0" w:line="122" w:lineRule="exact"/>
              <w:rPr>
                <w:sz w:val="20"/>
                <w:szCs w:val="20"/>
                <w:color w:val="auto"/>
              </w:rPr>
            </w:pPr>
            <w:r>
              <w:rPr>
                <w:rFonts w:ascii="Arial" w:cs="Arial" w:eastAsia="Arial" w:hAnsi="Arial"/>
                <w:sz w:val="13"/>
                <w:szCs w:val="13"/>
                <w:color w:val="auto"/>
              </w:rPr>
              <w:t>administrative</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6,813</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7,292</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7,089</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7,449</w:t>
            </w:r>
          </w:p>
        </w:tc>
        <w:tc>
          <w:tcPr>
            <w:tcW w:w="0" w:type="dxa"/>
            <w:vAlign w:val="bottom"/>
          </w:tcPr>
          <w:p>
            <w:pPr>
              <w:spacing w:after="0"/>
              <w:rPr>
                <w:sz w:val="1"/>
                <w:szCs w:val="1"/>
                <w:color w:val="auto"/>
              </w:rPr>
            </w:pPr>
          </w:p>
        </w:tc>
      </w:tr>
      <w:tr>
        <w:trPr>
          <w:trHeight w:val="172"/>
        </w:trPr>
        <w:tc>
          <w:tcPr>
            <w:tcW w:w="16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expense</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20" w:type="dxa"/>
            <w:vAlign w:val="bottom"/>
            <w:tcBorders>
              <w:bottom w:val="single" w:sz="8" w:color="auto"/>
            </w:tcBorders>
            <w:vMerge w:val="continue"/>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w w:val="97"/>
              </w:rPr>
              <w:t>Total costs and expenses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116,771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2,144</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9,569</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128,478</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110,006</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120,483</w:t>
            </w:r>
          </w:p>
        </w:tc>
        <w:tc>
          <w:tcPr>
            <w:tcW w:w="0" w:type="dxa"/>
            <w:vAlign w:val="bottom"/>
          </w:tcPr>
          <w:p>
            <w:pPr>
              <w:spacing w:after="0"/>
              <w:rPr>
                <w:sz w:val="1"/>
                <w:szCs w:val="1"/>
                <w:color w:val="auto"/>
              </w:rPr>
            </w:pPr>
          </w:p>
        </w:tc>
      </w:tr>
      <w:tr>
        <w:trPr>
          <w:trHeight w:val="200"/>
        </w:trPr>
        <w:tc>
          <w:tcPr>
            <w:tcW w:w="16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w w:val="98"/>
              </w:rPr>
              <w:t>Operating income (loss)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(2,067)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8,397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8,380</w:t>
            </w:r>
          </w:p>
        </w:tc>
        <w:tc>
          <w:tcPr>
            <w:tcW w:w="0" w:type="dxa"/>
            <w:vAlign w:val="bottom"/>
          </w:tcPr>
          <w:p>
            <w:pPr>
              <w:spacing w:after="0"/>
              <w:rPr>
                <w:sz w:val="1"/>
                <w:szCs w:val="1"/>
                <w:color w:val="auto"/>
              </w:rPr>
            </w:pPr>
          </w:p>
        </w:tc>
      </w:tr>
      <w:tr>
        <w:trPr>
          <w:trHeight w:val="131"/>
        </w:trPr>
        <w:tc>
          <w:tcPr>
            <w:tcW w:w="162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Automotive interest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158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w w:val="97"/>
              </w:rPr>
              <w:t>(158)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631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691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4"/>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76"/>
        </w:trPr>
        <w:tc>
          <w:tcPr>
            <w:tcW w:w="1620" w:type="dxa"/>
            <w:vAlign w:val="bottom"/>
            <w:gridSpan w:val="2"/>
          </w:tcPr>
          <w:p>
            <w:pPr>
              <w:ind w:left="20"/>
              <w:spacing w:after="0"/>
              <w:rPr>
                <w:sz w:val="20"/>
                <w:szCs w:val="20"/>
                <w:color w:val="auto"/>
              </w:rPr>
            </w:pPr>
            <w:r>
              <w:rPr>
                <w:rFonts w:ascii="Arial" w:cs="Arial" w:eastAsia="Arial" w:hAnsi="Arial"/>
                <w:sz w:val="13"/>
                <w:szCs w:val="13"/>
                <w:color w:val="auto"/>
              </w:rPr>
              <w:t>expense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4"/>
            <w:vMerge w:val="continue"/>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2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3"/>
                <w:szCs w:val="13"/>
                <w:color w:val="auto"/>
              </w:rPr>
              <w:t>Interest income and other</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20" w:type="dxa"/>
            <w:vAlign w:val="bottom"/>
            <w:gridSpan w:val="2"/>
            <w:shd w:val="clear" w:color="auto" w:fill="CCEEFF"/>
          </w:tcPr>
          <w:p>
            <w:pPr>
              <w:ind w:left="180"/>
              <w:spacing w:after="0" w:line="126" w:lineRule="exact"/>
              <w:rPr>
                <w:sz w:val="20"/>
                <w:szCs w:val="20"/>
                <w:color w:val="auto"/>
              </w:rPr>
            </w:pPr>
            <w:r>
              <w:rPr>
                <w:rFonts w:ascii="Arial" w:cs="Arial" w:eastAsia="Arial" w:hAnsi="Arial"/>
                <w:sz w:val="13"/>
                <w:szCs w:val="13"/>
                <w:color w:val="auto"/>
              </w:rPr>
              <w:t>non-operating income,</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1,068</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net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Equity income (loss)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20"/>
              <w:spacing w:after="0" w:line="114" w:lineRule="exact"/>
              <w:rPr>
                <w:sz w:val="20"/>
                <w:szCs w:val="20"/>
                <w:color w:val="auto"/>
              </w:rPr>
            </w:pPr>
            <w:r>
              <w:rPr>
                <w:rFonts w:ascii="Arial" w:cs="Arial" w:eastAsia="Arial" w:hAnsi="Arial"/>
                <w:sz w:val="13"/>
                <w:szCs w:val="13"/>
                <w:color w:val="auto"/>
              </w:rPr>
              <w:t>Income (loss) before</w:t>
            </w:r>
          </w:p>
        </w:tc>
        <w:tc>
          <w:tcPr>
            <w:tcW w:w="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11,026</w:t>
            </w: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(2,196)</w:t>
            </w:r>
          </w:p>
        </w:tc>
        <w:tc>
          <w:tcPr>
            <w:tcW w:w="60" w:type="dxa"/>
            <w:vAlign w:val="bottom"/>
            <w:shd w:val="clear" w:color="auto" w:fill="CCEEFF"/>
          </w:tcPr>
          <w:p>
            <w:pPr>
              <w:spacing w:after="0"/>
              <w:rPr>
                <w:sz w:val="9"/>
                <w:szCs w:val="9"/>
                <w:color w:val="auto"/>
              </w:rPr>
            </w:pPr>
          </w:p>
        </w:tc>
        <w:tc>
          <w:tcPr>
            <w:tcW w:w="200" w:type="dxa"/>
            <w:vAlign w:val="bottom"/>
            <w:gridSpan w:val="3"/>
            <w:vMerge w:val="restart"/>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2,246</w:t>
            </w:r>
          </w:p>
        </w:tc>
        <w:tc>
          <w:tcPr>
            <w:tcW w:w="60" w:type="dxa"/>
            <w:vAlign w:val="bottom"/>
            <w:shd w:val="clear" w:color="auto" w:fill="CCEEFF"/>
          </w:tcPr>
          <w:p>
            <w:pPr>
              <w:spacing w:after="0"/>
              <w:rPr>
                <w:sz w:val="9"/>
                <w:szCs w:val="9"/>
                <w:color w:val="auto"/>
              </w:rPr>
            </w:pPr>
          </w:p>
        </w:tc>
        <w:tc>
          <w:tcPr>
            <w:tcW w:w="126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3"/>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11,076</w:t>
            </w:r>
          </w:p>
        </w:tc>
        <w:tc>
          <w:tcPr>
            <w:tcW w:w="40" w:type="dxa"/>
            <w:vAlign w:val="bottom"/>
            <w:shd w:val="clear" w:color="auto" w:fill="CCEEFF"/>
          </w:tcPr>
          <w:p>
            <w:pPr>
              <w:spacing w:after="0"/>
              <w:rPr>
                <w:sz w:val="9"/>
                <w:szCs w:val="9"/>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9,019</w:t>
            </w:r>
          </w:p>
        </w:tc>
        <w:tc>
          <w:tcPr>
            <w:tcW w:w="40" w:type="dxa"/>
            <w:vAlign w:val="bottom"/>
            <w:shd w:val="clear" w:color="auto" w:fill="CCEEFF"/>
          </w:tcPr>
          <w:p>
            <w:pPr>
              <w:spacing w:after="0"/>
              <w:rPr>
                <w:sz w:val="9"/>
                <w:szCs w:val="9"/>
                <w:color w:val="auto"/>
              </w:rPr>
            </w:pPr>
          </w:p>
        </w:tc>
        <w:tc>
          <w:tcPr>
            <w:tcW w:w="2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2,278</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9,267</w:t>
            </w:r>
          </w:p>
        </w:tc>
        <w:tc>
          <w:tcPr>
            <w:tcW w:w="0" w:type="dxa"/>
            <w:vAlign w:val="bottom"/>
          </w:tcPr>
          <w:p>
            <w:pPr>
              <w:spacing w:after="0"/>
              <w:rPr>
                <w:sz w:val="1"/>
                <w:szCs w:val="1"/>
                <w:color w:val="auto"/>
              </w:rPr>
            </w:pPr>
          </w:p>
        </w:tc>
      </w:tr>
      <w:tr>
        <w:trPr>
          <w:trHeight w:val="180"/>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income taxes</w:t>
            </w:r>
          </w:p>
        </w:tc>
        <w:tc>
          <w:tcPr>
            <w:tcW w:w="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gridSpan w:val="3"/>
            <w:vMerge w:val="continue"/>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62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Income tax expense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2,238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r>
        <w:trPr>
          <w:trHeight w:val="176"/>
        </w:trPr>
        <w:tc>
          <w:tcPr>
            <w:tcW w:w="1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(benefit)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7,846</w:t>
            </w:r>
          </w:p>
        </w:tc>
        <w:tc>
          <w:tcPr>
            <w:tcW w:w="0" w:type="dxa"/>
            <w:vAlign w:val="bottom"/>
          </w:tcPr>
          <w:p>
            <w:pPr>
              <w:spacing w:after="0"/>
              <w:rPr>
                <w:sz w:val="1"/>
                <w:szCs w:val="1"/>
                <w:color w:val="auto"/>
              </w:rPr>
            </w:pPr>
          </w:p>
        </w:tc>
      </w:tr>
      <w:tr>
        <w:trPr>
          <w:trHeight w:val="131"/>
        </w:trPr>
        <w:tc>
          <w:tcPr>
            <w:tcW w:w="162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Net loss (income)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20" w:type="dxa"/>
            <w:vAlign w:val="bottom"/>
            <w:gridSpan w:val="2"/>
          </w:tcPr>
          <w:p>
            <w:pPr>
              <w:ind w:left="180"/>
              <w:spacing w:after="0" w:line="126" w:lineRule="exact"/>
              <w:rPr>
                <w:sz w:val="20"/>
                <w:szCs w:val="20"/>
                <w:color w:val="auto"/>
              </w:rPr>
            </w:pPr>
            <w:r>
              <w:rPr>
                <w:rFonts w:ascii="Arial" w:cs="Arial" w:eastAsia="Arial" w:hAnsi="Arial"/>
                <w:sz w:val="13"/>
                <w:szCs w:val="13"/>
                <w:color w:val="auto"/>
              </w:rPr>
              <w:t>attributable to</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71"/>
        </w:trPr>
        <w:tc>
          <w:tcPr>
            <w:tcW w:w="1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noncontrolling interests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3"/>
                <w:szCs w:val="13"/>
                <w:b w:val="1"/>
                <w:bCs w:val="1"/>
                <w:color w:val="auto"/>
              </w:rPr>
              <w:t>Net income (loss)</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20" w:type="dxa"/>
            <w:vAlign w:val="bottom"/>
            <w:gridSpan w:val="2"/>
            <w:shd w:val="clear" w:color="auto" w:fill="CCEEFF"/>
          </w:tcPr>
          <w:p>
            <w:pPr>
              <w:ind w:left="180"/>
              <w:spacing w:after="0" w:line="126" w:lineRule="exact"/>
              <w:rPr>
                <w:sz w:val="20"/>
                <w:szCs w:val="20"/>
                <w:color w:val="auto"/>
              </w:rPr>
            </w:pPr>
            <w:r>
              <w:rPr>
                <w:rFonts w:ascii="Arial" w:cs="Arial" w:eastAsia="Arial" w:hAnsi="Arial"/>
                <w:sz w:val="13"/>
                <w:szCs w:val="13"/>
                <w:b w:val="1"/>
                <w:bCs w:val="1"/>
                <w:color w:val="auto"/>
              </w:rPr>
              <w:t>attributable to</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8,969</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8,026</w:t>
            </w:r>
          </w:p>
        </w:tc>
        <w:tc>
          <w:tcPr>
            <w:tcW w:w="0" w:type="dxa"/>
            <w:vAlign w:val="bottom"/>
          </w:tcPr>
          <w:p>
            <w:pPr>
              <w:spacing w:after="0"/>
              <w:rPr>
                <w:sz w:val="1"/>
                <w:szCs w:val="1"/>
                <w:color w:val="auto"/>
              </w:rPr>
            </w:pPr>
          </w:p>
        </w:tc>
      </w:tr>
      <w:tr>
        <w:trPr>
          <w:trHeight w:val="169"/>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gridSpan w:val="3"/>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162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Net income (loss)</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20" w:type="dxa"/>
            <w:vAlign w:val="bottom"/>
            <w:gridSpan w:val="2"/>
            <w:shd w:val="clear" w:color="auto" w:fill="CCEEFF"/>
          </w:tcPr>
          <w:p>
            <w:pPr>
              <w:ind w:left="180"/>
              <w:spacing w:after="0" w:line="126" w:lineRule="exact"/>
              <w:rPr>
                <w:sz w:val="20"/>
                <w:szCs w:val="20"/>
                <w:color w:val="auto"/>
              </w:rPr>
            </w:pPr>
            <w:r>
              <w:rPr>
                <w:rFonts w:ascii="Arial" w:cs="Arial" w:eastAsia="Arial" w:hAnsi="Arial"/>
                <w:sz w:val="13"/>
                <w:szCs w:val="13"/>
                <w:b w:val="1"/>
                <w:bCs w:val="1"/>
                <w:color w:val="auto"/>
                <w:w w:val="98"/>
              </w:rPr>
              <w:t>attributable to common</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gridSpan w:val="3"/>
            <w:vMerge w:val="restart"/>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8,914</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7,946</w:t>
            </w:r>
          </w:p>
        </w:tc>
        <w:tc>
          <w:tcPr>
            <w:tcW w:w="0" w:type="dxa"/>
            <w:vAlign w:val="bottom"/>
          </w:tcPr>
          <w:p>
            <w:pPr>
              <w:spacing w:after="0"/>
              <w:rPr>
                <w:sz w:val="1"/>
                <w:szCs w:val="1"/>
                <w:color w:val="auto"/>
              </w:rPr>
            </w:pPr>
          </w:p>
        </w:tc>
      </w:tr>
      <w:tr>
        <w:trPr>
          <w:trHeight w:val="175"/>
        </w:trPr>
        <w:tc>
          <w:tcPr>
            <w:tcW w:w="16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gridSpan w:val="3"/>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100" w:hanging="92"/>
        <w:spacing w:after="0" w:line="224" w:lineRule="auto"/>
        <w:tabs>
          <w:tab w:leader="none" w:pos="10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Certain columns and rows may not add due to rounding.</w:t>
      </w:r>
    </w:p>
    <w:p>
      <w:pPr>
        <w:sectPr>
          <w:pgSz w:w="11900" w:h="16838" w:orient="portrait"/>
          <w:cols w:equalWidth="0" w:num="1">
            <w:col w:w="11220"/>
          </w:cols>
          <w:pgMar w:left="320" w:top="854" w:right="359" w:bottom="534" w:gutter="0" w:footer="0" w:header="0"/>
        </w:sectPr>
      </w:pPr>
    </w:p>
    <w:p>
      <w:pPr>
        <w:spacing w:after="0" w:line="200" w:lineRule="exact"/>
        <w:rPr>
          <w:sz w:val="20"/>
          <w:szCs w:val="20"/>
          <w:color w:val="auto"/>
        </w:rPr>
      </w:pPr>
    </w:p>
    <w:p>
      <w:pPr>
        <w:spacing w:after="0" w:line="38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854" w:right="359" w:bottom="534" w:gutter="0" w:footer="0" w:header="0"/>
          <w:type w:val="continuous"/>
        </w:sectPr>
      </w:pPr>
    </w:p>
    <w:bookmarkStart w:id="8" w:name="page9"/>
    <w:bookmarkEnd w:id="8"/>
    <w:p>
      <w:pPr>
        <w:ind w:left="398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(Unaudited)</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80" w:type="dxa"/>
            <w:vAlign w:val="bottom"/>
            <w:gridSpan w:val="5"/>
          </w:tcPr>
          <w:p>
            <w:pPr>
              <w:ind w:left="80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5"/>
                <w:szCs w:val="15"/>
                <w:color w:val="auto"/>
              </w:rPr>
            </w:pPr>
          </w:p>
        </w:tc>
        <w:tc>
          <w:tcPr>
            <w:tcW w:w="2980" w:type="dxa"/>
            <w:vAlign w:val="bottom"/>
            <w:gridSpan w:val="4"/>
          </w:tcPr>
          <w:p>
            <w:pPr>
              <w:jc w:val="right"/>
              <w:ind w:right="901"/>
              <w:spacing w:after="0"/>
              <w:rPr>
                <w:sz w:val="20"/>
                <w:szCs w:val="20"/>
                <w:color w:val="auto"/>
              </w:rPr>
            </w:pPr>
            <w:r>
              <w:rPr>
                <w:rFonts w:ascii="Arial" w:cs="Arial" w:eastAsia="Arial" w:hAnsi="Arial"/>
                <w:sz w:val="13"/>
                <w:szCs w:val="13"/>
                <w:b w:val="1"/>
                <w:bCs w:val="1"/>
                <w:color w:val="auto"/>
              </w:rPr>
              <w:t>Nine Months Ended</w:t>
            </w:r>
          </w:p>
        </w:tc>
      </w:tr>
      <w:tr>
        <w:trPr>
          <w:trHeight w:val="169"/>
        </w:trPr>
        <w:tc>
          <w:tcPr>
            <w:tcW w:w="49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September 30, 2024</w:t>
            </w: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81"/>
              <w:spacing w:after="0"/>
              <w:rPr>
                <w:sz w:val="20"/>
                <w:szCs w:val="20"/>
                <w:color w:val="auto"/>
              </w:rPr>
            </w:pPr>
            <w:r>
              <w:rPr>
                <w:rFonts w:ascii="Arial" w:cs="Arial" w:eastAsia="Arial" w:hAnsi="Arial"/>
                <w:sz w:val="13"/>
                <w:szCs w:val="13"/>
                <w:b w:val="1"/>
                <w:bCs w:val="1"/>
                <w:color w:val="auto"/>
                <w:w w:val="98"/>
              </w:rPr>
              <w:t>September 30, 2023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September 30, 2024</w:t>
            </w: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7"/>
              </w:rPr>
              <w:t>September 30, 2023</w:t>
            </w:r>
          </w:p>
        </w:tc>
      </w:tr>
      <w:tr>
        <w:trPr>
          <w:trHeight w:val="185"/>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r>
      <w:tr>
        <w:trPr>
          <w:trHeight w:val="217"/>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8,026</w:t>
            </w:r>
          </w:p>
        </w:tc>
      </w:tr>
      <w:tr>
        <w:trPr>
          <w:trHeight w:val="215"/>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cumulative dividends on subsidiary preferred stock(a)</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35"/>
        </w:trPr>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8,914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7,946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4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1,384</w:t>
            </w:r>
          </w:p>
        </w:tc>
      </w:tr>
      <w:tr>
        <w:trPr>
          <w:trHeight w:val="108"/>
        </w:trPr>
        <w:tc>
          <w:tcPr>
            <w:tcW w:w="4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5.74</w:t>
            </w:r>
          </w:p>
        </w:tc>
      </w:tr>
      <w:tr>
        <w:trPr>
          <w:trHeight w:val="202"/>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7"/>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common stockholders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7,946</w:t>
            </w:r>
          </w:p>
        </w:tc>
      </w:tr>
      <w:tr>
        <w:trPr>
          <w:trHeight w:val="108"/>
        </w:trPr>
        <w:tc>
          <w:tcPr>
            <w:tcW w:w="4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common shares outstanding – diluted</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1,390</w:t>
            </w:r>
          </w:p>
        </w:tc>
      </w:tr>
      <w:tr>
        <w:trPr>
          <w:trHeight w:val="108"/>
        </w:trPr>
        <w:tc>
          <w:tcPr>
            <w:tcW w:w="4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5.72</w:t>
            </w:r>
          </w:p>
        </w:tc>
      </w:tr>
      <w:tr>
        <w:trPr>
          <w:trHeight w:val="215"/>
        </w:trPr>
        <w:tc>
          <w:tcPr>
            <w:tcW w:w="4900" w:type="dxa"/>
            <w:vAlign w:val="bottom"/>
          </w:tcPr>
          <w:p>
            <w:pPr>
              <w:ind w:left="140"/>
              <w:spacing w:after="0"/>
              <w:rPr>
                <w:sz w:val="20"/>
                <w:szCs w:val="20"/>
                <w:color w:val="auto"/>
              </w:rPr>
            </w:pPr>
            <w:r>
              <w:rPr>
                <w:rFonts w:ascii="Arial" w:cs="Arial" w:eastAsia="Arial" w:hAnsi="Arial"/>
                <w:sz w:val="14"/>
                <w:szCs w:val="14"/>
                <w:color w:val="auto"/>
              </w:rPr>
              <w:t>Potentially dilutive securities(b)</w:t>
            </w:r>
          </w:p>
        </w:tc>
        <w:tc>
          <w:tcPr>
            <w:tcW w:w="12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14</w:t>
            </w: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60" w:hanging="312"/>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an insignificant amount in participating securities income from a subsidiary for the nine months ended September 30, 2024.</w:t>
      </w:r>
    </w:p>
    <w:p>
      <w:pPr>
        <w:spacing w:after="0" w:line="14" w:lineRule="exact"/>
        <w:rPr>
          <w:rFonts w:ascii="Arial" w:cs="Arial" w:eastAsia="Arial" w:hAnsi="Arial"/>
          <w:sz w:val="14"/>
          <w:szCs w:val="14"/>
          <w:color w:val="auto"/>
        </w:rPr>
      </w:pPr>
    </w:p>
    <w:p>
      <w:pPr>
        <w:jc w:val="both"/>
        <w:ind w:left="380" w:hanging="332"/>
        <w:spacing w:after="0" w:line="272" w:lineRule="auto"/>
        <w:tabs>
          <w:tab w:leader="none" w:pos="367" w:val="left"/>
        </w:tabs>
        <w:numPr>
          <w:ilvl w:val="0"/>
          <w:numId w:val="8"/>
        </w:numPr>
        <w:rPr>
          <w:rFonts w:ascii="Arial" w:cs="Arial" w:eastAsia="Arial" w:hAnsi="Arial"/>
          <w:sz w:val="14"/>
          <w:szCs w:val="14"/>
          <w:color w:val="auto"/>
        </w:rPr>
      </w:pPr>
      <w:r>
        <w:rPr>
          <w:rFonts w:ascii="Arial" w:cs="Arial" w:eastAsia="Arial" w:hAnsi="Arial"/>
          <w:sz w:val="14"/>
          <w:szCs w:val="14"/>
          <w:color w:val="auto"/>
        </w:rPr>
        <w:t>Potentially dilutive securities attributable to outstanding stock options, Performance Stock Units and Restricted Stock Units (RSUs) at September 30, 2024 and outstanding stock options and RSUs at September 30, 2023, were excluded from the computation of diluted earnings per share (EPS) because the securities would have had an antidilutive effect.</w:t>
      </w:r>
    </w:p>
    <w:p>
      <w:pPr>
        <w:spacing w:after="0" w:line="200" w:lineRule="exact"/>
        <w:rPr>
          <w:sz w:val="20"/>
          <w:szCs w:val="20"/>
          <w:color w:val="auto"/>
        </w:rPr>
      </w:pPr>
    </w:p>
    <w:p>
      <w:pPr>
        <w:spacing w:after="0" w:line="368"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280" w:top="854" w:right="339" w:bottom="1440" w:gutter="0" w:footer="0" w:header="0"/>
        </w:sectPr>
      </w:pPr>
    </w:p>
    <w:bookmarkStart w:id="9" w:name="page10"/>
    <w:bookmarkEnd w:id="9"/>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Combining Balance Sheet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except per share amounts)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September 30, 2024</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December 31, 2023</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20" w:type="dxa"/>
            <w:vAlign w:val="bottom"/>
          </w:tcPr>
          <w:p>
            <w:pPr>
              <w:spacing w:after="0"/>
              <w:rPr>
                <w:sz w:val="9"/>
                <w:szCs w:val="9"/>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680" w:type="dxa"/>
            <w:vAlign w:val="bottom"/>
            <w:gridSpan w:val="2"/>
          </w:tcPr>
          <w:p>
            <w:pPr>
              <w:ind w:left="160"/>
              <w:spacing w:after="0" w:line="106" w:lineRule="exact"/>
              <w:rPr>
                <w:sz w:val="20"/>
                <w:szCs w:val="20"/>
                <w:color w:val="auto"/>
              </w:rPr>
            </w:pPr>
            <w:r>
              <w:rPr>
                <w:rFonts w:ascii="Arial" w:cs="Arial" w:eastAsia="Arial" w:hAnsi="Arial"/>
                <w:sz w:val="11"/>
                <w:szCs w:val="11"/>
                <w:b w:val="1"/>
                <w:bCs w:val="1"/>
                <w:color w:val="auto"/>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Combined</w:t>
            </w: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80" w:type="dxa"/>
            <w:vAlign w:val="bottom"/>
          </w:tcPr>
          <w:p>
            <w:pPr>
              <w:spacing w:after="0"/>
              <w:rPr>
                <w:sz w:val="9"/>
                <w:szCs w:val="9"/>
                <w:color w:val="auto"/>
              </w:rPr>
            </w:pPr>
          </w:p>
        </w:tc>
        <w:tc>
          <w:tcPr>
            <w:tcW w:w="66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Financial</w:t>
            </w: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Financial</w:t>
            </w:r>
          </w:p>
        </w:tc>
        <w:tc>
          <w:tcPr>
            <w:tcW w:w="17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Pr>
          <w:p>
            <w:pPr>
              <w:ind w:left="660"/>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12,228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5,282</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18,853</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Arial" w:cs="Arial" w:eastAsia="Arial" w:hAnsi="Arial"/>
                <w:sz w:val="13"/>
                <w:szCs w:val="13"/>
                <w:color w:val="auto"/>
              </w:rPr>
              <w:t>Marketable debt securities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7,613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7,613</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Accounts and notes</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 net(a)</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12,684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11,814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12,378</w:t>
            </w:r>
          </w:p>
        </w:tc>
        <w:tc>
          <w:tcPr>
            <w:tcW w:w="0" w:type="dxa"/>
            <w:vAlign w:val="bottom"/>
          </w:tcPr>
          <w:p>
            <w:pPr>
              <w:spacing w:after="0"/>
              <w:rPr>
                <w:sz w:val="1"/>
                <w:szCs w:val="1"/>
                <w:color w:val="auto"/>
              </w:rPr>
            </w:pPr>
          </w:p>
        </w:tc>
      </w:tr>
      <w:tr>
        <w:trPr>
          <w:trHeight w:val="122"/>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rPr>
              <w:t>GM Financial receivables,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140"/>
              <w:spacing w:after="0"/>
              <w:rPr>
                <w:sz w:val="20"/>
                <w:szCs w:val="20"/>
                <w:color w:val="auto"/>
              </w:rPr>
            </w:pPr>
            <w:r>
              <w:rPr>
                <w:rFonts w:ascii="Arial" w:cs="Arial" w:eastAsia="Arial" w:hAnsi="Arial"/>
                <w:sz w:val="13"/>
                <w:szCs w:val="13"/>
                <w:color w:val="auto"/>
              </w:rPr>
              <w:t>net(e)</w:t>
            </w: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44,736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44,453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39,246</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39,076</w:t>
            </w: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16,461</w:t>
            </w:r>
          </w:p>
        </w:tc>
        <w:tc>
          <w:tcPr>
            <w:tcW w:w="0" w:type="dxa"/>
            <w:vAlign w:val="bottom"/>
          </w:tcPr>
          <w:p>
            <w:pPr>
              <w:spacing w:after="0"/>
              <w:rPr>
                <w:sz w:val="1"/>
                <w:szCs w:val="1"/>
                <w:color w:val="auto"/>
              </w:rPr>
            </w:pPr>
          </w:p>
        </w:tc>
      </w:tr>
      <w:tr>
        <w:trPr>
          <w:trHeight w:val="171"/>
        </w:trPr>
        <w:tc>
          <w:tcPr>
            <w:tcW w:w="18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current assets(b)</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4,957</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7,636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1,994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5,205</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7,238</w:t>
            </w:r>
          </w:p>
        </w:tc>
        <w:tc>
          <w:tcPr>
            <w:tcW w:w="0" w:type="dxa"/>
            <w:vAlign w:val="bottom"/>
          </w:tcPr>
          <w:p>
            <w:pPr>
              <w:spacing w:after="0"/>
              <w:rPr>
                <w:sz w:val="1"/>
                <w:szCs w:val="1"/>
                <w:color w:val="auto"/>
              </w:rPr>
            </w:pPr>
          </w:p>
        </w:tc>
      </w:tr>
      <w:tr>
        <w:trPr>
          <w:trHeight w:val="174"/>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56,224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50,115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51,624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101,618</w:t>
            </w:r>
          </w:p>
        </w:tc>
        <w:tc>
          <w:tcPr>
            <w:tcW w:w="0" w:type="dxa"/>
            <w:vAlign w:val="bottom"/>
          </w:tcPr>
          <w:p>
            <w:pPr>
              <w:spacing w:after="0"/>
              <w:rPr>
                <w:sz w:val="1"/>
                <w:szCs w:val="1"/>
                <w:color w:val="auto"/>
              </w:rPr>
            </w:pPr>
          </w:p>
        </w:tc>
      </w:tr>
      <w:tr>
        <w:trPr>
          <w:trHeight w:val="174"/>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Non-current Assets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820" w:type="dxa"/>
            <w:vAlign w:val="bottom"/>
            <w:shd w:val="clear" w:color="auto" w:fill="CCEEFF"/>
          </w:tcPr>
          <w:p>
            <w:pPr>
              <w:ind w:left="140"/>
              <w:spacing w:after="0" w:line="123" w:lineRule="exact"/>
              <w:rPr>
                <w:sz w:val="20"/>
                <w:szCs w:val="20"/>
                <w:color w:val="auto"/>
              </w:rPr>
            </w:pPr>
            <w:r>
              <w:rPr>
                <w:rFonts w:ascii="Arial" w:cs="Arial" w:eastAsia="Arial" w:hAnsi="Arial"/>
                <w:sz w:val="13"/>
                <w:szCs w:val="13"/>
                <w:color w:val="auto"/>
              </w:rPr>
              <w:t>GM Financial receivables,</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net(d)</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46,249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45,391</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45,043</w:t>
            </w:r>
          </w:p>
        </w:tc>
        <w:tc>
          <w:tcPr>
            <w:tcW w:w="0" w:type="dxa"/>
            <w:vAlign w:val="bottom"/>
          </w:tcPr>
          <w:p>
            <w:pPr>
              <w:spacing w:after="0"/>
              <w:rPr>
                <w:sz w:val="1"/>
                <w:szCs w:val="1"/>
                <w:color w:val="auto"/>
              </w:rPr>
            </w:pPr>
          </w:p>
        </w:tc>
      </w:tr>
      <w:tr>
        <w:trPr>
          <w:trHeight w:val="121"/>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rPr>
              <w:t>Equity in net assets of</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300"/>
              <w:spacing w:after="0"/>
              <w:rPr>
                <w:sz w:val="20"/>
                <w:szCs w:val="20"/>
                <w:color w:val="auto"/>
              </w:rPr>
            </w:pPr>
            <w:r>
              <w:rPr>
                <w:rFonts w:ascii="Arial" w:cs="Arial" w:eastAsia="Arial" w:hAnsi="Arial"/>
                <w:sz w:val="13"/>
                <w:szCs w:val="13"/>
                <w:color w:val="auto"/>
              </w:rPr>
              <w:t>nonconsolidated affiliates</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9,469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1,570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11,039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8,943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1,670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10,613</w:t>
            </w: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net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50,104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50,321</w:t>
            </w:r>
          </w:p>
        </w:tc>
        <w:tc>
          <w:tcPr>
            <w:tcW w:w="0" w:type="dxa"/>
            <w:vAlign w:val="bottom"/>
          </w:tcPr>
          <w:p>
            <w:pPr>
              <w:spacing w:after="0"/>
              <w:rPr>
                <w:sz w:val="1"/>
                <w:szCs w:val="1"/>
                <w:color w:val="auto"/>
              </w:rPr>
            </w:pPr>
          </w:p>
        </w:tc>
      </w:tr>
      <w:tr>
        <w:trPr>
          <w:trHeight w:val="122"/>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rPr>
              <w:t>Goodwill and intangible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300"/>
              <w:spacing w:after="0"/>
              <w:rPr>
                <w:sz w:val="20"/>
                <w:szCs w:val="20"/>
                <w:color w:val="auto"/>
              </w:rPr>
            </w:pPr>
            <w:r>
              <w:rPr>
                <w:rFonts w:ascii="Arial" w:cs="Arial" w:eastAsia="Arial" w:hAnsi="Arial"/>
                <w:sz w:val="13"/>
                <w:szCs w:val="13"/>
                <w:color w:val="auto"/>
              </w:rPr>
              <w:t>assets, net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1,346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2,793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1,354</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4,862</w:t>
            </w:r>
          </w:p>
        </w:tc>
        <w:tc>
          <w:tcPr>
            <w:tcW w:w="0" w:type="dxa"/>
            <w:vAlign w:val="bottom"/>
          </w:tcPr>
          <w:p>
            <w:pPr>
              <w:spacing w:after="0"/>
              <w:rPr>
                <w:sz w:val="1"/>
                <w:szCs w:val="1"/>
                <w:color w:val="auto"/>
              </w:rPr>
            </w:pPr>
          </w:p>
        </w:tc>
      </w:tr>
      <w:tr>
        <w:trPr>
          <w:trHeight w:val="128"/>
        </w:trPr>
        <w:tc>
          <w:tcPr>
            <w:tcW w:w="18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Equipment on operating</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leases, net</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30,956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30,582</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30,582</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21,003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(1,747)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21,007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21,722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(1,106)</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22,339</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assets(c)</w:t>
            </w: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9,512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1,211</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(2,232)</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8,690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6,869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1,140</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7,686</w:t>
            </w:r>
          </w:p>
        </w:tc>
        <w:tc>
          <w:tcPr>
            <w:tcW w:w="0" w:type="dxa"/>
            <w:vAlign w:val="bottom"/>
          </w:tcPr>
          <w:p>
            <w:pPr>
              <w:spacing w:after="0"/>
              <w:rPr>
                <w:sz w:val="1"/>
                <w:szCs w:val="1"/>
                <w:color w:val="auto"/>
              </w:rPr>
            </w:pPr>
          </w:p>
        </w:tc>
      </w:tr>
      <w:tr>
        <w:trPr>
          <w:trHeight w:val="164"/>
        </w:trPr>
        <w:tc>
          <w:tcPr>
            <w:tcW w:w="18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assets</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93,972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79,694</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173,870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90,430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79,156</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171,446</w:t>
            </w:r>
          </w:p>
        </w:tc>
        <w:tc>
          <w:tcPr>
            <w:tcW w:w="0" w:type="dxa"/>
            <w:vAlign w:val="bottom"/>
          </w:tcPr>
          <w:p>
            <w:pPr>
              <w:spacing w:after="0"/>
              <w:rPr>
                <w:sz w:val="1"/>
                <w:szCs w:val="1"/>
                <w:color w:val="auto"/>
              </w:rPr>
            </w:pPr>
          </w:p>
        </w:tc>
      </w:tr>
      <w:tr>
        <w:trPr>
          <w:trHeight w:val="199"/>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153,275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135,918</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289,289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140,546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130,780</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273,064</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3"/>
                <w:szCs w:val="13"/>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w w:val="98"/>
              </w:rPr>
              <w:t>Accounts payable (principally</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trade)(a)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27,846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1,136</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28,114</w:t>
            </w:r>
          </w:p>
        </w:tc>
        <w:tc>
          <w:tcPr>
            <w:tcW w:w="0" w:type="dxa"/>
            <w:vAlign w:val="bottom"/>
          </w:tcPr>
          <w:p>
            <w:pPr>
              <w:spacing w:after="0"/>
              <w:rPr>
                <w:sz w:val="1"/>
                <w:szCs w:val="1"/>
                <w:color w:val="auto"/>
              </w:rPr>
            </w:pPr>
          </w:p>
        </w:tc>
      </w:tr>
      <w:tr>
        <w:trPr>
          <w:trHeight w:val="121"/>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rPr>
              <w:t>Short-term debt and current</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820" w:type="dxa"/>
            <w:vAlign w:val="bottom"/>
          </w:tcPr>
          <w:p>
            <w:pPr>
              <w:ind w:left="300"/>
              <w:spacing w:after="0"/>
              <w:rPr>
                <w:sz w:val="20"/>
                <w:szCs w:val="20"/>
                <w:color w:val="auto"/>
              </w:rPr>
            </w:pPr>
            <w:r>
              <w:rPr>
                <w:rFonts w:ascii="Arial" w:cs="Arial" w:eastAsia="Arial" w:hAnsi="Arial"/>
                <w:sz w:val="13"/>
                <w:szCs w:val="13"/>
                <w:color w:val="auto"/>
              </w:rPr>
              <w:t>portion of long-term debt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Automotive(a)(e)</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71"/>
        </w:trPr>
        <w:tc>
          <w:tcPr>
            <w:tcW w:w="1820" w:type="dxa"/>
            <w:vAlign w:val="bottom"/>
          </w:tcPr>
          <w:p>
            <w:pPr>
              <w:ind w:left="300"/>
              <w:spacing w:after="0"/>
              <w:rPr>
                <w:sz w:val="20"/>
                <w:szCs w:val="20"/>
                <w:color w:val="auto"/>
              </w:rPr>
            </w:pPr>
            <w:r>
              <w:rPr>
                <w:rFonts w:ascii="Arial" w:cs="Arial" w:eastAsia="Arial" w:hAnsi="Arial"/>
                <w:sz w:val="13"/>
                <w:szCs w:val="13"/>
                <w:color w:val="auto"/>
              </w:rPr>
              <w:t>GM Financial</w:t>
            </w:r>
          </w:p>
        </w:tc>
        <w:tc>
          <w:tcPr>
            <w:tcW w:w="1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35,218</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35,218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38,540</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38,540</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Cruise(e)</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18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Accrued liabilities(b)</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24,165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5,157</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29,672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21,468</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5,741</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27,364</w:t>
            </w:r>
          </w:p>
        </w:tc>
        <w:tc>
          <w:tcPr>
            <w:tcW w:w="0" w:type="dxa"/>
            <w:vAlign w:val="bottom"/>
          </w:tcPr>
          <w:p>
            <w:pPr>
              <w:spacing w:after="0"/>
              <w:rPr>
                <w:sz w:val="1"/>
                <w:szCs w:val="1"/>
                <w:color w:val="auto"/>
              </w:rPr>
            </w:pPr>
          </w:p>
        </w:tc>
      </w:tr>
      <w:tr>
        <w:trPr>
          <w:trHeight w:val="174"/>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54,839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40,961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95,463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49,906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45,417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94,445</w:t>
            </w:r>
          </w:p>
        </w:tc>
        <w:tc>
          <w:tcPr>
            <w:tcW w:w="0" w:type="dxa"/>
            <w:vAlign w:val="bottom"/>
          </w:tcPr>
          <w:p>
            <w:pPr>
              <w:spacing w:after="0"/>
              <w:rPr>
                <w:sz w:val="1"/>
                <w:szCs w:val="1"/>
                <w:color w:val="auto"/>
              </w:rPr>
            </w:pPr>
          </w:p>
        </w:tc>
      </w:tr>
      <w:tr>
        <w:trPr>
          <w:trHeight w:val="174"/>
        </w:trPr>
        <w:tc>
          <w:tcPr>
            <w:tcW w:w="1820" w:type="dxa"/>
            <w:vAlign w:val="bottom"/>
          </w:tcPr>
          <w:p>
            <w:pPr>
              <w:ind w:left="20"/>
              <w:spacing w:after="0"/>
              <w:rPr>
                <w:sz w:val="20"/>
                <w:szCs w:val="20"/>
                <w:color w:val="auto"/>
              </w:rPr>
            </w:pPr>
            <w:r>
              <w:rPr>
                <w:rFonts w:ascii="Arial" w:cs="Arial" w:eastAsia="Arial" w:hAnsi="Arial"/>
                <w:sz w:val="13"/>
                <w:szCs w:val="13"/>
                <w:b w:val="1"/>
                <w:bCs w:val="1"/>
                <w:color w:val="auto"/>
              </w:rPr>
              <w:t>Non-current Liabilities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820" w:type="dxa"/>
            <w:vAlign w:val="bottom"/>
          </w:tcPr>
          <w:p>
            <w:pPr>
              <w:ind w:left="300"/>
              <w:spacing w:after="0"/>
              <w:rPr>
                <w:sz w:val="20"/>
                <w:szCs w:val="20"/>
                <w:color w:val="auto"/>
              </w:rPr>
            </w:pPr>
            <w:r>
              <w:rPr>
                <w:rFonts w:ascii="Arial" w:cs="Arial" w:eastAsia="Arial" w:hAnsi="Arial"/>
                <w:sz w:val="13"/>
                <w:szCs w:val="13"/>
                <w:color w:val="auto"/>
              </w:rPr>
              <w:t>Automotive(c)</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15,512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15,540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15,979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15,985</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GM Financial</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76,149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66,788</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66,788</w:t>
            </w:r>
          </w:p>
        </w:tc>
        <w:tc>
          <w:tcPr>
            <w:tcW w:w="0" w:type="dxa"/>
            <w:vAlign w:val="bottom"/>
          </w:tcPr>
          <w:p>
            <w:pPr>
              <w:spacing w:after="0"/>
              <w:rPr>
                <w:sz w:val="1"/>
                <w:szCs w:val="1"/>
                <w:color w:val="auto"/>
              </w:rPr>
            </w:pPr>
          </w:p>
        </w:tc>
      </w:tr>
      <w:tr>
        <w:trPr>
          <w:trHeight w:val="171"/>
        </w:trPr>
        <w:tc>
          <w:tcPr>
            <w:tcW w:w="1820" w:type="dxa"/>
            <w:vAlign w:val="bottom"/>
          </w:tcPr>
          <w:p>
            <w:pPr>
              <w:ind w:left="300"/>
              <w:spacing w:after="0"/>
              <w:rPr>
                <w:sz w:val="20"/>
                <w:szCs w:val="20"/>
                <w:color w:val="auto"/>
              </w:rPr>
            </w:pPr>
            <w:r>
              <w:rPr>
                <w:rFonts w:ascii="Arial" w:cs="Arial" w:eastAsia="Arial" w:hAnsi="Arial"/>
                <w:sz w:val="13"/>
                <w:szCs w:val="13"/>
                <w:color w:val="auto"/>
              </w:rPr>
              <w:t>Cruise(d)</w:t>
            </w:r>
          </w:p>
        </w:tc>
        <w:tc>
          <w:tcPr>
            <w:tcW w:w="1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w w:val="99"/>
              </w:rPr>
              <w:t>Postretirement benefits other</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than pensions</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4,345</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Arial" w:cs="Arial" w:eastAsia="Arial" w:hAnsi="Arial"/>
                <w:sz w:val="13"/>
                <w:szCs w:val="13"/>
                <w:color w:val="auto"/>
              </w:rPr>
              <w:t>Pensions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5,991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6,673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6,680</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16,515</w:t>
            </w:r>
          </w:p>
        </w:tc>
        <w:tc>
          <w:tcPr>
            <w:tcW w:w="0" w:type="dxa"/>
            <w:vAlign w:val="bottom"/>
          </w:tcPr>
          <w:p>
            <w:pPr>
              <w:spacing w:after="0"/>
              <w:rPr>
                <w:sz w:val="1"/>
                <w:szCs w:val="1"/>
                <w:color w:val="auto"/>
              </w:rPr>
            </w:pPr>
          </w:p>
        </w:tc>
      </w:tr>
      <w:tr>
        <w:trPr>
          <w:trHeight w:val="164"/>
        </w:trPr>
        <w:tc>
          <w:tcPr>
            <w:tcW w:w="18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non-current liabilities</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40,207</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3,035</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78,974</w:t>
            </w:r>
          </w:p>
        </w:tc>
        <w:tc>
          <w:tcPr>
            <w:tcW w:w="10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(2,552)</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119,664</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40,444</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1,345</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69,409</w:t>
            </w:r>
          </w:p>
        </w:tc>
        <w:tc>
          <w:tcPr>
            <w:tcW w:w="8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110,312</w:t>
            </w:r>
          </w:p>
        </w:tc>
        <w:tc>
          <w:tcPr>
            <w:tcW w:w="0" w:type="dxa"/>
            <w:vAlign w:val="bottom"/>
          </w:tcPr>
          <w:p>
            <w:pPr>
              <w:spacing w:after="0"/>
              <w:rPr>
                <w:sz w:val="1"/>
                <w:szCs w:val="1"/>
                <w:color w:val="auto"/>
              </w:rPr>
            </w:pPr>
          </w:p>
        </w:tc>
      </w:tr>
      <w:tr>
        <w:trPr>
          <w:trHeight w:val="174"/>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119,935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90,350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114,826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204,757</w:t>
            </w:r>
          </w:p>
        </w:tc>
        <w:tc>
          <w:tcPr>
            <w:tcW w:w="0" w:type="dxa"/>
            <w:vAlign w:val="bottom"/>
          </w:tcPr>
          <w:p>
            <w:pPr>
              <w:spacing w:after="0"/>
              <w:rPr>
                <w:sz w:val="1"/>
                <w:szCs w:val="1"/>
                <w:color w:val="auto"/>
              </w:rPr>
            </w:pPr>
          </w:p>
        </w:tc>
      </w:tr>
      <w:tr>
        <w:trPr>
          <w:trHeight w:val="122"/>
        </w:trPr>
        <w:tc>
          <w:tcPr>
            <w:tcW w:w="1820" w:type="dxa"/>
            <w:vAlign w:val="bottom"/>
          </w:tcPr>
          <w:p>
            <w:pPr>
              <w:ind w:left="140"/>
              <w:spacing w:after="0" w:line="122" w:lineRule="exact"/>
              <w:rPr>
                <w:sz w:val="20"/>
                <w:szCs w:val="20"/>
                <w:color w:val="auto"/>
              </w:rPr>
            </w:pPr>
            <w:r>
              <w:rPr>
                <w:rFonts w:ascii="Arial" w:cs="Arial" w:eastAsia="Arial" w:hAnsi="Arial"/>
                <w:sz w:val="13"/>
                <w:szCs w:val="13"/>
                <w:color w:val="auto"/>
              </w:rPr>
              <w:t>Noncontrolling interest -</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20" w:type="dxa"/>
            <w:vAlign w:val="bottom"/>
          </w:tcPr>
          <w:p>
            <w:pPr>
              <w:ind w:left="300"/>
              <w:spacing w:after="0" w:line="122" w:lineRule="exact"/>
              <w:rPr>
                <w:sz w:val="20"/>
                <w:szCs w:val="20"/>
                <w:color w:val="auto"/>
              </w:rPr>
            </w:pPr>
            <w:r>
              <w:rPr>
                <w:rFonts w:ascii="Arial" w:cs="Arial" w:eastAsia="Arial" w:hAnsi="Arial"/>
                <w:sz w:val="13"/>
                <w:szCs w:val="13"/>
                <w:color w:val="auto"/>
              </w:rPr>
              <w:t>Cruise stock incentive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300"/>
              <w:spacing w:after="0"/>
              <w:rPr>
                <w:sz w:val="20"/>
                <w:szCs w:val="20"/>
                <w:color w:val="auto"/>
              </w:rPr>
            </w:pPr>
            <w:r>
              <w:rPr>
                <w:rFonts w:ascii="Arial" w:cs="Arial" w:eastAsia="Arial" w:hAnsi="Arial"/>
                <w:sz w:val="13"/>
                <w:szCs w:val="13"/>
                <w:color w:val="auto"/>
              </w:rPr>
              <w:t>awards</w:t>
            </w: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Equity</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20" w:type="dxa"/>
            <w:vAlign w:val="bottom"/>
          </w:tcPr>
          <w:p>
            <w:pPr>
              <w:ind w:left="100"/>
              <w:spacing w:after="0" w:line="122" w:lineRule="exact"/>
              <w:rPr>
                <w:sz w:val="20"/>
                <w:szCs w:val="20"/>
                <w:color w:val="auto"/>
              </w:rPr>
            </w:pPr>
            <w:r>
              <w:rPr>
                <w:rFonts w:ascii="Arial" w:cs="Arial" w:eastAsia="Arial" w:hAnsi="Arial"/>
                <w:sz w:val="13"/>
                <w:szCs w:val="13"/>
                <w:color w:val="auto"/>
              </w:rPr>
              <w:t>Common stock, $0.01 par</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820" w:type="dxa"/>
            <w:vAlign w:val="bottom"/>
          </w:tcPr>
          <w:p>
            <w:pPr>
              <w:ind w:left="180"/>
              <w:spacing w:after="0"/>
              <w:rPr>
                <w:sz w:val="20"/>
                <w:szCs w:val="20"/>
                <w:color w:val="auto"/>
              </w:rPr>
            </w:pPr>
            <w:r>
              <w:rPr>
                <w:rFonts w:ascii="Arial" w:cs="Arial" w:eastAsia="Arial" w:hAnsi="Arial"/>
                <w:sz w:val="13"/>
                <w:szCs w:val="13"/>
                <w:color w:val="auto"/>
              </w:rPr>
              <w:t>value</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Additional paid-in capital(f)</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18,866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19,130</w:t>
            </w:r>
          </w:p>
        </w:tc>
        <w:tc>
          <w:tcPr>
            <w:tcW w:w="0" w:type="dxa"/>
            <w:vAlign w:val="bottom"/>
          </w:tcPr>
          <w:p>
            <w:pPr>
              <w:spacing w:after="0"/>
              <w:rPr>
                <w:sz w:val="1"/>
                <w:szCs w:val="1"/>
                <w:color w:val="auto"/>
              </w:rPr>
            </w:pPr>
          </w:p>
        </w:tc>
      </w:tr>
      <w:tr>
        <w:trPr>
          <w:trHeight w:val="171"/>
        </w:trPr>
        <w:tc>
          <w:tcPr>
            <w:tcW w:w="1820" w:type="dxa"/>
            <w:vAlign w:val="bottom"/>
          </w:tcPr>
          <w:p>
            <w:pPr>
              <w:ind w:left="100"/>
              <w:spacing w:after="0"/>
              <w:rPr>
                <w:sz w:val="20"/>
                <w:szCs w:val="20"/>
                <w:color w:val="auto"/>
              </w:rPr>
            </w:pPr>
            <w:r>
              <w:rPr>
                <w:rFonts w:ascii="Arial" w:cs="Arial" w:eastAsia="Arial" w:hAnsi="Arial"/>
                <w:sz w:val="13"/>
                <w:szCs w:val="13"/>
                <w:color w:val="auto"/>
              </w:rPr>
              <w:t>Retained earnings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47,849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16,133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62,050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39,579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15,823</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55,391</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Accumulated other</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comprehensive loss</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(1,183)</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(10,247)</w:t>
            </w:r>
          </w:p>
        </w:tc>
        <w:tc>
          <w:tcPr>
            <w:tcW w:w="0" w:type="dxa"/>
            <w:vAlign w:val="bottom"/>
          </w:tcPr>
          <w:p>
            <w:pPr>
              <w:spacing w:after="0"/>
              <w:rPr>
                <w:sz w:val="1"/>
                <w:szCs w:val="1"/>
                <w:color w:val="auto"/>
              </w:rPr>
            </w:pPr>
          </w:p>
        </w:tc>
      </w:tr>
      <w:tr>
        <w:trPr>
          <w:trHeight w:val="164"/>
        </w:trPr>
        <w:tc>
          <w:tcPr>
            <w:tcW w:w="1820" w:type="dxa"/>
            <w:vAlign w:val="bottom"/>
          </w:tcPr>
          <w:p>
            <w:pPr>
              <w:ind w:left="100"/>
              <w:spacing w:after="0"/>
              <w:rPr>
                <w:sz w:val="20"/>
                <w:szCs w:val="20"/>
                <w:color w:val="auto"/>
              </w:rPr>
            </w:pPr>
            <w:r>
              <w:rPr>
                <w:rFonts w:ascii="Arial" w:cs="Arial" w:eastAsia="Arial" w:hAnsi="Arial"/>
                <w:sz w:val="13"/>
                <w:szCs w:val="13"/>
                <w:color w:val="auto"/>
              </w:rPr>
              <w:t>Total stockholders’ equity</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57,420</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(1,239)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15,983</w:t>
            </w: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70,935</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49,391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15,954</w:t>
            </w: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(1,289)</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64,286</w:t>
            </w: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Noncontrolling interests(f)</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3,903</w:t>
            </w:r>
          </w:p>
        </w:tc>
        <w:tc>
          <w:tcPr>
            <w:tcW w:w="0" w:type="dxa"/>
            <w:vAlign w:val="bottom"/>
          </w:tcPr>
          <w:p>
            <w:pPr>
              <w:spacing w:after="0"/>
              <w:rPr>
                <w:sz w:val="1"/>
                <w:szCs w:val="1"/>
                <w:color w:val="auto"/>
              </w:rPr>
            </w:pPr>
          </w:p>
        </w:tc>
      </w:tr>
      <w:tr>
        <w:trPr>
          <w:trHeight w:val="165"/>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Equity</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58,230</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15,983</w:t>
            </w:r>
          </w:p>
        </w:tc>
        <w:tc>
          <w:tcPr>
            <w:tcW w:w="10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74,162</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50,196</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2,038</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15,954</w:t>
            </w:r>
          </w:p>
        </w:tc>
        <w:tc>
          <w:tcPr>
            <w:tcW w:w="8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68,189</w:t>
            </w:r>
          </w:p>
        </w:tc>
        <w:tc>
          <w:tcPr>
            <w:tcW w:w="0" w:type="dxa"/>
            <w:vAlign w:val="bottom"/>
          </w:tcPr>
          <w:p>
            <w:pPr>
              <w:spacing w:after="0"/>
              <w:rPr>
                <w:sz w:val="1"/>
                <w:szCs w:val="1"/>
                <w:color w:val="auto"/>
              </w:rPr>
            </w:pPr>
          </w:p>
        </w:tc>
      </w:tr>
      <w:tr>
        <w:trPr>
          <w:trHeight w:val="198"/>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153,275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135,918</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289,289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140,546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130,780</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273,064</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right="240" w:hanging="332"/>
        <w:spacing w:after="0" w:line="246" w:lineRule="auto"/>
        <w:tabs>
          <w:tab w:leader="none" w:pos="337"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primarily include GM Financial accounts and notes receivable of $0.4 billion due from Automotive; and Automotive accounts receivable of $0.2 billion primarily due from GM Financial and Cruise at September 30, 2024; and GM Financial accounts and notes receivable of $0.5 billion due from Automotive and Automotive accounts receivable of $0.8 billion due from GM Financial and Cruise at December 31, 2023.</w:t>
      </w:r>
    </w:p>
    <w:p>
      <w:pPr>
        <w:ind w:left="320" w:hanging="312"/>
        <w:spacing w:after="0"/>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primarily related to intercompany asset transfer between Automotive and Cruise for autonomous vehicle (AV) capital at December 31, 2023.</w:t>
      </w:r>
    </w:p>
    <w:p>
      <w:pPr>
        <w:spacing w:after="0" w:line="5" w:lineRule="exact"/>
        <w:rPr>
          <w:rFonts w:ascii="Arial" w:cs="Arial" w:eastAsia="Arial" w:hAnsi="Arial"/>
          <w:sz w:val="11"/>
          <w:szCs w:val="11"/>
          <w:color w:val="auto"/>
        </w:rPr>
      </w:pPr>
    </w:p>
    <w:p>
      <w:pPr>
        <w:ind w:left="340" w:hanging="332"/>
        <w:spacing w:after="0" w:line="243" w:lineRule="auto"/>
        <w:tabs>
          <w:tab w:leader="none" w:pos="331"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primarily related to convertible note issued by Cruise to Automotive at September 30, 2024 and deferral agreement between Cruise and Automotive as regards to engineering, capital spending, restructuring and other costs incurred by Automotive on behalf of Cruise resulting in a long-term payable for Cruise offset by a long-term receivable for Automotive.</w:t>
      </w:r>
    </w:p>
    <w:p>
      <w:pPr>
        <w:ind w:left="320" w:hanging="312"/>
        <w:spacing w:after="0"/>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primarily related to intercompany loans due from Cruise to GM Financial.</w:t>
      </w:r>
    </w:p>
    <w:p>
      <w:pPr>
        <w:spacing w:after="0" w:line="8" w:lineRule="exact"/>
        <w:rPr>
          <w:rFonts w:ascii="Arial" w:cs="Arial" w:eastAsia="Arial" w:hAnsi="Arial"/>
          <w:sz w:val="11"/>
          <w:szCs w:val="11"/>
          <w:color w:val="auto"/>
        </w:rPr>
      </w:pPr>
    </w:p>
    <w:p>
      <w:pPr>
        <w:ind w:left="320" w:hanging="312"/>
        <w:spacing w:after="0" w:line="236" w:lineRule="auto"/>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Eliminations primarily related to GM Financial accounts receivables due from Automotive and Cruise.</w:t>
      </w:r>
    </w:p>
    <w:p>
      <w:pPr>
        <w:ind w:left="320" w:hanging="312"/>
        <w:spacing w:after="0"/>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Primarily reclassification of GM Financial Cumulative Perpetual Preferred Stock, Series A, B and C. The preferred stock is classified as noncontrolling interests in our consolidated balance sheets.</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54" w:right="339" w:bottom="1440" w:gutter="0" w:footer="0" w:header="0"/>
          <w:type w:val="continuous"/>
        </w:sectPr>
      </w:pPr>
    </w:p>
    <w:bookmarkStart w:id="10" w:name="page11"/>
    <w:bookmarkEnd w:id="10"/>
    <w:p>
      <w:pPr>
        <w:ind w:left="3940"/>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8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Combining Cash Flow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180"/>
              <w:spacing w:after="0"/>
              <w:rPr>
                <w:sz w:val="20"/>
                <w:szCs w:val="20"/>
                <w:color w:val="auto"/>
              </w:rPr>
            </w:pPr>
            <w:r>
              <w:rPr>
                <w:rFonts w:ascii="Arial" w:cs="Arial" w:eastAsia="Arial" w:hAnsi="Arial"/>
                <w:sz w:val="13"/>
                <w:szCs w:val="13"/>
                <w:b w:val="1"/>
                <w:bCs w:val="1"/>
                <w:color w:val="auto"/>
              </w:rPr>
              <w:t>Nine Months Ended September 30, 2024</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ind w:left="200"/>
              <w:spacing w:after="0"/>
              <w:rPr>
                <w:sz w:val="20"/>
                <w:szCs w:val="20"/>
                <w:color w:val="auto"/>
              </w:rPr>
            </w:pPr>
            <w:r>
              <w:rPr>
                <w:rFonts w:ascii="Arial" w:cs="Arial" w:eastAsia="Arial" w:hAnsi="Arial"/>
                <w:sz w:val="13"/>
                <w:szCs w:val="13"/>
                <w:b w:val="1"/>
                <w:bCs w:val="1"/>
                <w:color w:val="auto"/>
              </w:rPr>
              <w:t>Nine Months Ended September 30, 2023</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960" w:type="dxa"/>
            <w:vAlign w:val="bottom"/>
          </w:tcPr>
          <w:p>
            <w:pPr>
              <w:spacing w:after="0"/>
              <w:rPr>
                <w:sz w:val="9"/>
                <w:szCs w:val="9"/>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00" w:type="dxa"/>
            <w:vAlign w:val="bottom"/>
            <w:gridSpan w:val="2"/>
          </w:tcPr>
          <w:p>
            <w:pPr>
              <w:jc w:val="center"/>
              <w:ind w:right="200"/>
              <w:spacing w:after="0" w:line="106" w:lineRule="exact"/>
              <w:rPr>
                <w:sz w:val="20"/>
                <w:szCs w:val="20"/>
                <w:color w:val="auto"/>
              </w:rPr>
            </w:pPr>
            <w:r>
              <w:rPr>
                <w:rFonts w:ascii="Arial" w:cs="Arial" w:eastAsia="Arial" w:hAnsi="Arial"/>
                <w:sz w:val="11"/>
                <w:szCs w:val="11"/>
                <w:b w:val="1"/>
                <w:bCs w:val="1"/>
                <w:color w:val="auto"/>
                <w:w w:val="90"/>
              </w:rPr>
              <w:t>GM</w:t>
            </w:r>
          </w:p>
        </w:tc>
        <w:tc>
          <w:tcPr>
            <w:tcW w:w="1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7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Combined</w:t>
            </w:r>
          </w:p>
        </w:tc>
        <w:tc>
          <w:tcPr>
            <w:tcW w:w="8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9"/>
                <w:szCs w:val="9"/>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Cruise</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90"/>
              </w:rPr>
              <w:t>GM</w:t>
            </w:r>
          </w:p>
        </w:tc>
        <w:tc>
          <w:tcPr>
            <w:tcW w:w="1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Reclassifications/Eliminations</w:t>
            </w:r>
          </w:p>
        </w:tc>
        <w:tc>
          <w:tcPr>
            <w:tcW w:w="80" w:type="dxa"/>
            <w:vAlign w:val="bottom"/>
          </w:tcPr>
          <w:p>
            <w:pPr>
              <w:spacing w:after="0"/>
              <w:rPr>
                <w:sz w:val="9"/>
                <w:szCs w:val="9"/>
                <w:color w:val="auto"/>
              </w:rPr>
            </w:pPr>
          </w:p>
        </w:tc>
        <w:tc>
          <w:tcPr>
            <w:tcW w:w="620" w:type="dxa"/>
            <w:vAlign w:val="bottom"/>
            <w:vMerge w:val="restart"/>
          </w:tcPr>
          <w:p>
            <w:pPr>
              <w:jc w:val="right"/>
              <w:ind w:right="17"/>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Financial</w:t>
            </w:r>
          </w:p>
        </w:tc>
        <w:tc>
          <w:tcPr>
            <w:tcW w:w="1680" w:type="dxa"/>
            <w:vAlign w:val="bottom"/>
            <w:gridSpan w:val="3"/>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rPr>
              <w:t>Financial</w:t>
            </w:r>
          </w:p>
        </w:tc>
        <w:tc>
          <w:tcPr>
            <w:tcW w:w="16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8" w:lineRule="exact"/>
              <w:rPr>
                <w:sz w:val="20"/>
                <w:szCs w:val="20"/>
                <w:color w:val="auto"/>
              </w:rPr>
            </w:pPr>
            <w:r>
              <w:rPr>
                <w:rFonts w:ascii="Arial" w:cs="Arial" w:eastAsia="Arial" w:hAnsi="Arial"/>
                <w:sz w:val="12"/>
                <w:szCs w:val="12"/>
                <w:b w:val="1"/>
                <w:bCs w:val="1"/>
                <w:color w:val="auto"/>
              </w:rPr>
              <w:t>Cash flows from operating</w:t>
            </w: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activities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1,645</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7,846</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w w:val="99"/>
              </w:rPr>
              <w:t>Depreciation and impairment of</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Equipment on operating</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leases, net</w:t>
            </w: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3,633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3,697</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3,697</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Depreciation, amortization and</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impairment charges on</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Property, net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5,041</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Foreign currency</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remeasurement and</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transaction (gains) losses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Undistributed earnings of</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nonconsolidated affiliates,</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Pension contributions and</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OPEB payments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Pension and OPEB income, net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Provision (benefit) for deferred</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taxes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881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879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(694)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Change in other operating</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assets and liabilities(a)(c)</w:t>
            </w: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5,618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(6,549)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12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(2,309)</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1,114</w:t>
            </w:r>
          </w:p>
        </w:tc>
        <w:tc>
          <w:tcPr>
            <w:tcW w:w="0" w:type="dxa"/>
            <w:vAlign w:val="bottom"/>
          </w:tcPr>
          <w:p>
            <w:pPr>
              <w:spacing w:after="0"/>
              <w:rPr>
                <w:sz w:val="1"/>
                <w:szCs w:val="1"/>
                <w:color w:val="auto"/>
              </w:rPr>
            </w:pPr>
          </w:p>
        </w:tc>
      </w:tr>
      <w:tr>
        <w:trPr>
          <w:trHeight w:val="101"/>
        </w:trPr>
        <w:tc>
          <w:tcPr>
            <w:tcW w:w="19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cash provided by (used in)</w:t>
            </w: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operating activities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19,174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5,114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15,989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16,140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4,862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(2,309)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17,273</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flows from investing</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activities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(7,597)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(7,072)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(7,264)</w:t>
            </w:r>
          </w:p>
        </w:tc>
        <w:tc>
          <w:tcPr>
            <w:tcW w:w="0" w:type="dxa"/>
            <w:vAlign w:val="bottom"/>
          </w:tcPr>
          <w:p>
            <w:pPr>
              <w:spacing w:after="0"/>
              <w:rPr>
                <w:sz w:val="1"/>
                <w:szCs w:val="1"/>
                <w:color w:val="auto"/>
              </w:rPr>
            </w:pPr>
          </w:p>
        </w:tc>
      </w:tr>
      <w:tr>
        <w:trPr>
          <w:trHeight w:val="126"/>
        </w:trPr>
        <w:tc>
          <w:tcPr>
            <w:tcW w:w="196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Available-for-sale marketable</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securities, acquisitions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(3,989)</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Available-for-sale marketable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securities, liquidations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6,675</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Purchases of finance</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receivables(a)</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(31,222)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(28,376)</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(27,180)</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Principal collections and</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recoveries on finance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receivables(a)</w:t>
            </w: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23,524</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23,526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21,132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21,135</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leased vehicles</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(11,243)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(11,243)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(10,247)</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(10,247)</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Proceeds from termination of</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leased vehicles</w:t>
            </w: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8,627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8,627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9,860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9,860</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investing activities(b)(d)</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(1,091)</w:t>
            </w:r>
          </w:p>
        </w:tc>
        <w:tc>
          <w:tcPr>
            <w:tcW w:w="0" w:type="dxa"/>
            <w:vAlign w:val="bottom"/>
          </w:tcPr>
          <w:p>
            <w:pPr>
              <w:spacing w:after="0"/>
              <w:rPr>
                <w:sz w:val="1"/>
                <w:szCs w:val="1"/>
                <w:color w:val="auto"/>
              </w:rPr>
            </w:pPr>
          </w:p>
        </w:tc>
      </w:tr>
      <w:tr>
        <w:trPr>
          <w:trHeight w:val="102"/>
        </w:trPr>
        <w:tc>
          <w:tcPr>
            <w:tcW w:w="196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Net cash provided by (used in)</w:t>
            </w: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180"/>
              <w:spacing w:after="0"/>
              <w:rPr>
                <w:sz w:val="20"/>
                <w:szCs w:val="20"/>
                <w:color w:val="auto"/>
              </w:rPr>
            </w:pPr>
            <w:r>
              <w:rPr>
                <w:rFonts w:ascii="Arial" w:cs="Arial" w:eastAsia="Arial" w:hAnsi="Arial"/>
                <w:sz w:val="13"/>
                <w:szCs w:val="13"/>
                <w:b w:val="1"/>
                <w:bCs w:val="1"/>
                <w:color w:val="auto"/>
              </w:rPr>
              <w:t>investing activities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(10,204)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4"/>
              </w:rPr>
              <w:t>(10,329)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(14,004)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(7,076)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1,169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(7,903)</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(12,100)</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Cash flows from financing</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activities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Net increase (decrease) in</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short-term debt(d)</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w w:val="98"/>
              </w:rPr>
              <w:t>Proceeds from issuance of debt</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(original maturities greater</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than three months)(b)</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38,142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37,339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37,357</w:t>
            </w:r>
          </w:p>
        </w:tc>
        <w:tc>
          <w:tcPr>
            <w:tcW w:w="0" w:type="dxa"/>
            <w:vAlign w:val="bottom"/>
          </w:tcPr>
          <w:p>
            <w:pPr>
              <w:spacing w:after="0"/>
              <w:rPr>
                <w:sz w:val="1"/>
                <w:szCs w:val="1"/>
                <w:color w:val="auto"/>
              </w:rPr>
            </w:pPr>
          </w:p>
        </w:tc>
      </w:tr>
      <w:tr>
        <w:trPr>
          <w:trHeight w:val="121"/>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Payments on debt (original</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maturities greater than three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months)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4"/>
              </w:rPr>
              <w:t>(31,882)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(32,012)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4"/>
              </w:rPr>
              <w:t>(31,650)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(33,269)</w:t>
            </w:r>
          </w:p>
        </w:tc>
        <w:tc>
          <w:tcPr>
            <w:tcW w:w="0" w:type="dxa"/>
            <w:vAlign w:val="bottom"/>
          </w:tcPr>
          <w:p>
            <w:pPr>
              <w:spacing w:after="0"/>
              <w:rPr>
                <w:sz w:val="1"/>
                <w:szCs w:val="1"/>
                <w:color w:val="auto"/>
              </w:rPr>
            </w:pPr>
          </w:p>
        </w:tc>
      </w:tr>
      <w:tr>
        <w:trPr>
          <w:trHeight w:val="129"/>
        </w:trPr>
        <w:tc>
          <w:tcPr>
            <w:tcW w:w="196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Payment to purchase common</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stock</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Issuance (redemption) of</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60" w:type="dxa"/>
            <w:vAlign w:val="bottom"/>
          </w:tcPr>
          <w:p>
            <w:pPr>
              <w:ind w:left="300"/>
              <w:spacing w:after="0"/>
              <w:rPr>
                <w:sz w:val="20"/>
                <w:szCs w:val="20"/>
                <w:color w:val="auto"/>
              </w:rPr>
            </w:pPr>
            <w:r>
              <w:rPr>
                <w:rFonts w:ascii="Arial" w:cs="Arial" w:eastAsia="Arial" w:hAnsi="Arial"/>
                <w:sz w:val="13"/>
                <w:szCs w:val="13"/>
                <w:color w:val="auto"/>
              </w:rPr>
              <w:t>subsidiary stock(b)</w:t>
            </w: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362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9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paid(c)</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171"/>
        </w:trPr>
        <w:tc>
          <w:tcPr>
            <w:tcW w:w="1960" w:type="dxa"/>
            <w:vAlign w:val="bottom"/>
          </w:tcPr>
          <w:p>
            <w:pPr>
              <w:ind w:left="140"/>
              <w:spacing w:after="0"/>
              <w:rPr>
                <w:sz w:val="20"/>
                <w:szCs w:val="20"/>
                <w:color w:val="auto"/>
              </w:rPr>
            </w:pPr>
            <w:r>
              <w:rPr>
                <w:rFonts w:ascii="Arial" w:cs="Arial" w:eastAsia="Arial" w:hAnsi="Arial"/>
                <w:sz w:val="13"/>
                <w:szCs w:val="13"/>
                <w:color w:val="auto"/>
              </w:rPr>
              <w:t>Other financing activities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(602)</w:t>
            </w:r>
          </w:p>
        </w:tc>
        <w:tc>
          <w:tcPr>
            <w:tcW w:w="0" w:type="dxa"/>
            <w:vAlign w:val="bottom"/>
          </w:tcPr>
          <w:p>
            <w:pPr>
              <w:spacing w:after="0"/>
              <w:rPr>
                <w:sz w:val="1"/>
                <w:szCs w:val="1"/>
                <w:color w:val="auto"/>
              </w:rPr>
            </w:pPr>
          </w:p>
        </w:tc>
      </w:tr>
      <w:tr>
        <w:trPr>
          <w:trHeight w:val="106"/>
        </w:trPr>
        <w:tc>
          <w:tcPr>
            <w:tcW w:w="1960" w:type="dxa"/>
            <w:vAlign w:val="bottom"/>
            <w:tcBorders>
              <w:top w:val="single" w:sz="8" w:color="CCEEFF"/>
            </w:tcBorders>
            <w:shd w:val="clear" w:color="auto" w:fill="CCEEFF"/>
          </w:tcPr>
          <w:p>
            <w:pPr>
              <w:ind w:left="20"/>
              <w:spacing w:after="0" w:line="106" w:lineRule="exact"/>
              <w:rPr>
                <w:sz w:val="20"/>
                <w:szCs w:val="20"/>
                <w:color w:val="auto"/>
              </w:rPr>
            </w:pPr>
            <w:r>
              <w:rPr>
                <w:rFonts w:ascii="Arial" w:cs="Arial" w:eastAsia="Arial" w:hAnsi="Arial"/>
                <w:sz w:val="12"/>
                <w:szCs w:val="12"/>
                <w:b w:val="1"/>
                <w:bCs w:val="1"/>
                <w:color w:val="auto"/>
              </w:rPr>
              <w:t>Net cash provided by (used in)</w:t>
            </w: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financing activities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1,826</w:t>
            </w:r>
          </w:p>
        </w:tc>
        <w:tc>
          <w:tcPr>
            <w:tcW w:w="0" w:type="dxa"/>
            <w:vAlign w:val="bottom"/>
          </w:tcPr>
          <w:p>
            <w:pPr>
              <w:spacing w:after="0"/>
              <w:rPr>
                <w:sz w:val="1"/>
                <w:szCs w:val="1"/>
                <w:color w:val="auto"/>
              </w:rPr>
            </w:pPr>
          </w:p>
        </w:tc>
      </w:tr>
      <w:tr>
        <w:trPr>
          <w:trHeight w:val="122"/>
        </w:trPr>
        <w:tc>
          <w:tcPr>
            <w:tcW w:w="1960" w:type="dxa"/>
            <w:vAlign w:val="bottom"/>
          </w:tcPr>
          <w:p>
            <w:pPr>
              <w:ind w:left="140"/>
              <w:spacing w:after="0" w:line="122" w:lineRule="exact"/>
              <w:rPr>
                <w:sz w:val="20"/>
                <w:szCs w:val="20"/>
                <w:color w:val="auto"/>
              </w:rPr>
            </w:pPr>
            <w:r>
              <w:rPr>
                <w:rFonts w:ascii="Arial" w:cs="Arial" w:eastAsia="Arial" w:hAnsi="Arial"/>
                <w:sz w:val="13"/>
                <w:szCs w:val="13"/>
                <w:color w:val="auto"/>
              </w:rPr>
              <w:t>Effect of exchange rate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300"/>
              <w:spacing w:after="0" w:line="122" w:lineRule="exact"/>
              <w:rPr>
                <w:sz w:val="20"/>
                <w:szCs w:val="20"/>
                <w:color w:val="auto"/>
              </w:rPr>
            </w:pPr>
            <w:r>
              <w:rPr>
                <w:rFonts w:ascii="Arial" w:cs="Arial" w:eastAsia="Arial" w:hAnsi="Arial"/>
                <w:sz w:val="13"/>
                <w:szCs w:val="13"/>
                <w:color w:val="auto"/>
              </w:rPr>
              <w:t>changes on cash, cash</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60" w:type="dxa"/>
            <w:vAlign w:val="bottom"/>
          </w:tcPr>
          <w:p>
            <w:pPr>
              <w:ind w:left="300"/>
              <w:spacing w:after="0" w:line="131" w:lineRule="exact"/>
              <w:rPr>
                <w:sz w:val="20"/>
                <w:szCs w:val="20"/>
                <w:color w:val="auto"/>
              </w:rPr>
            </w:pPr>
            <w:r>
              <w:rPr>
                <w:rFonts w:ascii="Arial" w:cs="Arial" w:eastAsia="Arial" w:hAnsi="Arial"/>
                <w:sz w:val="13"/>
                <w:szCs w:val="13"/>
                <w:color w:val="auto"/>
              </w:rPr>
              <w:t>equivalents and restricted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300"/>
              <w:spacing w:after="0"/>
              <w:rPr>
                <w:sz w:val="20"/>
                <w:szCs w:val="20"/>
                <w:color w:val="auto"/>
              </w:rPr>
            </w:pPr>
            <w:r>
              <w:rPr>
                <w:rFonts w:ascii="Arial" w:cs="Arial" w:eastAsia="Arial" w:hAnsi="Arial"/>
                <w:sz w:val="13"/>
                <w:szCs w:val="13"/>
                <w:color w:val="auto"/>
              </w:rPr>
              <w:t>cash</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08"/>
        </w:trPr>
        <w:tc>
          <w:tcPr>
            <w:tcW w:w="1960" w:type="dxa"/>
            <w:vAlign w:val="bottom"/>
            <w:tcBorders>
              <w:top w:val="single" w:sz="8" w:color="CCEEFF"/>
            </w:tcBorders>
            <w:shd w:val="clear" w:color="auto" w:fill="CCEEFF"/>
          </w:tcPr>
          <w:p>
            <w:pPr>
              <w:ind w:left="140"/>
              <w:spacing w:after="0" w:line="108" w:lineRule="exact"/>
              <w:rPr>
                <w:sz w:val="20"/>
                <w:szCs w:val="20"/>
                <w:color w:val="auto"/>
              </w:rPr>
            </w:pPr>
            <w:r>
              <w:rPr>
                <w:rFonts w:ascii="Arial" w:cs="Arial" w:eastAsia="Arial" w:hAnsi="Arial"/>
                <w:sz w:val="12"/>
                <w:szCs w:val="12"/>
                <w:color w:val="auto"/>
              </w:rPr>
              <w:t>Net increase (decrease) in</w:t>
            </w: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CEEFF"/>
          </w:tcPr>
          <w:p>
            <w:pPr>
              <w:ind w:left="300"/>
              <w:spacing w:after="0" w:line="122" w:lineRule="exact"/>
              <w:rPr>
                <w:sz w:val="20"/>
                <w:szCs w:val="20"/>
                <w:color w:val="auto"/>
              </w:rPr>
            </w:pPr>
            <w:r>
              <w:rPr>
                <w:rFonts w:ascii="Arial" w:cs="Arial" w:eastAsia="Arial" w:hAnsi="Arial"/>
                <w:sz w:val="13"/>
                <w:szCs w:val="13"/>
                <w:color w:val="auto"/>
              </w:rPr>
              <w:t>cash, cash equivalents and</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restricted cash</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7,030</w:t>
            </w:r>
          </w:p>
        </w:tc>
        <w:tc>
          <w:tcPr>
            <w:tcW w:w="0" w:type="dxa"/>
            <w:vAlign w:val="bottom"/>
          </w:tcPr>
          <w:p>
            <w:pPr>
              <w:spacing w:after="0"/>
              <w:rPr>
                <w:sz w:val="1"/>
                <w:szCs w:val="1"/>
                <w:color w:val="auto"/>
              </w:rPr>
            </w:pPr>
          </w:p>
        </w:tc>
      </w:tr>
      <w:tr>
        <w:trPr>
          <w:trHeight w:val="121"/>
        </w:trPr>
        <w:tc>
          <w:tcPr>
            <w:tcW w:w="1960" w:type="dxa"/>
            <w:vAlign w:val="bottom"/>
          </w:tcPr>
          <w:p>
            <w:pPr>
              <w:ind w:left="20"/>
              <w:spacing w:after="0" w:line="122" w:lineRule="exact"/>
              <w:rPr>
                <w:sz w:val="20"/>
                <w:szCs w:val="20"/>
                <w:color w:val="auto"/>
              </w:rPr>
            </w:pPr>
            <w:r>
              <w:rPr>
                <w:rFonts w:ascii="Arial" w:cs="Arial" w:eastAsia="Arial" w:hAnsi="Arial"/>
                <w:sz w:val="13"/>
                <w:szCs w:val="13"/>
                <w:color w:val="auto"/>
              </w:rPr>
              <w:t>Cash, cash equivalents and</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180"/>
              <w:spacing w:after="0" w:line="122" w:lineRule="exact"/>
              <w:rPr>
                <w:sz w:val="20"/>
                <w:szCs w:val="20"/>
                <w:color w:val="auto"/>
              </w:rPr>
            </w:pPr>
            <w:r>
              <w:rPr>
                <w:rFonts w:ascii="Arial" w:cs="Arial" w:eastAsia="Arial" w:hAnsi="Arial"/>
                <w:sz w:val="13"/>
                <w:szCs w:val="13"/>
                <w:color w:val="auto"/>
              </w:rPr>
              <w:t>restricted cash at beginning of</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960" w:type="dxa"/>
            <w:vAlign w:val="bottom"/>
          </w:tcPr>
          <w:p>
            <w:pPr>
              <w:ind w:left="180"/>
              <w:spacing w:after="0"/>
              <w:rPr>
                <w:sz w:val="20"/>
                <w:szCs w:val="20"/>
                <w:color w:val="auto"/>
              </w:rPr>
            </w:pPr>
            <w:r>
              <w:rPr>
                <w:rFonts w:ascii="Arial" w:cs="Arial" w:eastAsia="Arial" w:hAnsi="Arial"/>
                <w:sz w:val="13"/>
                <w:szCs w:val="13"/>
                <w:color w:val="auto"/>
              </w:rPr>
              <w:t>period</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8,249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21,917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13,746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6,676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21,948</w:t>
            </w:r>
          </w:p>
        </w:tc>
        <w:tc>
          <w:tcPr>
            <w:tcW w:w="0" w:type="dxa"/>
            <w:vAlign w:val="bottom"/>
          </w:tcPr>
          <w:p>
            <w:pPr>
              <w:spacing w:after="0"/>
              <w:rPr>
                <w:sz w:val="1"/>
                <w:szCs w:val="1"/>
                <w:color w:val="auto"/>
              </w:rPr>
            </w:pPr>
          </w:p>
        </w:tc>
      </w:tr>
      <w:tr>
        <w:trPr>
          <w:trHeight w:val="108"/>
        </w:trPr>
        <w:tc>
          <w:tcPr>
            <w:tcW w:w="19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b w:val="1"/>
                <w:bCs w:val="1"/>
                <w:color w:val="auto"/>
              </w:rPr>
              <w:t>Cash, cash equivalents and</w:t>
            </w: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b w:val="1"/>
                <w:bCs w:val="1"/>
                <w:color w:val="auto"/>
              </w:rPr>
              <w:t>restricted cash at end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18,279</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734</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7,702</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26,715</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19,663</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1,560</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7,755</w:t>
            </w: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28,978</w:t>
            </w:r>
          </w:p>
        </w:tc>
        <w:tc>
          <w:tcPr>
            <w:tcW w:w="0" w:type="dxa"/>
            <w:vAlign w:val="bottom"/>
          </w:tcPr>
          <w:p>
            <w:pPr>
              <w:spacing w:after="0"/>
              <w:rPr>
                <w:sz w:val="1"/>
                <w:szCs w:val="1"/>
                <w:color w:val="auto"/>
              </w:rPr>
            </w:pPr>
          </w:p>
        </w:tc>
      </w:tr>
      <w:tr>
        <w:trPr>
          <w:trHeight w:val="182"/>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period</w:t>
            </w:r>
          </w:p>
        </w:tc>
        <w:tc>
          <w:tcPr>
            <w:tcW w:w="14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5" w:lineRule="exact"/>
        <w:rPr>
          <w:sz w:val="20"/>
          <w:szCs w:val="20"/>
          <w:color w:val="auto"/>
        </w:rPr>
      </w:pPr>
    </w:p>
    <w:p>
      <w:pPr>
        <w:ind w:left="340" w:hanging="332"/>
        <w:spacing w:after="0" w:line="246" w:lineRule="auto"/>
        <w:tabs>
          <w:tab w:leader="none" w:pos="337"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Includes eliminations of $5.3 billion and $1.0 billion in the nine months ended September 30, 2024 and 2023 primarily driven by purchases/collections of wholesale finance receivables resulting from vehicles sold by GM to dealers that have arranged their inventory floor plan financing through GM Financial</w:t>
      </w:r>
    </w:p>
    <w:p>
      <w:pPr>
        <w:ind w:left="340" w:right="20" w:hanging="332"/>
        <w:spacing w:after="0" w:line="243" w:lineRule="auto"/>
        <w:tabs>
          <w:tab w:leader="none" w:pos="337"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Includes eliminations of $0.9 billion convertible note issued by Cruise to Automotive in the nine months ended September 30, 2024 and $0.4 billion of Automotive investment in Cruise in the nine months ended September 30, 2024 and 2023.</w:t>
      </w:r>
    </w:p>
    <w:p>
      <w:pPr>
        <w:ind w:left="320" w:hanging="312"/>
        <w:spacing w:after="0"/>
        <w:tabs>
          <w:tab w:leader="none" w:pos="3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Eliminations include dividends issued by GM Financial to Automotive in the nine months ended September 30, 2024 and 2023.</w:t>
      </w:r>
    </w:p>
    <w:p>
      <w:pPr>
        <w:spacing w:after="0" w:line="5" w:lineRule="exact"/>
        <w:rPr>
          <w:rFonts w:ascii="Arial" w:cs="Arial" w:eastAsia="Arial" w:hAnsi="Arial"/>
          <w:sz w:val="11"/>
          <w:szCs w:val="11"/>
          <w:color w:val="auto"/>
        </w:rPr>
      </w:pPr>
    </w:p>
    <w:p>
      <w:pPr>
        <w:ind w:left="320" w:hanging="312"/>
        <w:spacing w:after="0"/>
        <w:tabs>
          <w:tab w:leader="none" w:pos="3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Includes eliminations of $0.3 billion of Intercompany loans due from Automotive to GM Financial in the nine months ended September 30, 2023.</w:t>
      </w:r>
    </w:p>
    <w:p>
      <w:pPr>
        <w:sectPr>
          <w:pgSz w:w="11900" w:h="16838" w:orient="portrait"/>
          <w:cols w:equalWidth="0" w:num="1">
            <w:col w:w="11240"/>
          </w:cols>
          <w:pgMar w:left="320" w:top="854" w:right="339" w:bottom="1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54" w:right="339" w:bottom="1114"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General Motors Company and Subsidiaries</w:t>
      </w:r>
      <w:r>
        <w:rPr>
          <w:rFonts w:ascii="Arial" w:cs="Arial" w:eastAsia="Arial" w:hAnsi="Arial"/>
          <w:sz w:val="21"/>
          <w:szCs w:val="21"/>
          <w:b w:val="1"/>
          <w:bCs w:val="1"/>
          <w:color w:val="auto"/>
          <w:vertAlign w:val="superscript"/>
        </w:rPr>
        <w:t>1</w:t>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10"/>
                <w:szCs w:val="10"/>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10"/>
                <w:szCs w:val="10"/>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10"/>
                <w:szCs w:val="10"/>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500" w:type="dxa"/>
            <w:vAlign w:val="bottom"/>
          </w:tcPr>
          <w:p>
            <w:pPr>
              <w:ind w:left="20"/>
              <w:spacing w:after="0"/>
              <w:rPr>
                <w:sz w:val="20"/>
                <w:szCs w:val="20"/>
                <w:color w:val="auto"/>
              </w:rPr>
            </w:pPr>
            <w:r>
              <w:rPr>
                <w:rFonts w:ascii="Arial" w:cs="Arial" w:eastAsia="Arial" w:hAnsi="Arial"/>
                <w:sz w:val="11"/>
                <w:szCs w:val="11"/>
                <w:b w:val="1"/>
                <w:bCs w:val="1"/>
                <w:color w:val="auto"/>
              </w:rPr>
              <w:t>Three Months Ended September 30, 2024</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48,757</w:t>
            </w:r>
          </w:p>
        </w:tc>
        <w:tc>
          <w:tcPr>
            <w:tcW w:w="0" w:type="dxa"/>
            <w:vAlign w:val="bottom"/>
          </w:tcPr>
          <w:p>
            <w:pPr>
              <w:spacing w:after="0"/>
              <w:rPr>
                <w:sz w:val="1"/>
                <w:szCs w:val="1"/>
                <w:color w:val="auto"/>
              </w:rPr>
            </w:pPr>
          </w:p>
        </w:tc>
      </w:tr>
      <w:tr>
        <w:trPr>
          <w:trHeight w:val="171"/>
        </w:trPr>
        <w:tc>
          <w:tcPr>
            <w:tcW w:w="25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2,128</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2,229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2,245</w:t>
            </w: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2,873</w:t>
            </w:r>
          </w:p>
        </w:tc>
        <w:tc>
          <w:tcPr>
            <w:tcW w:w="0" w:type="dxa"/>
            <w:vAlign w:val="bottom"/>
          </w:tcPr>
          <w:p>
            <w:pPr>
              <w:spacing w:after="0"/>
              <w:rPr>
                <w:sz w:val="1"/>
                <w:szCs w:val="1"/>
                <w:color w:val="auto"/>
              </w:rPr>
            </w:pPr>
          </w:p>
        </w:tc>
      </w:tr>
      <w:tr>
        <w:trPr>
          <w:trHeight w:val="171"/>
        </w:trPr>
        <w:tc>
          <w:tcPr>
            <w:tcW w:w="250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378"/>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500" w:type="dxa"/>
            <w:vAlign w:val="bottom"/>
          </w:tcPr>
          <w:p>
            <w:pPr>
              <w:ind w:left="20"/>
              <w:spacing w:after="0"/>
              <w:rPr>
                <w:sz w:val="20"/>
                <w:szCs w:val="20"/>
                <w:color w:val="auto"/>
              </w:rPr>
            </w:pPr>
            <w:r>
              <w:rPr>
                <w:rFonts w:ascii="Arial" w:cs="Arial" w:eastAsia="Arial" w:hAnsi="Arial"/>
                <w:sz w:val="11"/>
                <w:szCs w:val="11"/>
                <w:b w:val="1"/>
                <w:bCs w:val="1"/>
                <w:color w:val="auto"/>
              </w:rPr>
              <w:t>Three Months Ended September 30, 2023</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44,131</w:t>
            </w:r>
          </w:p>
        </w:tc>
        <w:tc>
          <w:tcPr>
            <w:tcW w:w="0" w:type="dxa"/>
            <w:vAlign w:val="bottom"/>
          </w:tcPr>
          <w:p>
            <w:pPr>
              <w:spacing w:after="0"/>
              <w:rPr>
                <w:sz w:val="1"/>
                <w:szCs w:val="1"/>
                <w:color w:val="auto"/>
              </w:rPr>
            </w:pPr>
          </w:p>
        </w:tc>
      </w:tr>
      <w:tr>
        <w:trPr>
          <w:trHeight w:val="171"/>
        </w:trPr>
        <w:tc>
          <w:tcPr>
            <w:tcW w:w="25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2,435</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2,528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2,581</w:t>
            </w: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2,992</w:t>
            </w:r>
          </w:p>
        </w:tc>
        <w:tc>
          <w:tcPr>
            <w:tcW w:w="0" w:type="dxa"/>
            <w:vAlign w:val="bottom"/>
          </w:tcPr>
          <w:p>
            <w:pPr>
              <w:spacing w:after="0"/>
              <w:rPr>
                <w:sz w:val="1"/>
                <w:szCs w:val="1"/>
                <w:color w:val="auto"/>
              </w:rPr>
            </w:pPr>
          </w:p>
        </w:tc>
      </w:tr>
      <w:tr>
        <w:trPr>
          <w:trHeight w:val="171"/>
        </w:trPr>
        <w:tc>
          <w:tcPr>
            <w:tcW w:w="250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365"/>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00" w:type="dxa"/>
            <w:vAlign w:val="bottom"/>
          </w:tcPr>
          <w:p>
            <w:pPr>
              <w:ind w:left="20"/>
              <w:spacing w:after="0"/>
              <w:rPr>
                <w:sz w:val="20"/>
                <w:szCs w:val="20"/>
                <w:color w:val="auto"/>
              </w:rPr>
            </w:pPr>
            <w:r>
              <w:rPr>
                <w:rFonts w:ascii="Arial" w:cs="Arial" w:eastAsia="Arial" w:hAnsi="Arial"/>
                <w:sz w:val="11"/>
                <w:szCs w:val="11"/>
                <w:b w:val="1"/>
                <w:bCs w:val="1"/>
                <w:color w:val="auto"/>
              </w:rPr>
              <w:t>Nine Months Ended September 30, 2024</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117,981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139,740</w:t>
            </w:r>
          </w:p>
        </w:tc>
        <w:tc>
          <w:tcPr>
            <w:tcW w:w="0" w:type="dxa"/>
            <w:vAlign w:val="bottom"/>
          </w:tcPr>
          <w:p>
            <w:pPr>
              <w:spacing w:after="0"/>
              <w:rPr>
                <w:sz w:val="1"/>
                <w:szCs w:val="1"/>
                <w:color w:val="auto"/>
              </w:rPr>
            </w:pPr>
          </w:p>
        </w:tc>
      </w:tr>
      <w:tr>
        <w:trPr>
          <w:trHeight w:val="171"/>
        </w:trPr>
        <w:tc>
          <w:tcPr>
            <w:tcW w:w="25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7,220</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7,495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7,597</w:t>
            </w: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8,551</w:t>
            </w:r>
          </w:p>
        </w:tc>
        <w:tc>
          <w:tcPr>
            <w:tcW w:w="0" w:type="dxa"/>
            <w:vAlign w:val="bottom"/>
          </w:tcPr>
          <w:p>
            <w:pPr>
              <w:spacing w:after="0"/>
              <w:rPr>
                <w:sz w:val="1"/>
                <w:szCs w:val="1"/>
                <w:color w:val="auto"/>
              </w:rPr>
            </w:pPr>
          </w:p>
        </w:tc>
      </w:tr>
      <w:tr>
        <w:trPr>
          <w:trHeight w:val="171"/>
        </w:trPr>
        <w:tc>
          <w:tcPr>
            <w:tcW w:w="250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0" w:type="dxa"/>
            <w:vAlign w:val="bottom"/>
          </w:tcPr>
          <w:p>
            <w:pPr>
              <w:spacing w:after="0"/>
              <w:rPr>
                <w:sz w:val="1"/>
                <w:szCs w:val="1"/>
                <w:color w:val="auto"/>
              </w:rPr>
            </w:pPr>
          </w:p>
        </w:tc>
      </w:tr>
      <w:tr>
        <w:trPr>
          <w:trHeight w:val="378"/>
        </w:trPr>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GMNA</w:t>
            </w:r>
          </w:p>
        </w:tc>
        <w:tc>
          <w:tcPr>
            <w:tcW w:w="180" w:type="dxa"/>
            <w:vAlign w:val="bottom"/>
          </w:tcPr>
          <w:p>
            <w:pPr>
              <w:spacing w:after="0"/>
              <w:rPr>
                <w:sz w:val="24"/>
                <w:szCs w:val="2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24"/>
                <w:szCs w:val="24"/>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Corporate</w:t>
            </w:r>
          </w:p>
        </w:tc>
        <w:tc>
          <w:tcPr>
            <w:tcW w:w="100" w:type="dxa"/>
            <w:vAlign w:val="bottom"/>
          </w:tcPr>
          <w:p>
            <w:pPr>
              <w:spacing w:after="0"/>
              <w:rPr>
                <w:sz w:val="24"/>
                <w:szCs w:val="24"/>
                <w:color w:val="auto"/>
              </w:rPr>
            </w:pPr>
          </w:p>
        </w:tc>
        <w:tc>
          <w:tcPr>
            <w:tcW w:w="8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24"/>
                <w:szCs w:val="2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GM</w:t>
            </w:r>
          </w:p>
        </w:tc>
        <w:tc>
          <w:tcPr>
            <w:tcW w:w="17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Reclassifications/Eliminations</w:t>
            </w:r>
          </w:p>
        </w:tc>
        <w:tc>
          <w:tcPr>
            <w:tcW w:w="180" w:type="dxa"/>
            <w:vAlign w:val="bottom"/>
          </w:tcPr>
          <w:p>
            <w:pPr>
              <w:spacing w:after="0"/>
              <w:rPr>
                <w:sz w:val="24"/>
                <w:szCs w:val="24"/>
                <w:color w:val="auto"/>
              </w:rPr>
            </w:pPr>
          </w:p>
        </w:tc>
        <w:tc>
          <w:tcPr>
            <w:tcW w:w="6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7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00" w:type="dxa"/>
            <w:vAlign w:val="bottom"/>
          </w:tcPr>
          <w:p>
            <w:pPr>
              <w:ind w:left="20"/>
              <w:spacing w:after="0"/>
              <w:rPr>
                <w:sz w:val="20"/>
                <w:szCs w:val="20"/>
                <w:color w:val="auto"/>
              </w:rPr>
            </w:pPr>
            <w:r>
              <w:rPr>
                <w:rFonts w:ascii="Arial" w:cs="Arial" w:eastAsia="Arial" w:hAnsi="Arial"/>
                <w:sz w:val="11"/>
                <w:szCs w:val="11"/>
                <w:b w:val="1"/>
                <w:bCs w:val="1"/>
                <w:color w:val="auto"/>
              </w:rPr>
              <w:t>Nine Months Ended September 30, 2023</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128,863</w:t>
            </w:r>
          </w:p>
        </w:tc>
        <w:tc>
          <w:tcPr>
            <w:tcW w:w="0" w:type="dxa"/>
            <w:vAlign w:val="bottom"/>
          </w:tcPr>
          <w:p>
            <w:pPr>
              <w:spacing w:after="0"/>
              <w:rPr>
                <w:sz w:val="1"/>
                <w:szCs w:val="1"/>
                <w:color w:val="auto"/>
              </w:rPr>
            </w:pPr>
          </w:p>
        </w:tc>
      </w:tr>
      <w:tr>
        <w:trPr>
          <w:trHeight w:val="171"/>
        </w:trPr>
        <w:tc>
          <w:tcPr>
            <w:tcW w:w="250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6,710</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7,072</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7,264</w:t>
            </w: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8,738</w:t>
            </w:r>
          </w:p>
        </w:tc>
        <w:tc>
          <w:tcPr>
            <w:tcW w:w="0" w:type="dxa"/>
            <w:vAlign w:val="bottom"/>
          </w:tcPr>
          <w:p>
            <w:pPr>
              <w:spacing w:after="0"/>
              <w:rPr>
                <w:sz w:val="1"/>
                <w:szCs w:val="1"/>
                <w:color w:val="auto"/>
              </w:rPr>
            </w:pPr>
          </w:p>
        </w:tc>
      </w:tr>
      <w:tr>
        <w:trPr>
          <w:trHeight w:val="171"/>
        </w:trPr>
        <w:tc>
          <w:tcPr>
            <w:tcW w:w="250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(loss)(a)(b)</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8" w:lineRule="exact"/>
        <w:rPr>
          <w:sz w:val="20"/>
          <w:szCs w:val="20"/>
          <w:color w:val="auto"/>
        </w:rPr>
      </w:pPr>
    </w:p>
    <w:p>
      <w:pPr>
        <w:ind w:left="340" w:hanging="332"/>
        <w:spacing w:after="0" w:line="238" w:lineRule="auto"/>
        <w:tabs>
          <w:tab w:leader="none" w:pos="332"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Automotive China joint ventures (Automotive China JVs) equity loss of $137 million and $347 million in the three and nine months ended September 30, 2024 and Automotive China JVs equity income of $192 million and $353 million in the three and nine months ended September 30, 2023.</w:t>
      </w:r>
    </w:p>
    <w:p>
      <w:pPr>
        <w:jc w:val="both"/>
        <w:ind w:left="340" w:hanging="332"/>
        <w:spacing w:after="0" w:line="242" w:lineRule="auto"/>
        <w:tabs>
          <w:tab w:leader="none" w:pos="332" w:val="left"/>
        </w:tabs>
        <w:numPr>
          <w:ilvl w:val="0"/>
          <w:numId w:val="11"/>
        </w:numPr>
        <w:rPr>
          <w:rFonts w:ascii="Arial" w:cs="Arial" w:eastAsia="Arial" w:hAnsi="Arial"/>
          <w:sz w:val="13"/>
          <w:szCs w:val="13"/>
          <w:color w:val="auto"/>
        </w:rPr>
      </w:pPr>
      <w:r>
        <w:rPr>
          <w:rFonts w:ascii="Arial" w:cs="Arial" w:eastAsia="Arial" w:hAnsi="Arial"/>
          <w:sz w:val="13"/>
          <w:szCs w:val="13"/>
          <w:color w:val="auto"/>
        </w:rPr>
        <w:t>Equity earnings related to Ultium Cells Holdings LLC, an equally owned joint venture with LG Energy Solution, are presented in Automotive and other cost of sales as this entity is integral to the operations of our business by providing battery cells for our electric vehicles (EVs). Equity earnings related to Ultium Cells Holdings LLC were $309 million and $788 million in the three and nine months ended September 30, 2024 and $101 million and $191 million in the three and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5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General Motors Company (GM) uses both generally accepted accounting principles (GAAP) and non-GAAP financial measures for operational and financial decision making, and to assess Company and segment business performance. Our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i w:val="1"/>
          <w:iCs w:val="1"/>
          <w:color w:val="auto"/>
        </w:rPr>
        <w:t>(Most comparable GAAP measure: Net income attributable to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EBIT-adjusted is presented net of noncontrolling interests and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22"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i w:val="1"/>
          <w:iCs w:val="1"/>
          <w:color w:val="auto"/>
        </w:rPr>
        <w:t>(Most comparable GAAP measure: Diluted earnings per common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EPS-diluted-adjusted is used by management and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0"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i w:val="1"/>
          <w:iCs w:val="1"/>
          <w:color w:val="auto"/>
        </w:rPr>
        <w:t>(Most comparable GAAP measure: Effective tax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ETR-adjusted is used by management and can be used by investors to review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99"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i w:val="1"/>
          <w:iCs w:val="1"/>
          <w:color w:val="auto"/>
        </w:rPr>
        <w:t>(Most comparable GAAP measure: Return on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213"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i w:val="1"/>
          <w:iCs w:val="1"/>
          <w:color w:val="auto"/>
        </w:rPr>
        <w:t>(Most comparable GAAP measure: Net automotive cash provided by operating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automotive free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61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attributable to stockholders under U.S. GAAP to EBIT-adjusted and segment profit (loss)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14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7"/>
                <w:szCs w:val="17"/>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120" w:type="dxa"/>
            <w:vAlign w:val="bottom"/>
          </w:tcPr>
          <w:p>
            <w:pPr>
              <w:spacing w:after="0"/>
              <w:rPr>
                <w:sz w:val="17"/>
                <w:szCs w:val="17"/>
                <w:color w:val="auto"/>
              </w:rPr>
            </w:pPr>
          </w:p>
        </w:tc>
        <w:tc>
          <w:tcPr>
            <w:tcW w:w="1520" w:type="dxa"/>
            <w:vAlign w:val="bottom"/>
          </w:tcPr>
          <w:p>
            <w:pPr>
              <w:jc w:val="right"/>
              <w:ind w:right="79"/>
              <w:spacing w:after="0"/>
              <w:rPr>
                <w:sz w:val="20"/>
                <w:szCs w:val="20"/>
                <w:color w:val="auto"/>
              </w:rPr>
            </w:pPr>
            <w:r>
              <w:rPr>
                <w:rFonts w:ascii="Arial" w:cs="Arial" w:eastAsia="Arial" w:hAnsi="Arial"/>
                <w:sz w:val="14"/>
                <w:szCs w:val="14"/>
                <w:b w:val="1"/>
                <w:bCs w:val="1"/>
                <w:color w:val="auto"/>
              </w:rPr>
              <w:t>September 30, 2023</w:t>
            </w:r>
          </w:p>
        </w:tc>
      </w:tr>
      <w:tr>
        <w:trPr>
          <w:trHeight w:val="21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8,026</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1,421</w:t>
            </w: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Automotive interest expense</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Automotive interest income</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21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color w:val="auto"/>
              </w:rPr>
              <w:t>Restructuring actions(b)</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Buick dealer strategy(c)</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color w:val="auto"/>
              </w:rPr>
              <w:t>GMI plant wind down(d)</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Headquarters relocation(e)</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color w:val="auto"/>
              </w:rPr>
              <w:t>Cruise restructuring(f)</w:t>
            </w: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Voluntary separation program(g)</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color w:val="auto"/>
              </w:rPr>
              <w:t>GM Korea wage litigation(h)</w:t>
            </w: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adjustments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r>
      <w:tr>
        <w:trPr>
          <w:trHeight w:val="20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EBIT-adjusted</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10,601</w:t>
            </w:r>
          </w:p>
        </w:tc>
      </w:tr>
      <w:tr>
        <w:trPr>
          <w:trHeight w:val="19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segments</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color w:val="auto"/>
              </w:rPr>
              <w:t>GM North America (GMNA)</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12,254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10,295</w:t>
            </w:r>
          </w:p>
        </w:tc>
      </w:tr>
      <w:tr>
        <w:trPr>
          <w:trHeight w:val="217"/>
        </w:trPr>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International (GMI)</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w:t>
            </w:r>
          </w:p>
        </w:tc>
      </w:tr>
      <w:tr>
        <w:trPr>
          <w:trHeight w:val="215"/>
        </w:trPr>
        <w:tc>
          <w:tcPr>
            <w:tcW w:w="4320" w:type="dxa"/>
            <w:vAlign w:val="bottom"/>
          </w:tcPr>
          <w:p>
            <w:pPr>
              <w:ind w:left="140"/>
              <w:spacing w:after="0"/>
              <w:rPr>
                <w:sz w:val="20"/>
                <w:szCs w:val="20"/>
                <w:color w:val="auto"/>
              </w:rPr>
            </w:pPr>
            <w:r>
              <w:rPr>
                <w:rFonts w:ascii="Arial" w:cs="Arial" w:eastAsia="Arial" w:hAnsi="Arial"/>
                <w:sz w:val="16"/>
                <w:szCs w:val="16"/>
                <w:color w:val="auto"/>
              </w:rPr>
              <w:t>Cruise</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(1,904)</w:t>
            </w:r>
          </w:p>
        </w:tc>
      </w:tr>
      <w:tr>
        <w:trPr>
          <w:trHeight w:val="217"/>
        </w:trPr>
        <w:tc>
          <w:tcPr>
            <w:tcW w:w="4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Financial(i)</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w:t>
            </w:r>
          </w:p>
        </w:tc>
      </w:tr>
      <w:tr>
        <w:trPr>
          <w:trHeight w:val="209"/>
        </w:trPr>
        <w:tc>
          <w:tcPr>
            <w:tcW w:w="4320" w:type="dxa"/>
            <w:vAlign w:val="bottom"/>
          </w:tcPr>
          <w:p>
            <w:pPr>
              <w:ind w:left="20"/>
              <w:spacing w:after="0"/>
              <w:rPr>
                <w:sz w:val="20"/>
                <w:szCs w:val="20"/>
                <w:color w:val="auto"/>
              </w:rPr>
            </w:pPr>
            <w:r>
              <w:rPr>
                <w:rFonts w:ascii="Arial" w:cs="Arial" w:eastAsia="Arial" w:hAnsi="Arial"/>
                <w:sz w:val="16"/>
                <w:szCs w:val="16"/>
                <w:color w:val="auto"/>
              </w:rPr>
              <w:t>Total operating segments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11,610</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eliminations(j)</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r>
      <w:tr>
        <w:trPr>
          <w:trHeight w:val="210"/>
        </w:trPr>
        <w:tc>
          <w:tcPr>
            <w:tcW w:w="4320" w:type="dxa"/>
            <w:vAlign w:val="bottom"/>
          </w:tcPr>
          <w:p>
            <w:pPr>
              <w:ind w:left="20"/>
              <w:spacing w:after="0"/>
              <w:rPr>
                <w:sz w:val="20"/>
                <w:szCs w:val="20"/>
                <w:color w:val="auto"/>
              </w:rPr>
            </w:pPr>
            <w:r>
              <w:rPr>
                <w:rFonts w:ascii="Arial" w:cs="Arial" w:eastAsia="Arial" w:hAnsi="Arial"/>
                <w:sz w:val="16"/>
                <w:szCs w:val="16"/>
                <w:color w:val="auto"/>
              </w:rPr>
              <w:t>EBIT-adjusted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10,601</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of net loss attributable to noncontrolling interests.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employee separation charges primarily in North America.</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strategic activities to transition certain Buick dealers out of our dealer network as part of Buick’s EV strategy.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wind down of our manufacturing operations in Colombia and Ecuador.</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the GM headquarters relocation, primarily consisting of accelerated depreciation.</w:t>
      </w:r>
    </w:p>
    <w:p>
      <w:pPr>
        <w:spacing w:after="0" w:line="1" w:lineRule="exact"/>
        <w:rPr>
          <w:rFonts w:ascii="Arial" w:cs="Arial" w:eastAsia="Arial" w:hAnsi="Arial"/>
          <w:sz w:val="14"/>
          <w:szCs w:val="14"/>
          <w:color w:val="auto"/>
        </w:rPr>
      </w:pPr>
    </w:p>
    <w:p>
      <w:pPr>
        <w:jc w:val="both"/>
        <w:ind w:left="340" w:hanging="332"/>
        <w:spacing w:after="0" w:line="261"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restructuring costs resulting from Cruise voluntarily pausing its driverless, supervised and manual AV operations in the U.S. and the indefinite delay of the Cruise Origin. The adjustments primarily consist of non-cash restructuring charges, supplier related charges and employee separation charges.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This adjustment was excluded because it relates to the acceleration of attrition as part of the cost reduction program announced in January 2023, primarily in the U.S.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This adjustment was excluded because it relates to the partial resolution of subcontractor matters in Korea.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GM Financial amounts represent EBT-adjusted.</w:t>
      </w:r>
    </w:p>
    <w:p>
      <w:pPr>
        <w:spacing w:after="0" w:line="14" w:lineRule="exact"/>
        <w:rPr>
          <w:rFonts w:ascii="Arial" w:cs="Arial" w:eastAsia="Arial" w:hAnsi="Arial"/>
          <w:sz w:val="14"/>
          <w:szCs w:val="14"/>
          <w:color w:val="auto"/>
        </w:rPr>
      </w:pPr>
    </w:p>
    <w:p>
      <w:pPr>
        <w:ind w:left="340" w:hanging="332"/>
        <w:spacing w:after="0" w:line="284" w:lineRule="auto"/>
        <w:tabs>
          <w:tab w:leader="none" w:pos="333" w:val="left"/>
        </w:tabs>
        <w:numPr>
          <w:ilvl w:val="0"/>
          <w:numId w:val="12"/>
        </w:numPr>
        <w:rPr>
          <w:rFonts w:ascii="Arial" w:cs="Arial" w:eastAsia="Arial" w:hAnsi="Arial"/>
          <w:sz w:val="14"/>
          <w:szCs w:val="14"/>
          <w:color w:val="auto"/>
        </w:rPr>
      </w:pPr>
      <w:r>
        <w:rPr>
          <w:rFonts w:ascii="Arial" w:cs="Arial" w:eastAsia="Arial" w:hAnsi="Arial"/>
          <w:sz w:val="14"/>
          <w:szCs w:val="14"/>
          <w:color w:val="auto"/>
        </w:rPr>
        <w:t>GM's automotive interest income and interest expense, legacy costs from the Opel/Vauxhall Business (primarily pension costs), corporate expenditures and certain revenues and expenses that are not part of a reportable segment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61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firstLine="162"/>
        <w:spacing w:after="0" w:line="263" w:lineRule="auto"/>
        <w:rPr>
          <w:sz w:val="20"/>
          <w:szCs w:val="20"/>
          <w:color w:val="auto"/>
        </w:rPr>
      </w:pPr>
      <w:r>
        <w:rPr>
          <w:rFonts w:ascii="Arial" w:cs="Arial" w:eastAsia="Arial" w:hAnsi="Arial"/>
          <w:sz w:val="16"/>
          <w:szCs w:val="16"/>
          <w:color w:val="auto"/>
        </w:rPr>
        <w:t>The following table reconciles diluted earnings per common share under U.S. GAAP to EPS-diluted-adjusted (dollars in millions, except per share amounts):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71"/>
        </w:trPr>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ind w:left="160"/>
              <w:spacing w:after="0"/>
              <w:rPr>
                <w:sz w:val="20"/>
                <w:szCs w:val="20"/>
                <w:color w:val="auto"/>
              </w:rPr>
            </w:pPr>
            <w:r>
              <w:rPr>
                <w:rFonts w:ascii="Arial" w:cs="Arial" w:eastAsia="Arial" w:hAnsi="Arial"/>
                <w:sz w:val="13"/>
                <w:szCs w:val="13"/>
                <w:b w:val="1"/>
                <w:bCs w:val="1"/>
                <w:color w:val="auto"/>
              </w:rPr>
              <w:t>September 30, 2024</w:t>
            </w:r>
          </w:p>
        </w:tc>
        <w:tc>
          <w:tcPr>
            <w:tcW w:w="140" w:type="dxa"/>
            <w:vAlign w:val="bottom"/>
          </w:tcPr>
          <w:p>
            <w:pPr>
              <w:spacing w:after="0"/>
              <w:rPr>
                <w:sz w:val="14"/>
                <w:szCs w:val="14"/>
                <w:color w:val="auto"/>
              </w:rPr>
            </w:pPr>
          </w:p>
        </w:tc>
        <w:tc>
          <w:tcPr>
            <w:tcW w:w="1640" w:type="dxa"/>
            <w:vAlign w:val="bottom"/>
            <w:gridSpan w:val="4"/>
          </w:tcPr>
          <w:p>
            <w:pPr>
              <w:ind w:left="160"/>
              <w:spacing w:after="0"/>
              <w:rPr>
                <w:sz w:val="20"/>
                <w:szCs w:val="20"/>
                <w:color w:val="auto"/>
              </w:rPr>
            </w:pPr>
            <w:r>
              <w:rPr>
                <w:rFonts w:ascii="Arial" w:cs="Arial" w:eastAsia="Arial" w:hAnsi="Arial"/>
                <w:sz w:val="13"/>
                <w:szCs w:val="13"/>
                <w:b w:val="1"/>
                <w:bCs w:val="1"/>
                <w:color w:val="auto"/>
              </w:rPr>
              <w:t>September 30, 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ind w:left="160"/>
              <w:spacing w:after="0"/>
              <w:rPr>
                <w:sz w:val="20"/>
                <w:szCs w:val="20"/>
                <w:color w:val="auto"/>
              </w:rPr>
            </w:pPr>
            <w:r>
              <w:rPr>
                <w:rFonts w:ascii="Arial" w:cs="Arial" w:eastAsia="Arial" w:hAnsi="Arial"/>
                <w:sz w:val="13"/>
                <w:szCs w:val="13"/>
                <w:b w:val="1"/>
                <w:bCs w:val="1"/>
                <w:color w:val="auto"/>
              </w:rPr>
              <w:t>September 30, 2024</w:t>
            </w:r>
          </w:p>
        </w:tc>
        <w:tc>
          <w:tcPr>
            <w:tcW w:w="140" w:type="dxa"/>
            <w:vAlign w:val="bottom"/>
          </w:tcPr>
          <w:p>
            <w:pPr>
              <w:spacing w:after="0"/>
              <w:rPr>
                <w:sz w:val="14"/>
                <w:szCs w:val="14"/>
                <w:color w:val="auto"/>
              </w:rPr>
            </w:pPr>
          </w:p>
        </w:tc>
        <w:tc>
          <w:tcPr>
            <w:tcW w:w="1640" w:type="dxa"/>
            <w:vAlign w:val="bottom"/>
            <w:gridSpan w:val="4"/>
          </w:tcPr>
          <w:p>
            <w:pPr>
              <w:ind w:left="160"/>
              <w:spacing w:after="0"/>
              <w:rPr>
                <w:sz w:val="20"/>
                <w:szCs w:val="20"/>
                <w:color w:val="auto"/>
              </w:rPr>
            </w:pPr>
            <w:r>
              <w:rPr>
                <w:rFonts w:ascii="Arial" w:cs="Arial" w:eastAsia="Arial" w:hAnsi="Arial"/>
                <w:sz w:val="13"/>
                <w:szCs w:val="13"/>
                <w:b w:val="1"/>
                <w:bCs w:val="1"/>
                <w:color w:val="auto"/>
              </w:rPr>
              <w:t>September 30, 2023</w:t>
            </w:r>
          </w:p>
        </w:tc>
      </w:tr>
      <w:tr>
        <w:trPr>
          <w:trHeight w:val="169"/>
        </w:trPr>
        <w:tc>
          <w:tcPr>
            <w:tcW w:w="37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45"/>
              <w:spacing w:after="0"/>
              <w:rPr>
                <w:sz w:val="20"/>
                <w:szCs w:val="20"/>
                <w:color w:val="auto"/>
              </w:rPr>
            </w:pPr>
            <w:r>
              <w:rPr>
                <w:rFonts w:ascii="Arial" w:cs="Arial" w:eastAsia="Arial" w:hAnsi="Arial"/>
                <w:sz w:val="13"/>
                <w:szCs w:val="13"/>
                <w:b w:val="1"/>
                <w:bCs w:val="1"/>
                <w:color w:val="auto"/>
                <w:w w:val="95"/>
              </w:rPr>
              <w:t>Per Share</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Per Share</w:t>
            </w:r>
          </w:p>
        </w:tc>
      </w:tr>
      <w:tr>
        <w:trPr>
          <w:trHeight w:val="211"/>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center"/>
              <w:ind w:left="205"/>
              <w:spacing w:after="0"/>
              <w:rPr>
                <w:sz w:val="20"/>
                <w:szCs w:val="20"/>
                <w:color w:val="auto"/>
              </w:rPr>
            </w:pPr>
            <w:r>
              <w:rPr>
                <w:rFonts w:ascii="Arial" w:cs="Arial" w:eastAsia="Arial" w:hAnsi="Arial"/>
                <w:sz w:val="16"/>
                <w:szCs w:val="16"/>
                <w:color w:val="auto"/>
              </w:rPr>
              <w:t>2.68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3,038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center"/>
              <w:ind w:left="183"/>
              <w:spacing w:after="0"/>
              <w:rPr>
                <w:sz w:val="20"/>
                <w:szCs w:val="20"/>
                <w:color w:val="auto"/>
              </w:rPr>
            </w:pPr>
            <w:r>
              <w:rPr>
                <w:rFonts w:ascii="Arial" w:cs="Arial" w:eastAsia="Arial" w:hAnsi="Arial"/>
                <w:sz w:val="16"/>
                <w:szCs w:val="16"/>
                <w:color w:val="auto"/>
                <w:w w:val="96"/>
              </w:rPr>
              <w:t>2.20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8,914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7.77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7,946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center"/>
              <w:ind w:left="203"/>
              <w:spacing w:after="0"/>
              <w:rPr>
                <w:sz w:val="20"/>
                <w:szCs w:val="20"/>
                <w:color w:val="auto"/>
              </w:rPr>
            </w:pPr>
            <w:r>
              <w:rPr>
                <w:rFonts w:ascii="Arial" w:cs="Arial" w:eastAsia="Arial" w:hAnsi="Arial"/>
                <w:sz w:val="16"/>
                <w:szCs w:val="16"/>
                <w:color w:val="auto"/>
              </w:rPr>
              <w:t>5.72</w:t>
            </w: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Adjustments(a)</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205"/>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183"/>
              <w:spacing w:after="0"/>
              <w:rPr>
                <w:sz w:val="20"/>
                <w:szCs w:val="20"/>
                <w:color w:val="auto"/>
              </w:rPr>
            </w:pPr>
            <w:r>
              <w:rPr>
                <w:rFonts w:ascii="Arial" w:cs="Arial" w:eastAsia="Arial" w:hAnsi="Arial"/>
                <w:sz w:val="16"/>
                <w:szCs w:val="16"/>
                <w:color w:val="auto"/>
                <w:w w:val="96"/>
              </w:rPr>
              <w:t>0.09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6"/>
                <w:szCs w:val="16"/>
                <w:color w:val="auto"/>
              </w:rPr>
              <w:t>1,274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5"/>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left="203"/>
              <w:spacing w:after="0"/>
              <w:rPr>
                <w:sz w:val="20"/>
                <w:szCs w:val="20"/>
                <w:color w:val="auto"/>
              </w:rPr>
            </w:pPr>
            <w:r>
              <w:rPr>
                <w:rFonts w:ascii="Arial" w:cs="Arial" w:eastAsia="Arial" w:hAnsi="Arial"/>
                <w:sz w:val="16"/>
                <w:szCs w:val="16"/>
                <w:color w:val="auto"/>
              </w:rPr>
              <w:t>0.91</w:t>
            </w:r>
          </w:p>
        </w:tc>
      </w:tr>
      <w:tr>
        <w:trPr>
          <w:trHeight w:val="217"/>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 on adjustments(b)</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185"/>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163"/>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183"/>
              <w:spacing w:after="0"/>
              <w:rPr>
                <w:sz w:val="20"/>
                <w:szCs w:val="20"/>
                <w:color w:val="auto"/>
              </w:rPr>
            </w:pPr>
            <w:r>
              <w:rPr>
                <w:rFonts w:ascii="Arial" w:cs="Arial" w:eastAsia="Arial" w:hAnsi="Arial"/>
                <w:sz w:val="16"/>
                <w:szCs w:val="16"/>
                <w:color w:val="auto"/>
              </w:rPr>
              <w:t>(0.23)</w:t>
            </w:r>
          </w:p>
        </w:tc>
      </w:tr>
      <w:tr>
        <w:trPr>
          <w:trHeight w:val="210"/>
        </w:trPr>
        <w:tc>
          <w:tcPr>
            <w:tcW w:w="3760" w:type="dxa"/>
            <w:vAlign w:val="bottom"/>
          </w:tcPr>
          <w:p>
            <w:pPr>
              <w:ind w:left="20"/>
              <w:spacing w:after="0"/>
              <w:rPr>
                <w:sz w:val="20"/>
                <w:szCs w:val="20"/>
                <w:color w:val="auto"/>
              </w:rPr>
            </w:pPr>
            <w:r>
              <w:rPr>
                <w:rFonts w:ascii="Arial" w:cs="Arial" w:eastAsia="Arial" w:hAnsi="Arial"/>
                <w:sz w:val="16"/>
                <w:szCs w:val="16"/>
                <w:color w:val="auto"/>
              </w:rPr>
              <w:t>EPS-diluted-adjusted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center"/>
              <w:ind w:left="205"/>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3,136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center"/>
              <w:ind w:left="183"/>
              <w:spacing w:after="0"/>
              <w:rPr>
                <w:sz w:val="20"/>
                <w:szCs w:val="20"/>
                <w:color w:val="auto"/>
              </w:rPr>
            </w:pPr>
            <w:r>
              <w:rPr>
                <w:rFonts w:ascii="Arial" w:cs="Arial" w:eastAsia="Arial" w:hAnsi="Arial"/>
                <w:sz w:val="16"/>
                <w:szCs w:val="16"/>
                <w:color w:val="auto"/>
                <w:w w:val="96"/>
              </w:rPr>
              <w:t>2.28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9,898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8,889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center"/>
              <w:ind w:left="203"/>
              <w:spacing w:after="0"/>
              <w:rPr>
                <w:sz w:val="20"/>
                <w:szCs w:val="20"/>
                <w:color w:val="auto"/>
              </w:rPr>
            </w:pPr>
            <w:r>
              <w:rPr>
                <w:rFonts w:ascii="Arial" w:cs="Arial" w:eastAsia="Arial" w:hAnsi="Arial"/>
                <w:sz w:val="16"/>
                <w:szCs w:val="16"/>
                <w:color w:val="auto"/>
              </w:rPr>
              <w:t>6.40</w:t>
            </w:r>
          </w:p>
        </w:tc>
      </w:tr>
      <w:tr>
        <w:trPr>
          <w:trHeight w:val="20"/>
        </w:trPr>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3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under U.S. GAAP to ETR-adjusted (dollars in millions):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Three Months Ended</w:t>
            </w: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95"/>
              </w:rPr>
              <w:t>September 30, 2024</w:t>
            </w:r>
          </w:p>
        </w:tc>
        <w:tc>
          <w:tcPr>
            <w:tcW w:w="140" w:type="dxa"/>
            <w:vAlign w:val="bottom"/>
          </w:tcPr>
          <w:p>
            <w:pPr>
              <w:spacing w:after="0"/>
              <w:rPr>
                <w:sz w:val="14"/>
                <w:szCs w:val="14"/>
                <w:color w:val="auto"/>
              </w:rPr>
            </w:pPr>
          </w:p>
        </w:tc>
        <w:tc>
          <w:tcPr>
            <w:tcW w:w="2160" w:type="dxa"/>
            <w:vAlign w:val="bottom"/>
            <w:gridSpan w:val="6"/>
          </w:tcPr>
          <w:p>
            <w:pPr>
              <w:jc w:val="right"/>
              <w:ind w:right="497"/>
              <w:spacing w:after="0"/>
              <w:rPr>
                <w:sz w:val="20"/>
                <w:szCs w:val="20"/>
                <w:color w:val="auto"/>
              </w:rPr>
            </w:pPr>
            <w:r>
              <w:rPr>
                <w:rFonts w:ascii="Arial" w:cs="Arial" w:eastAsia="Arial" w:hAnsi="Arial"/>
                <w:sz w:val="13"/>
                <w:szCs w:val="13"/>
                <w:b w:val="1"/>
                <w:bCs w:val="1"/>
                <w:color w:val="auto"/>
              </w:rPr>
              <w:t>September 30, 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7"/>
          </w:tcPr>
          <w:p>
            <w:pPr>
              <w:jc w:val="center"/>
              <w:ind w:right="280"/>
              <w:spacing w:after="0"/>
              <w:rPr>
                <w:sz w:val="20"/>
                <w:szCs w:val="20"/>
                <w:color w:val="auto"/>
              </w:rPr>
            </w:pPr>
            <w:r>
              <w:rPr>
                <w:rFonts w:ascii="Arial" w:cs="Arial" w:eastAsia="Arial" w:hAnsi="Arial"/>
                <w:sz w:val="13"/>
                <w:szCs w:val="13"/>
                <w:b w:val="1"/>
                <w:bCs w:val="1"/>
                <w:color w:val="auto"/>
                <w:w w:val="97"/>
              </w:rPr>
              <w:t>September 30, 2024</w:t>
            </w:r>
          </w:p>
        </w:tc>
        <w:tc>
          <w:tcPr>
            <w:tcW w:w="160" w:type="dxa"/>
            <w:vAlign w:val="bottom"/>
          </w:tcPr>
          <w:p>
            <w:pPr>
              <w:spacing w:after="0"/>
              <w:rPr>
                <w:sz w:val="14"/>
                <w:szCs w:val="14"/>
                <w:color w:val="auto"/>
              </w:rPr>
            </w:pPr>
          </w:p>
        </w:tc>
        <w:tc>
          <w:tcPr>
            <w:tcW w:w="2280" w:type="dxa"/>
            <w:vAlign w:val="bottom"/>
            <w:gridSpan w:val="6"/>
          </w:tcPr>
          <w:p>
            <w:pPr>
              <w:jc w:val="center"/>
              <w:ind w:right="77"/>
              <w:spacing w:after="0"/>
              <w:rPr>
                <w:sz w:val="20"/>
                <w:szCs w:val="20"/>
                <w:color w:val="auto"/>
              </w:rPr>
            </w:pPr>
            <w:r>
              <w:rPr>
                <w:rFonts w:ascii="Arial" w:cs="Arial" w:eastAsia="Arial" w:hAnsi="Arial"/>
                <w:sz w:val="13"/>
                <w:szCs w:val="13"/>
                <w:b w:val="1"/>
                <w:bCs w:val="1"/>
                <w:color w:val="auto"/>
                <w:w w:val="97"/>
              </w:rPr>
              <w:t>September 30, 2023</w:t>
            </w:r>
          </w:p>
        </w:tc>
        <w:tc>
          <w:tcPr>
            <w:tcW w:w="0" w:type="dxa"/>
            <w:vAlign w:val="bottom"/>
          </w:tcPr>
          <w:p>
            <w:pPr>
              <w:spacing w:after="0"/>
              <w:rPr>
                <w:sz w:val="1"/>
                <w:szCs w:val="1"/>
                <w:color w:val="auto"/>
              </w:rPr>
            </w:pPr>
          </w:p>
        </w:tc>
      </w:tr>
      <w:tr>
        <w:trPr>
          <w:trHeight w:val="104"/>
        </w:trPr>
        <w:tc>
          <w:tcPr>
            <w:tcW w:w="1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8"/>
              </w:rPr>
              <w:t>Income</w:t>
            </w:r>
          </w:p>
        </w:tc>
        <w:tc>
          <w:tcPr>
            <w:tcW w:w="6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1"/>
                <w:szCs w:val="11"/>
                <w:b w:val="1"/>
                <w:bCs w:val="1"/>
                <w:color w:val="auto"/>
                <w:w w:val="97"/>
              </w:rPr>
              <w:t>Income tax</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jc w:val="center"/>
              <w:ind w:right="240"/>
              <w:spacing w:after="0" w:line="104" w:lineRule="exact"/>
              <w:rPr>
                <w:sz w:val="20"/>
                <w:szCs w:val="20"/>
                <w:color w:val="auto"/>
              </w:rPr>
            </w:pPr>
            <w:r>
              <w:rPr>
                <w:rFonts w:ascii="Arial" w:cs="Arial" w:eastAsia="Arial" w:hAnsi="Arial"/>
                <w:sz w:val="11"/>
                <w:szCs w:val="11"/>
                <w:b w:val="1"/>
                <w:bCs w:val="1"/>
                <w:color w:val="auto"/>
                <w:w w:val="98"/>
              </w:rPr>
              <w:t>Income</w:t>
            </w:r>
          </w:p>
        </w:tc>
        <w:tc>
          <w:tcPr>
            <w:tcW w:w="6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1"/>
                <w:szCs w:val="11"/>
                <w:b w:val="1"/>
                <w:bCs w:val="1"/>
                <w:color w:val="auto"/>
              </w:rPr>
              <w:t>Income tax</w:t>
            </w: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1"/>
                <w:szCs w:val="11"/>
                <w:b w:val="1"/>
                <w:bCs w:val="1"/>
                <w:color w:val="auto"/>
                <w:w w:val="97"/>
              </w:rPr>
              <w:t>Income tax</w:t>
            </w: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1"/>
                <w:szCs w:val="11"/>
                <w:b w:val="1"/>
                <w:bCs w:val="1"/>
                <w:color w:val="auto"/>
                <w:w w:val="97"/>
              </w:rPr>
              <w:t>Income tax</w:t>
            </w: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8"/>
              </w:rPr>
              <w:t>Effective tax</w:t>
            </w:r>
          </w:p>
        </w:tc>
        <w:tc>
          <w:tcPr>
            <w:tcW w:w="140" w:type="dxa"/>
            <w:vAlign w:val="bottom"/>
          </w:tcPr>
          <w:p>
            <w:pPr>
              <w:spacing w:after="0"/>
              <w:rPr>
                <w:sz w:val="9"/>
                <w:szCs w:val="9"/>
                <w:color w:val="auto"/>
              </w:rPr>
            </w:pPr>
          </w:p>
        </w:tc>
        <w:tc>
          <w:tcPr>
            <w:tcW w:w="66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rPr>
              <w:t>before</w:t>
            </w:r>
          </w:p>
        </w:tc>
        <w:tc>
          <w:tcPr>
            <w:tcW w:w="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Effective tax</w:t>
            </w:r>
          </w:p>
        </w:tc>
        <w:tc>
          <w:tcPr>
            <w:tcW w:w="8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Income before</w:t>
            </w: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Effective tax</w:t>
            </w:r>
          </w:p>
        </w:tc>
        <w:tc>
          <w:tcPr>
            <w:tcW w:w="9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Income before</w:t>
            </w: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Effective tax</w:t>
            </w: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rPr>
              <w:t>before</w:t>
            </w:r>
          </w:p>
        </w:tc>
        <w:tc>
          <w:tcPr>
            <w:tcW w:w="64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9"/>
              </w:rPr>
              <w:t>expense</w:t>
            </w: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8"/>
              </w:rPr>
              <w:t>income</w:t>
            </w:r>
          </w:p>
        </w:tc>
        <w:tc>
          <w:tcPr>
            <w:tcW w:w="640" w:type="dxa"/>
            <w:vAlign w:val="bottom"/>
            <w:gridSpan w:val="2"/>
          </w:tcPr>
          <w:p>
            <w:pPr>
              <w:jc w:val="right"/>
              <w:ind w:right="19"/>
              <w:spacing w:after="0" w:line="108" w:lineRule="exact"/>
              <w:rPr>
                <w:sz w:val="20"/>
                <w:szCs w:val="20"/>
                <w:color w:val="auto"/>
              </w:rPr>
            </w:pPr>
            <w:r>
              <w:rPr>
                <w:rFonts w:ascii="Arial" w:cs="Arial" w:eastAsia="Arial" w:hAnsi="Arial"/>
                <w:sz w:val="11"/>
                <w:szCs w:val="11"/>
                <w:b w:val="1"/>
                <w:bCs w:val="1"/>
                <w:color w:val="auto"/>
              </w:rPr>
              <w:t>expense</w:t>
            </w: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center"/>
              <w:ind w:right="50"/>
              <w:spacing w:after="0" w:line="108" w:lineRule="exact"/>
              <w:rPr>
                <w:sz w:val="20"/>
                <w:szCs w:val="20"/>
                <w:color w:val="auto"/>
              </w:rPr>
            </w:pPr>
            <w:r>
              <w:rPr>
                <w:rFonts w:ascii="Arial" w:cs="Arial" w:eastAsia="Arial" w:hAnsi="Arial"/>
                <w:sz w:val="11"/>
                <w:szCs w:val="11"/>
                <w:b w:val="1"/>
                <w:bCs w:val="1"/>
                <w:color w:val="auto"/>
                <w:w w:val="95"/>
              </w:rPr>
              <w:t>expense</w:t>
            </w: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center"/>
              <w:ind w:right="70"/>
              <w:spacing w:after="0" w:line="108" w:lineRule="exact"/>
              <w:rPr>
                <w:sz w:val="20"/>
                <w:szCs w:val="20"/>
                <w:color w:val="auto"/>
              </w:rPr>
            </w:pPr>
            <w:r>
              <w:rPr>
                <w:rFonts w:ascii="Arial" w:cs="Arial" w:eastAsia="Arial" w:hAnsi="Arial"/>
                <w:sz w:val="11"/>
                <w:szCs w:val="11"/>
                <w:b w:val="1"/>
                <w:bCs w:val="1"/>
                <w:color w:val="auto"/>
                <w:w w:val="99"/>
              </w:rPr>
              <w:t>expense</w:t>
            </w: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income taxes</w:t>
            </w:r>
          </w:p>
        </w:tc>
        <w:tc>
          <w:tcPr>
            <w:tcW w:w="640" w:type="dxa"/>
            <w:vAlign w:val="bottom"/>
            <w:gridSpan w:val="2"/>
          </w:tcPr>
          <w:p>
            <w:pPr>
              <w:jc w:val="center"/>
              <w:spacing w:after="0"/>
              <w:rPr>
                <w:sz w:val="20"/>
                <w:szCs w:val="20"/>
                <w:color w:val="auto"/>
              </w:rPr>
            </w:pPr>
            <w:r>
              <w:rPr>
                <w:rFonts w:ascii="Arial" w:cs="Arial" w:eastAsia="Arial" w:hAnsi="Arial"/>
                <w:sz w:val="11"/>
                <w:szCs w:val="11"/>
                <w:b w:val="1"/>
                <w:bCs w:val="1"/>
                <w:color w:val="auto"/>
              </w:rPr>
              <w:t>(benefit)</w:t>
            </w:r>
          </w:p>
        </w:tc>
        <w:tc>
          <w:tcPr>
            <w:tcW w:w="10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rate</w:t>
            </w:r>
          </w:p>
        </w:tc>
        <w:tc>
          <w:tcPr>
            <w:tcW w:w="140" w:type="dxa"/>
            <w:vAlign w:val="bottom"/>
          </w:tcPr>
          <w:p>
            <w:pPr>
              <w:spacing w:after="0"/>
              <w:rPr>
                <w:sz w:val="13"/>
                <w:szCs w:val="13"/>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taxes</w:t>
            </w:r>
          </w:p>
        </w:tc>
        <w:tc>
          <w:tcPr>
            <w:tcW w:w="640" w:type="dxa"/>
            <w:vAlign w:val="bottom"/>
            <w:gridSpan w:val="2"/>
          </w:tcPr>
          <w:p>
            <w:pPr>
              <w:jc w:val="right"/>
              <w:ind w:right="39"/>
              <w:spacing w:after="0"/>
              <w:rPr>
                <w:sz w:val="20"/>
                <w:szCs w:val="20"/>
                <w:color w:val="auto"/>
              </w:rPr>
            </w:pPr>
            <w:r>
              <w:rPr>
                <w:rFonts w:ascii="Arial" w:cs="Arial" w:eastAsia="Arial" w:hAnsi="Arial"/>
                <w:sz w:val="11"/>
                <w:szCs w:val="11"/>
                <w:b w:val="1"/>
                <w:bCs w:val="1"/>
                <w:color w:val="auto"/>
              </w:rPr>
              <w:t>(benefit)</w:t>
            </w:r>
          </w:p>
        </w:tc>
        <w:tc>
          <w:tcPr>
            <w:tcW w:w="10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rate</w:t>
            </w: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income taxes</w:t>
            </w:r>
          </w:p>
        </w:tc>
        <w:tc>
          <w:tcPr>
            <w:tcW w:w="120" w:type="dxa"/>
            <w:vAlign w:val="bottom"/>
          </w:tcPr>
          <w:p>
            <w:pPr>
              <w:spacing w:after="0"/>
              <w:rPr>
                <w:sz w:val="13"/>
                <w:szCs w:val="13"/>
                <w:color w:val="auto"/>
              </w:rPr>
            </w:pPr>
          </w:p>
        </w:tc>
        <w:tc>
          <w:tcPr>
            <w:tcW w:w="580" w:type="dxa"/>
            <w:vAlign w:val="bottom"/>
          </w:tcPr>
          <w:p>
            <w:pPr>
              <w:jc w:val="center"/>
              <w:ind w:right="50"/>
              <w:spacing w:after="0"/>
              <w:rPr>
                <w:sz w:val="20"/>
                <w:szCs w:val="20"/>
                <w:color w:val="auto"/>
              </w:rPr>
            </w:pPr>
            <w:r>
              <w:rPr>
                <w:rFonts w:ascii="Arial" w:cs="Arial" w:eastAsia="Arial" w:hAnsi="Arial"/>
                <w:sz w:val="11"/>
                <w:szCs w:val="11"/>
                <w:b w:val="1"/>
                <w:bCs w:val="1"/>
                <w:color w:val="auto"/>
                <w:w w:val="96"/>
              </w:rPr>
              <w:t>(benefit)</w:t>
            </w:r>
          </w:p>
        </w:tc>
        <w:tc>
          <w:tcPr>
            <w:tcW w:w="10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rate</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income taxes</w:t>
            </w:r>
          </w:p>
        </w:tc>
        <w:tc>
          <w:tcPr>
            <w:tcW w:w="120" w:type="dxa"/>
            <w:vAlign w:val="bottom"/>
          </w:tcPr>
          <w:p>
            <w:pPr>
              <w:spacing w:after="0"/>
              <w:rPr>
                <w:sz w:val="13"/>
                <w:szCs w:val="13"/>
                <w:color w:val="auto"/>
              </w:rPr>
            </w:pPr>
          </w:p>
        </w:tc>
        <w:tc>
          <w:tcPr>
            <w:tcW w:w="580" w:type="dxa"/>
            <w:vAlign w:val="bottom"/>
          </w:tcPr>
          <w:p>
            <w:pPr>
              <w:jc w:val="center"/>
              <w:ind w:right="50"/>
              <w:spacing w:after="0"/>
              <w:rPr>
                <w:sz w:val="20"/>
                <w:szCs w:val="20"/>
                <w:color w:val="auto"/>
              </w:rPr>
            </w:pPr>
            <w:r>
              <w:rPr>
                <w:rFonts w:ascii="Arial" w:cs="Arial" w:eastAsia="Arial" w:hAnsi="Arial"/>
                <w:sz w:val="11"/>
                <w:szCs w:val="11"/>
                <w:b w:val="1"/>
                <w:bCs w:val="1"/>
                <w:color w:val="auto"/>
                <w:w w:val="96"/>
              </w:rPr>
              <w:t>(benefit)</w:t>
            </w:r>
          </w:p>
        </w:tc>
        <w:tc>
          <w:tcPr>
            <w:tcW w:w="100" w:type="dxa"/>
            <w:vAlign w:val="bottom"/>
          </w:tcPr>
          <w:p>
            <w:pPr>
              <w:spacing w:after="0"/>
              <w:rPr>
                <w:sz w:val="13"/>
                <w:szCs w:val="13"/>
                <w:color w:val="auto"/>
              </w:rPr>
            </w:pPr>
          </w:p>
        </w:tc>
        <w:tc>
          <w:tcPr>
            <w:tcW w:w="740" w:type="dxa"/>
            <w:vAlign w:val="bottom"/>
          </w:tcPr>
          <w:p>
            <w:pPr>
              <w:jc w:val="right"/>
              <w:ind w:right="197"/>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216"/>
        </w:trPr>
        <w:tc>
          <w:tcPr>
            <w:tcW w:w="1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3,717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6"/>
                <w:szCs w:val="16"/>
                <w:color w:val="auto"/>
              </w:rPr>
              <w:t>3,464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11,076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2,238</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20.2 %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1,421</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0" w:type="dxa"/>
            <w:vAlign w:val="bottom"/>
          </w:tcPr>
          <w:p>
            <w:pPr>
              <w:spacing w:after="0"/>
              <w:rPr>
                <w:sz w:val="1"/>
                <w:szCs w:val="1"/>
                <w:color w:val="auto"/>
              </w:rPr>
            </w:pPr>
          </w:p>
        </w:tc>
      </w:tr>
      <w:tr>
        <w:trPr>
          <w:trHeight w:val="215"/>
        </w:trPr>
        <w:tc>
          <w:tcPr>
            <w:tcW w:w="1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Adjustments(a)</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ETR-adjusted</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4,135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19.5 %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6"/>
                <w:szCs w:val="16"/>
                <w:color w:val="auto"/>
              </w:rPr>
              <w:t>3,587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12,418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2,528</w:t>
            </w:r>
          </w:p>
        </w:tc>
        <w:tc>
          <w:tcPr>
            <w:tcW w:w="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20.4 %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1,745</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jc w:val="both"/>
        <w:ind w:left="340" w:right="20" w:hanging="332"/>
        <w:spacing w:after="0" w:line="262" w:lineRule="auto"/>
        <w:tabs>
          <w:tab w:leader="none" w:pos="3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304"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6"/>
          <w:szCs w:val="16"/>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4"/>
          </w:tcPr>
          <w:p>
            <w:pPr>
              <w:ind w:left="980"/>
              <w:spacing w:after="0"/>
              <w:rPr>
                <w:sz w:val="20"/>
                <w:szCs w:val="20"/>
                <w:color w:val="auto"/>
              </w:rPr>
            </w:pPr>
            <w:r>
              <w:rPr>
                <w:rFonts w:ascii="Arial" w:cs="Arial" w:eastAsia="Arial" w:hAnsi="Arial"/>
                <w:sz w:val="13"/>
                <w:szCs w:val="13"/>
                <w:b w:val="1"/>
                <w:bCs w:val="1"/>
                <w:color w:val="auto"/>
              </w:rPr>
              <w:t>Four Quarters Ended</w:t>
            </w:r>
          </w:p>
        </w:tc>
      </w:tr>
      <w:tr>
        <w:trPr>
          <w:trHeight w:val="171"/>
        </w:trPr>
        <w:tc>
          <w:tcPr>
            <w:tcW w:w="7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2024</w:t>
            </w:r>
          </w:p>
        </w:tc>
        <w:tc>
          <w:tcPr>
            <w:tcW w:w="20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Arial" w:cs="Arial" w:eastAsia="Arial" w:hAnsi="Arial"/>
                <w:sz w:val="13"/>
                <w:szCs w:val="13"/>
                <w:b w:val="1"/>
                <w:bCs w:val="1"/>
                <w:color w:val="auto"/>
              </w:rPr>
              <w:t>September 30, 2023</w:t>
            </w:r>
          </w:p>
        </w:tc>
      </w:tr>
      <w:tr>
        <w:trPr>
          <w:trHeight w:val="211"/>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rPr>
              <w:t>11.1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10.0</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Average equity(a)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26"/>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Pr>
          <w:p>
            <w:pPr>
              <w:ind w:left="1040"/>
              <w:spacing w:after="0"/>
              <w:rPr>
                <w:sz w:val="20"/>
                <w:szCs w:val="20"/>
                <w:color w:val="auto"/>
              </w:rPr>
            </w:pPr>
            <w:r>
              <w:rPr>
                <w:rFonts w:ascii="Arial" w:cs="Arial" w:eastAsia="Arial" w:hAnsi="Arial"/>
                <w:sz w:val="16"/>
                <w:szCs w:val="16"/>
                <w:color w:val="auto"/>
              </w:rPr>
              <w:t>72.8</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13.8 %</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Includes equity of noncontrolling interests where the corresponding earnings (loss) are included in Net income attributable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61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rPr>
              <w:t>Four Quarters Ended</w:t>
            </w:r>
          </w:p>
        </w:tc>
      </w:tr>
      <w:tr>
        <w:trPr>
          <w:trHeight w:val="196"/>
        </w:trPr>
        <w:tc>
          <w:tcPr>
            <w:tcW w:w="7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Pr>
          <w:p>
            <w:pPr>
              <w:spacing w:after="0"/>
              <w:rPr>
                <w:sz w:val="17"/>
                <w:szCs w:val="17"/>
                <w:color w:val="auto"/>
              </w:rPr>
            </w:pPr>
          </w:p>
        </w:tc>
        <w:tc>
          <w:tcPr>
            <w:tcW w:w="1600" w:type="dxa"/>
            <w:vAlign w:val="bottom"/>
          </w:tcPr>
          <w:p>
            <w:pPr>
              <w:jc w:val="right"/>
              <w:ind w:right="140"/>
              <w:spacing w:after="0"/>
              <w:rPr>
                <w:sz w:val="20"/>
                <w:szCs w:val="20"/>
                <w:color w:val="auto"/>
              </w:rPr>
            </w:pPr>
            <w:r>
              <w:rPr>
                <w:rFonts w:ascii="Arial" w:cs="Arial" w:eastAsia="Arial" w:hAnsi="Arial"/>
                <w:sz w:val="14"/>
                <w:szCs w:val="14"/>
                <w:b w:val="1"/>
                <w:bCs w:val="1"/>
                <w:color w:val="auto"/>
              </w:rPr>
              <w:t>September 30, 2023</w:t>
            </w:r>
          </w:p>
        </w:tc>
      </w:tr>
      <w:tr>
        <w:trPr>
          <w:trHeight w:val="211"/>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EBIT-adjusted(a)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14.2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14.4</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Average equity(b)</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21"/>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20"/>
              <w:spacing w:after="0"/>
              <w:rPr>
                <w:sz w:val="20"/>
                <w:szCs w:val="20"/>
                <w:color w:val="auto"/>
              </w:rPr>
            </w:pPr>
            <w:r>
              <w:rPr>
                <w:rFonts w:ascii="Arial" w:cs="Arial" w:eastAsia="Arial" w:hAnsi="Arial"/>
                <w:sz w:val="16"/>
                <w:szCs w:val="16"/>
                <w:color w:val="auto"/>
              </w:rPr>
              <w:t>72.8</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Average automotive debt and interest liabilities (excluding finance leases)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16.6</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Add: Average automotive net pension &amp; OPEB liability</w:t>
            </w:r>
          </w:p>
        </w:tc>
        <w:tc>
          <w:tcPr>
            <w:tcW w:w="160" w:type="dxa"/>
            <w:vAlign w:val="bottom"/>
          </w:tcPr>
          <w:p>
            <w:pPr>
              <w:spacing w:after="0"/>
              <w:rPr>
                <w:sz w:val="18"/>
                <w:szCs w:val="18"/>
                <w:color w:val="auto"/>
              </w:rPr>
            </w:pPr>
          </w:p>
        </w:tc>
        <w:tc>
          <w:tcPr>
            <w:tcW w:w="1600" w:type="dxa"/>
            <w:vAlign w:val="bottom"/>
          </w:tcPr>
          <w:p>
            <w:pPr>
              <w:jc w:val="right"/>
              <w:ind w:right="121"/>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120"/>
              <w:spacing w:after="0"/>
              <w:rPr>
                <w:sz w:val="20"/>
                <w:szCs w:val="20"/>
                <w:color w:val="auto"/>
              </w:rPr>
            </w:pPr>
            <w:r>
              <w:rPr>
                <w:rFonts w:ascii="Arial" w:cs="Arial" w:eastAsia="Arial" w:hAnsi="Arial"/>
                <w:sz w:val="16"/>
                <w:szCs w:val="16"/>
                <w:color w:val="auto"/>
              </w:rPr>
              <w:t>7.5</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Average automotive and other net income tax asset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(20.5)</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ROIC-adjusted average net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76.4</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ROIC-adjusted</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Refer to the reconciliation of Net income attributable to stockholders under U.S. GAAP to EBIT-adjusted and segment profit (loss) for adjustment details.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239" w:lineRule="exact"/>
        <w:rPr>
          <w:sz w:val="20"/>
          <w:szCs w:val="20"/>
          <w:color w:val="auto"/>
        </w:rPr>
      </w:pPr>
    </w:p>
    <w:p>
      <w:pPr>
        <w:ind w:right="380" w:firstLine="162"/>
        <w:spacing w:after="0" w:line="286" w:lineRule="auto"/>
        <w:rPr>
          <w:sz w:val="20"/>
          <w:szCs w:val="20"/>
          <w:color w:val="auto"/>
        </w:rPr>
      </w:pPr>
      <w:r>
        <w:rPr>
          <w:rFonts w:ascii="Arial" w:cs="Arial" w:eastAsia="Arial" w:hAnsi="Arial"/>
          <w:sz w:val="16"/>
          <w:szCs w:val="16"/>
          <w:color w:val="auto"/>
        </w:rPr>
        <w:t>The following table reconciles Net automotive cash provided by operating activities under U.S. GAAP to adjusted automotive free cash flow (dollars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Borders>
              <w:bottom w:val="single" w:sz="8" w:color="auto"/>
            </w:tcBorders>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2024</w:t>
            </w: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2023</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2024</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automotive cash provided by operating activities</w:t>
            </w:r>
          </w:p>
        </w:tc>
        <w:tc>
          <w:tcPr>
            <w:tcW w:w="44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7,863</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6,794</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19,174</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16,140</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(7,495)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(7,072)</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Buick dealer strategy</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Add: Restructuring actions</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Employee separation costs</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Add: GMI plant wind down</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automotive free cash flow</w:t>
            </w:r>
          </w:p>
        </w:tc>
        <w:tc>
          <w:tcPr>
            <w:tcW w:w="44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61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48" w:lineRule="exact"/>
        <w:rPr>
          <w:sz w:val="20"/>
          <w:szCs w:val="20"/>
          <w:color w:val="auto"/>
        </w:rPr>
      </w:pPr>
    </w:p>
    <w:p>
      <w:pPr>
        <w:jc w:val="both"/>
        <w:ind w:firstLine="162"/>
        <w:spacing w:after="0" w:line="265" w:lineRule="auto"/>
        <w:rPr>
          <w:sz w:val="20"/>
          <w:szCs w:val="20"/>
          <w:color w:val="auto"/>
        </w:rPr>
      </w:pPr>
      <w:r>
        <w:rPr>
          <w:rFonts w:ascii="Arial" w:cs="Arial" w:eastAsia="Arial" w:hAnsi="Arial"/>
          <w:sz w:val="16"/>
          <w:szCs w:val="16"/>
          <w:color w:val="auto"/>
        </w:rPr>
        <w:t>GM presents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nine months ended September 30, 2024, 27.0% of GM's wholesale vehicle sales volume was generated outside the U.S. The following table summarizes wholesale vehicle sales by automotive segment (vehicles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2960" w:type="dxa"/>
            <w:vAlign w:val="bottom"/>
            <w:tcBorders>
              <w:bottom w:val="single" w:sz="8" w:color="auto"/>
            </w:tcBorders>
            <w:gridSpan w:val="3"/>
          </w:tcPr>
          <w:p>
            <w:pPr>
              <w:jc w:val="right"/>
              <w:ind w:right="70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98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200" w:type="dxa"/>
            <w:vAlign w:val="bottom"/>
          </w:tcPr>
          <w:p>
            <w:pPr>
              <w:spacing w:after="0"/>
              <w:rPr>
                <w:sz w:val="17"/>
                <w:szCs w:val="17"/>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2024</w:t>
            </w: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2024</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September 30, 2023</w:t>
            </w:r>
          </w:p>
        </w:tc>
      </w:tr>
      <w:tr>
        <w:trPr>
          <w:trHeight w:val="21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2,588</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2,365</w:t>
            </w:r>
          </w:p>
        </w:tc>
      </w:tr>
      <w:tr>
        <w:trPr>
          <w:trHeight w:val="21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459</w:t>
            </w: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2,971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2,824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GM's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61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jc w:val="center"/>
        <w:spacing w:after="0" w:line="222" w:lineRule="auto"/>
        <w:rPr>
          <w:sz w:val="20"/>
          <w:szCs w:val="20"/>
          <w:color w:val="auto"/>
        </w:rPr>
      </w:pPr>
      <w:r>
        <w:rPr>
          <w:rFonts w:ascii="Arial" w:cs="Arial" w:eastAsia="Arial" w:hAnsi="Arial"/>
          <w:sz w:val="16"/>
          <w:szCs w:val="16"/>
          <w:b w:val="1"/>
          <w:bCs w:val="1"/>
          <w:color w:val="auto"/>
        </w:rPr>
        <w:t>Supplemental Material</w:t>
      </w:r>
      <w:r>
        <w:rPr>
          <w:rFonts w:ascii="Arial" w:cs="Arial" w:eastAsia="Arial" w:hAnsi="Arial"/>
          <w:sz w:val="21"/>
          <w:szCs w:val="21"/>
          <w:b w:val="1"/>
          <w:bCs w:val="1"/>
          <w:color w:val="auto"/>
          <w:vertAlign w:val="superscript"/>
        </w:rPr>
        <w:t>1</w:t>
      </w: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industry and GM total vehicle sales and GM's related competitive position by geographic region (vehicles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228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September 30, 2024</w:t>
            </w:r>
          </w:p>
        </w:tc>
        <w:tc>
          <w:tcPr>
            <w:tcW w:w="120" w:type="dxa"/>
            <w:vAlign w:val="bottom"/>
          </w:tcPr>
          <w:p>
            <w:pPr>
              <w:spacing w:after="0"/>
              <w:rPr>
                <w:sz w:val="17"/>
                <w:szCs w:val="17"/>
                <w:color w:val="auto"/>
              </w:rPr>
            </w:pPr>
          </w:p>
        </w:tc>
        <w:tc>
          <w:tcPr>
            <w:tcW w:w="232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7"/>
                <w:szCs w:val="17"/>
                <w:color w:val="auto"/>
              </w:rPr>
            </w:pPr>
          </w:p>
        </w:tc>
        <w:tc>
          <w:tcPr>
            <w:tcW w:w="234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4"/>
                <w:szCs w:val="14"/>
                <w:b w:val="1"/>
                <w:bCs w:val="1"/>
                <w:color w:val="auto"/>
              </w:rPr>
              <w:t>September 30, 2024</w:t>
            </w:r>
          </w:p>
        </w:tc>
        <w:tc>
          <w:tcPr>
            <w:tcW w:w="120" w:type="dxa"/>
            <w:vAlign w:val="bottom"/>
          </w:tcPr>
          <w:p>
            <w:pPr>
              <w:spacing w:after="0"/>
              <w:rPr>
                <w:sz w:val="17"/>
                <w:szCs w:val="17"/>
                <w:color w:val="auto"/>
              </w:rPr>
            </w:pPr>
          </w:p>
        </w:tc>
        <w:tc>
          <w:tcPr>
            <w:tcW w:w="234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rPr>
              <w:t>Market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Market</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92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Market</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2"/>
                <w:szCs w:val="12"/>
                <w:color w:val="auto"/>
              </w:rPr>
            </w:pPr>
          </w:p>
        </w:tc>
        <w:tc>
          <w:tcPr>
            <w:tcW w:w="80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5"/>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North America</w:t>
            </w:r>
          </w:p>
        </w:tc>
        <w:tc>
          <w:tcPr>
            <w:tcW w:w="88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w:t>
            </w:r>
          </w:p>
        </w:tc>
        <w:tc>
          <w:tcPr>
            <w:tcW w:w="9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1"/>
        </w:trPr>
        <w:tc>
          <w:tcPr>
            <w:tcW w:w="1600" w:type="dxa"/>
            <w:vAlign w:val="bottom"/>
            <w:vMerge w:val="continue"/>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3,993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13.2 %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13.0 %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2,887</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13.0 %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2,647</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338</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12.8 %</w:t>
            </w:r>
          </w:p>
        </w:tc>
        <w:tc>
          <w:tcPr>
            <w:tcW w:w="0" w:type="dxa"/>
            <w:vAlign w:val="bottom"/>
          </w:tcPr>
          <w:p>
            <w:pPr>
              <w:spacing w:after="0"/>
              <w:rPr>
                <w:sz w:val="1"/>
                <w:szCs w:val="1"/>
                <w:color w:val="auto"/>
              </w:rPr>
            </w:pPr>
          </w:p>
        </w:tc>
      </w:tr>
      <w:tr>
        <w:trPr>
          <w:trHeight w:val="200"/>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4,981</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15.9 %</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5,025</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14,925</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14,648</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133"/>
        </w:trPr>
        <w:tc>
          <w:tcPr>
            <w:tcW w:w="160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Asia/Pacific, Middle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600" w:type="dxa"/>
            <w:vAlign w:val="bottom"/>
          </w:tcPr>
          <w:p>
            <w:pPr>
              <w:ind w:left="180"/>
              <w:spacing w:after="0"/>
              <w:rPr>
                <w:sz w:val="20"/>
                <w:szCs w:val="20"/>
                <w:color w:val="auto"/>
              </w:rPr>
            </w:pPr>
            <w:r>
              <w:rPr>
                <w:rFonts w:ascii="Arial" w:cs="Arial" w:eastAsia="Arial" w:hAnsi="Arial"/>
                <w:sz w:val="14"/>
                <w:szCs w:val="14"/>
                <w:b w:val="1"/>
                <w:bCs w:val="1"/>
                <w:color w:val="auto"/>
              </w:rPr>
              <w:t>East and Africa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6,602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18,141</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17,740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5,486</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2.7 %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5,547</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2.9 %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16,168</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16,363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37"/>
        </w:trPr>
        <w:tc>
          <w:tcPr>
            <w:tcW w:w="16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Total Asia/Pacific,</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00" w:type="dxa"/>
            <w:vAlign w:val="bottom"/>
            <w:shd w:val="clear" w:color="auto" w:fill="CCEEFF"/>
          </w:tcPr>
          <w:p>
            <w:pPr>
              <w:ind w:left="180"/>
              <w:spacing w:after="0" w:line="145" w:lineRule="exact"/>
              <w:rPr>
                <w:sz w:val="20"/>
                <w:szCs w:val="20"/>
                <w:color w:val="auto"/>
              </w:rPr>
            </w:pPr>
            <w:r>
              <w:rPr>
                <w:rFonts w:ascii="Arial" w:cs="Arial" w:eastAsia="Arial" w:hAnsi="Arial"/>
                <w:sz w:val="14"/>
                <w:szCs w:val="14"/>
                <w:color w:val="auto"/>
              </w:rPr>
              <w:t>Middle East and</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12,088</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576</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12,036</w:t>
            </w: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34,309</w:t>
            </w:r>
          </w:p>
        </w:tc>
        <w:tc>
          <w:tcPr>
            <w:tcW w:w="12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1,622</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34,103</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1,940</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94"/>
        </w:trPr>
        <w:tc>
          <w:tcPr>
            <w:tcW w:w="1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Africa</w:t>
            </w: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14.5 %</w:t>
            </w:r>
          </w:p>
        </w:tc>
        <w:tc>
          <w:tcPr>
            <w:tcW w:w="0" w:type="dxa"/>
            <w:vAlign w:val="bottom"/>
          </w:tcPr>
          <w:p>
            <w:pPr>
              <w:spacing w:after="0"/>
              <w:rPr>
                <w:sz w:val="1"/>
                <w:szCs w:val="1"/>
                <w:color w:val="auto"/>
              </w:rPr>
            </w:pPr>
          </w:p>
        </w:tc>
      </w:tr>
      <w:tr>
        <w:trPr>
          <w:trHeight w:val="199"/>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7.7 %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9.3 %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8.3 %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9.1 %</w:t>
            </w:r>
          </w:p>
        </w:tc>
        <w:tc>
          <w:tcPr>
            <w:tcW w:w="0" w:type="dxa"/>
            <w:vAlign w:val="bottom"/>
          </w:tcPr>
          <w:p>
            <w:pPr>
              <w:spacing w:after="0"/>
              <w:rPr>
                <w:sz w:val="1"/>
                <w:szCs w:val="1"/>
                <w:color w:val="auto"/>
              </w:rPr>
            </w:pPr>
          </w:p>
        </w:tc>
      </w:tr>
      <w:tr>
        <w:trPr>
          <w:trHeight w:val="200"/>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1,078</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10.2 %</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2,847</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192"/>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18,146</w:t>
            </w:r>
          </w:p>
        </w:tc>
        <w:tc>
          <w:tcPr>
            <w:tcW w:w="10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1,475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8.1 %</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18,046</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1,617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9.0 %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52,081</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4,253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8.2 %</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51,460</w:t>
            </w:r>
          </w:p>
        </w:tc>
        <w:tc>
          <w:tcPr>
            <w:tcW w:w="1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4,582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8.9 %</w:t>
            </w: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3,770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4,012</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12,623</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0"/>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Total Worldwide(b)</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21,916</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1,476</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6.7 %</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22,057</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7.3 %</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64,704</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6.6 %</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63,874</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4,584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7.2 %</w:t>
            </w: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United States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600" w:type="dxa"/>
            <w:vAlign w:val="bottom"/>
          </w:tcPr>
          <w:p>
            <w:pPr>
              <w:ind w:left="20"/>
              <w:spacing w:after="0"/>
              <w:rPr>
                <w:sz w:val="20"/>
                <w:szCs w:val="20"/>
                <w:color w:val="auto"/>
              </w:rPr>
            </w:pPr>
            <w:r>
              <w:rPr>
                <w:rFonts w:ascii="Arial" w:cs="Arial" w:eastAsia="Arial" w:hAnsi="Arial"/>
                <w:sz w:val="14"/>
                <w:szCs w:val="14"/>
                <w:color w:val="auto"/>
              </w:rPr>
              <w:t>Cars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5.3 %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2,205</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6.4 %</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2,334</w:t>
            </w:r>
          </w:p>
        </w:tc>
        <w:tc>
          <w:tcPr>
            <w:tcW w:w="1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7.9 %</w:t>
            </w:r>
          </w:p>
        </w:tc>
        <w:tc>
          <w:tcPr>
            <w:tcW w:w="0" w:type="dxa"/>
            <w:vAlign w:val="bottom"/>
          </w:tcPr>
          <w:p>
            <w:pPr>
              <w:spacing w:after="0"/>
              <w:rPr>
                <w:sz w:val="1"/>
                <w:szCs w:val="1"/>
                <w:color w:val="auto"/>
              </w:rPr>
            </w:pPr>
          </w:p>
        </w:tc>
      </w:tr>
      <w:tr>
        <w:trPr>
          <w:trHeight w:val="207"/>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30.7 %</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31.7 %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31.3 %</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30.6 %</w:t>
            </w:r>
          </w:p>
        </w:tc>
        <w:tc>
          <w:tcPr>
            <w:tcW w:w="0" w:type="dxa"/>
            <w:vAlign w:val="bottom"/>
          </w:tcPr>
          <w:p>
            <w:pPr>
              <w:spacing w:after="0"/>
              <w:rPr>
                <w:sz w:val="1"/>
                <w:szCs w:val="1"/>
                <w:color w:val="auto"/>
              </w:rPr>
            </w:pPr>
          </w:p>
        </w:tc>
      </w:tr>
      <w:tr>
        <w:trPr>
          <w:trHeight w:val="198"/>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13.1 %</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2,217</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12.4 %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6,682</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12.3 %</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804</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225"/>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3,993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16.5 %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12,039</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16.2 %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1,970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871</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China</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6,602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6,489</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18,141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17,740</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sales by the Automotive China JVs: SAIC General Motors Sales Co., Ltd. (SGMS) and SAIC GM Wuling Automobile Co., Ltd. (SGMW).</w:t>
      </w:r>
    </w:p>
    <w:p>
      <w:pPr>
        <w:spacing w:after="0" w:line="1"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16"/>
        </w:numPr>
        <w:rPr>
          <w:rFonts w:ascii="Arial" w:cs="Arial" w:eastAsia="Arial" w:hAnsi="Arial"/>
          <w:sz w:val="14"/>
          <w:szCs w:val="14"/>
          <w:color w:val="auto"/>
        </w:rPr>
      </w:pPr>
      <w:r>
        <w:rPr>
          <w:rFonts w:ascii="Arial" w:cs="Arial" w:eastAsia="Arial" w:hAnsi="Arial"/>
          <w:sz w:val="14"/>
          <w:szCs w:val="14"/>
          <w:color w:val="auto"/>
        </w:rPr>
        <w:t>Cuba, Iran, North Korea, Sudan and Syria are subject to broad economic sanctions. Accordingly, these countries are excluded from industry sales data and corresponding calculation of market share.</w:t>
      </w:r>
    </w:p>
    <w:p>
      <w:pPr>
        <w:spacing w:after="0" w:line="289" w:lineRule="exact"/>
        <w:rPr>
          <w:sz w:val="20"/>
          <w:szCs w:val="20"/>
          <w:color w:val="auto"/>
        </w:rPr>
      </w:pPr>
    </w:p>
    <w:p>
      <w:pPr>
        <w:jc w:val="both"/>
        <w:ind w:right="20" w:firstLine="162"/>
        <w:spacing w:after="0" w:line="266" w:lineRule="auto"/>
        <w:rPr>
          <w:sz w:val="20"/>
          <w:szCs w:val="20"/>
          <w:color w:val="auto"/>
        </w:rPr>
      </w:pPr>
      <w:r>
        <w:rPr>
          <w:rFonts w:ascii="Arial" w:cs="Arial" w:eastAsia="Arial" w:hAnsi="Arial"/>
          <w:sz w:val="16"/>
          <w:szCs w:val="16"/>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60" w:type="dxa"/>
            <w:vAlign w:val="bottom"/>
          </w:tcPr>
          <w:p>
            <w:pPr>
              <w:spacing w:after="0"/>
              <w:rPr>
                <w:sz w:val="17"/>
                <w:szCs w:val="17"/>
                <w:color w:val="auto"/>
              </w:rPr>
            </w:pPr>
          </w:p>
        </w:tc>
        <w:tc>
          <w:tcPr>
            <w:tcW w:w="314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540" w:type="dxa"/>
            <w:vAlign w:val="bottom"/>
            <w:tcBorders>
              <w:bottom w:val="single" w:sz="8" w:color="auto"/>
            </w:tcBorders>
            <w:gridSpan w:val="3"/>
          </w:tcPr>
          <w:p>
            <w:pPr>
              <w:jc w:val="right"/>
              <w:ind w:right="102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46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2024</w:t>
            </w: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182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2024</w:t>
            </w:r>
          </w:p>
        </w:tc>
        <w:tc>
          <w:tcPr>
            <w:tcW w:w="1720" w:type="dxa"/>
            <w:vAlign w:val="bottom"/>
          </w:tcPr>
          <w:p>
            <w:pPr>
              <w:jc w:val="right"/>
              <w:ind w:right="101"/>
              <w:spacing w:after="0"/>
              <w:rPr>
                <w:sz w:val="20"/>
                <w:szCs w:val="20"/>
                <w:color w:val="auto"/>
              </w:rPr>
            </w:pPr>
            <w:r>
              <w:rPr>
                <w:rFonts w:ascii="Arial" w:cs="Arial" w:eastAsia="Arial" w:hAnsi="Arial"/>
                <w:sz w:val="14"/>
                <w:szCs w:val="14"/>
                <w:b w:val="1"/>
                <w:bCs w:val="1"/>
                <w:color w:val="auto"/>
              </w:rPr>
              <w:t>September 30, 2023</w:t>
            </w:r>
          </w:p>
        </w:tc>
      </w:tr>
      <w:tr>
        <w:trPr>
          <w:trHeight w:val="210"/>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5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165</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447</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538</w:t>
            </w:r>
          </w:p>
        </w:tc>
      </w:tr>
      <w:tr>
        <w:trPr>
          <w:trHeight w:val="215"/>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338</w:t>
            </w:r>
          </w:p>
        </w:tc>
      </w:tr>
      <w:tr>
        <w:trPr>
          <w:trHeight w:val="235"/>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fleet sales</w:t>
            </w:r>
          </w:p>
        </w:tc>
        <w:tc>
          <w:tcPr>
            <w:tcW w:w="15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876</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Fleet sales as a percentage of total vehicle sales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19.1 %</w:t>
            </w:r>
          </w:p>
        </w:tc>
      </w:tr>
      <w:tr>
        <w:trPr>
          <w:trHeight w:val="148"/>
        </w:trPr>
        <w:tc>
          <w:tcPr>
            <w:tcW w:w="4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 capacity two-shift utilization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40"/>
      </w:cols>
      <w:pgMar w:left="320" w:top="6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2024-10-22T06:30:09Z</dcterms:created>
  <dcterms:modified xsi:type="dcterms:W3CDTF">2024-10-22T06:30:09Z</dcterms:modified>
</cp:coreProperties>
</file>