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Stevens Charles K. III</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right="1020"/>
        <w:spacing w:after="0" w:line="306" w:lineRule="auto"/>
        <w:rPr>
          <w:sz w:val="20"/>
          <w:szCs w:val="20"/>
          <w:color w:val="auto"/>
        </w:rPr>
      </w:pPr>
      <w:r>
        <w:rPr>
          <w:rFonts w:ascii="Times New Roman" w:cs="Times New Roman" w:eastAsia="Times New Roman" w:hAnsi="Times New Roman"/>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02/15/2018</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11"/>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36"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800" w:type="dxa"/>
            <w:vAlign w:val="bottom"/>
            <w:gridSpan w:val="7"/>
          </w:tcPr>
          <w:p>
            <w:pPr>
              <w:ind w:left="160"/>
              <w:spacing w:after="0" w:line="116" w:lineRule="exact"/>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line="11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28"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124,729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124,729</w:t>
            </w:r>
            <w:r>
              <w:rPr>
                <w:rFonts w:ascii="Times New Roman" w:cs="Times New Roman" w:eastAsia="Times New Roman" w:hAnsi="Times New Roman"/>
                <w:sz w:val="22"/>
                <w:szCs w:val="22"/>
                <w:color w:val="008000"/>
                <w:vertAlign w:val="superscript"/>
              </w:rPr>
              <w:t>(2)</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31.32</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02/15/2018</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124,729</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02/15/2018</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07/28/2025</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ind w:left="160"/>
              <w:spacing w:after="0" w:line="11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vested and unexercised portion of the 2015 Driving Shareholder Value Stock Option Grant, 40% of which vested on February 15, 2017 and 20% of which vested on February 15, 2018.</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02/20/2018</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Times New Roman" w:cs="Times New Roman" w:eastAsia="Times New Roman" w:hAnsi="Times New Roman"/>
                <w:sz w:val="17"/>
                <w:szCs w:val="17"/>
                <w:color w:val="0000FF"/>
              </w:rPr>
              <w:t>Fact for Mr. Stevens</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2019-12-07T16:54:29Z</dcterms:created>
  <dcterms:modified xsi:type="dcterms:W3CDTF">2019-12-07T16:54:29Z</dcterms:modified>
</cp:coreProperties>
</file>