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0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7"/>
                <w:szCs w:val="17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98"/>
                </w:rPr>
                <w:t>Tatum Mark A.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M/C: 482-C24-A68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56" w:lineRule="auto"/>
        <w:tabs>
          <w:tab w:leader="none" w:pos="122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6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Deferred Share Units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12/31/2021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2,077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2,077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56.78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2,077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140" w:hanging="6"/>
        <w:spacing w:after="0" w:line="253" w:lineRule="auto"/>
        <w:tabs>
          <w:tab w:leader="none" w:pos="144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Deferred Share Units ("DSUs") were awarded pursuant to the General Motors Company Deferred Compensation Plan for Non-Employee Directors (the ("Plan"). Under the Plan, each non-employee director is required to defer one-half of the $305,000 annual retainer fee for service on the Board of Directors into DSUs and may elect to defer more. The deferred portion of the retainer fee is pro-rated for a partial year of service and converted to DSUs based on the average closing price of the Company's Common Stock during the period of service.</w:t>
      </w:r>
    </w:p>
    <w:p>
      <w:pPr>
        <w:spacing w:after="0" w:line="19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 Reporting Person's annual retainer fee was pro-rated for a partial year of service, therefore, the price of the DSUs is the average closing price of the Company's Common Stock during the period of service.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ind w:left="662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 xml:space="preserve">/s/ Tia Y. Turk, Attorney-in-Fact for Mr. </w:t>
      </w:r>
      <w:r>
        <w:rPr>
          <w:rFonts w:ascii="Arial" w:cs="Arial" w:eastAsia="Arial" w:hAnsi="Arial"/>
          <w:sz w:val="26"/>
          <w:szCs w:val="26"/>
          <w:color w:val="0000FF"/>
          <w:vertAlign w:val="subscript"/>
        </w:rPr>
        <w:t>01/04/2022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-21590</wp:posOffset>
            </wp:positionV>
            <wp:extent cx="13722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Tatum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21717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318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2022-01-04T16:41:37Z</dcterms:created>
  <dcterms:modified xsi:type="dcterms:W3CDTF">2022-01-04T16:41:37Z</dcterms:modified>
</cp:coreProperties>
</file>