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November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w:t>
      </w:r>
    </w:p>
    <w:p>
      <w:pPr>
        <w:spacing w:after="0" w:line="55" w:lineRule="exact"/>
        <w:rPr>
          <w:sz w:val="24"/>
          <w:szCs w:val="24"/>
          <w:color w:val="auto"/>
        </w:rPr>
      </w:pPr>
    </w:p>
    <w:p>
      <w:pPr>
        <w:sectPr>
          <w:pgSz w:w="11900" w:h="16838" w:orient="portrait"/>
          <w:cols w:equalWidth="0" w:num="3">
            <w:col w:w="4620" w:space="720"/>
            <w:col w:w="3120" w:space="720"/>
            <w:col w:w="1560"/>
          </w:cols>
          <w:pgMar w:left="240" w:top="314" w:right="91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680"/>
          </w:cols>
          <w:pgMar w:left="240" w:top="314" w:right="91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480"/>
          </w:cols>
          <w:pgMar w:left="240" w:top="314" w:right="91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60"/>
          </w:cols>
          <w:pgMar w:left="240" w:top="314" w:right="919" w:bottom="1440" w:gutter="0" w:footer="0" w:header="0"/>
          <w:type w:val="continuous"/>
        </w:sectPr>
      </w:pPr>
    </w:p>
    <w:p>
      <w:pPr>
        <w:jc w:val="center"/>
        <w:ind w:right="-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5"/>
          <w:szCs w:val="15"/>
          <w:b w:val="1"/>
          <w:bCs w:val="1"/>
          <w:color w:val="auto"/>
        </w:rPr>
        <w:t>Compensatory Arrangements of Certain Officers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November 3, 2009 General Motors Company (the “Company”), with the concurrence of the Special Master for TARP Executive Compensation (the “Special Master”) approved the 2009 Long-Term Incentive Plan. A 2009 Salary Stock Plan for Top 25 Senior Executive Officers and Highly Compensated Employees had been previously approved pending concurrence by the Special Master.</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2009 Long-Term Incentive Plan, target awards are subject to adjustment at the conclusion of the performance period based on the achievement of pre-established performance measures. Awards for Top 25 employees are subject to forfeiture until occurrence of the later of three conditions: repayment of aggregate financial assistance, achievement of the third anniversary of the grant date, and successful Initial Public Offering (“IPO”) of Company stock. Upon vesting, payment will coincide with and be contingent upon the repayment of each 25% of aggregate financial assistance.</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Under the 2009 Salary Stock Plan, a portion of each Top 25 employee’s total annual compensation will be accrued beginning on each salary payment date and converted to restricted stock units (“RSUs”) at each quarter-end. RSUs will be settled ratably in one-third increments commencing at the end of the first quarter, 2011. Awards are not forfeitable and may be settled in cash, or stock, if settlement occurs after IPO.</w:t>
      </w:r>
    </w:p>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November 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Nick S. Cyprus</w:t>
      </w:r>
    </w:p>
    <w:p>
      <w:pPr>
        <w:jc w:val="center"/>
        <w:ind w:left="6300"/>
        <w:spacing w:after="0" w:line="223" w:lineRule="auto"/>
        <w:rPr>
          <w:sz w:val="20"/>
          <w:szCs w:val="20"/>
          <w:color w:val="auto"/>
        </w:rPr>
      </w:pPr>
      <w:r>
        <w:rPr>
          <w:rFonts w:ascii="Arial" w:cs="Arial" w:eastAsia="Arial" w:hAnsi="Arial"/>
          <w:sz w:val="14"/>
          <w:szCs w:val="14"/>
          <w:b w:val="1"/>
          <w:bCs w:val="1"/>
          <w:color w:val="auto"/>
        </w:rPr>
        <w:t>Vice President, Controller and</w:t>
      </w:r>
    </w:p>
    <w:p>
      <w:pPr>
        <w:jc w:val="center"/>
        <w:ind w:left="6300"/>
        <w:spacing w:after="0"/>
        <w:rPr>
          <w:sz w:val="20"/>
          <w:szCs w:val="20"/>
          <w:color w:val="auto"/>
        </w:rPr>
      </w:pPr>
      <w:r>
        <w:rPr>
          <w:rFonts w:ascii="Arial" w:cs="Arial" w:eastAsia="Arial" w:hAnsi="Arial"/>
          <w:sz w:val="14"/>
          <w:szCs w:val="14"/>
          <w:b w:val="1"/>
          <w:bCs w:val="1"/>
          <w:color w:val="auto"/>
        </w:rPr>
        <w:t>Chief Accounting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2019-12-11T06:11:22Z</dcterms:created>
  <dcterms:modified xsi:type="dcterms:W3CDTF">2019-12-11T06:11:22Z</dcterms:modified>
</cp:coreProperties>
</file>