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SD</w:t>
      </w:r>
    </w:p>
    <w:p>
      <w:pPr>
        <w:spacing w:after="0" w:line="200" w:lineRule="exact"/>
        <w:rPr>
          <w:sz w:val="24"/>
          <w:szCs w:val="24"/>
          <w:color w:val="auto"/>
        </w:rPr>
      </w:pPr>
    </w:p>
    <w:p>
      <w:pPr>
        <w:spacing w:after="0" w:line="317"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193"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54"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STATE OF DELAWARE</w:t>
            </w:r>
          </w:p>
        </w:tc>
        <w:tc>
          <w:tcPr>
            <w:tcW w:w="3500" w:type="dxa"/>
            <w:vAlign w:val="bottom"/>
            <w:tcBorders>
              <w:bottom w:val="single" w:sz="8" w:color="auto"/>
            </w:tcBorders>
          </w:tcPr>
          <w:p>
            <w:pPr>
              <w:jc w:val="right"/>
              <w:ind w:right="1152"/>
              <w:spacing w:after="0"/>
              <w:rPr>
                <w:sz w:val="20"/>
                <w:szCs w:val="20"/>
                <w:color w:val="auto"/>
              </w:rPr>
            </w:pPr>
            <w:r>
              <w:rPr>
                <w:rFonts w:ascii="Arial" w:cs="Arial" w:eastAsia="Arial" w:hAnsi="Arial"/>
                <w:sz w:val="22"/>
                <w:szCs w:val="22"/>
                <w:b w:val="1"/>
                <w:bCs w:val="1"/>
                <w:color w:val="auto"/>
              </w:rPr>
              <w:t>001-34960</w:t>
            </w:r>
          </w:p>
        </w:tc>
        <w:tc>
          <w:tcPr>
            <w:tcW w:w="3860" w:type="dxa"/>
            <w:vAlign w:val="bottom"/>
            <w:tcBorders>
              <w:bottom w:val="single" w:sz="8" w:color="auto"/>
            </w:tcBorders>
          </w:tcPr>
          <w:p>
            <w:pPr>
              <w:jc w:val="right"/>
              <w:ind w:right="1232"/>
              <w:spacing w:after="0"/>
              <w:rPr>
                <w:sz w:val="20"/>
                <w:szCs w:val="20"/>
                <w:color w:val="auto"/>
              </w:rPr>
            </w:pPr>
            <w:r>
              <w:rPr>
                <w:rFonts w:ascii="Arial" w:cs="Arial" w:eastAsia="Arial" w:hAnsi="Arial"/>
                <w:sz w:val="22"/>
                <w:szCs w:val="22"/>
                <w:b w:val="1"/>
                <w:bCs w:val="1"/>
                <w:color w:val="auto"/>
              </w:rPr>
              <w:t>27-0756180</w:t>
            </w:r>
          </w:p>
        </w:tc>
      </w:tr>
      <w:tr>
        <w:trPr>
          <w:trHeight w:val="249"/>
        </w:trPr>
        <w:tc>
          <w:tcPr>
            <w:tcW w:w="3840" w:type="dxa"/>
            <w:vAlign w:val="bottom"/>
          </w:tcPr>
          <w:p>
            <w:pPr>
              <w:jc w:val="center"/>
              <w:spacing w:after="0" w:line="248" w:lineRule="exact"/>
              <w:rPr>
                <w:sz w:val="20"/>
                <w:szCs w:val="20"/>
                <w:color w:val="auto"/>
              </w:rPr>
            </w:pPr>
            <w:r>
              <w:rPr>
                <w:rFonts w:ascii="Arial" w:cs="Arial" w:eastAsia="Arial" w:hAnsi="Arial"/>
                <w:sz w:val="22"/>
                <w:szCs w:val="22"/>
                <w:i w:val="1"/>
                <w:iCs w:val="1"/>
                <w:color w:val="auto"/>
                <w:w w:val="91"/>
              </w:rPr>
              <w:t>(State or other jurisdiction of</w:t>
            </w:r>
          </w:p>
        </w:tc>
        <w:tc>
          <w:tcPr>
            <w:tcW w:w="3500" w:type="dxa"/>
            <w:vAlign w:val="bottom"/>
          </w:tcPr>
          <w:p>
            <w:pPr>
              <w:jc w:val="center"/>
              <w:spacing w:after="0" w:line="248" w:lineRule="exact"/>
              <w:rPr>
                <w:sz w:val="20"/>
                <w:szCs w:val="20"/>
                <w:color w:val="auto"/>
              </w:rPr>
            </w:pPr>
            <w:r>
              <w:rPr>
                <w:rFonts w:ascii="Arial" w:cs="Arial" w:eastAsia="Arial" w:hAnsi="Arial"/>
                <w:sz w:val="22"/>
                <w:szCs w:val="22"/>
                <w:i w:val="1"/>
                <w:iCs w:val="1"/>
                <w:color w:val="auto"/>
                <w:w w:val="90"/>
              </w:rPr>
              <w:t>(Commission File Number)</w:t>
            </w:r>
          </w:p>
        </w:tc>
        <w:tc>
          <w:tcPr>
            <w:tcW w:w="3860" w:type="dxa"/>
            <w:vAlign w:val="bottom"/>
          </w:tcPr>
          <w:p>
            <w:pPr>
              <w:jc w:val="center"/>
              <w:ind w:left="32"/>
              <w:spacing w:after="0" w:line="248" w:lineRule="exact"/>
              <w:rPr>
                <w:sz w:val="20"/>
                <w:szCs w:val="20"/>
                <w:color w:val="auto"/>
              </w:rPr>
            </w:pPr>
            <w:r>
              <w:rPr>
                <w:rFonts w:ascii="Arial" w:cs="Arial" w:eastAsia="Arial" w:hAnsi="Arial"/>
                <w:sz w:val="22"/>
                <w:szCs w:val="22"/>
                <w:i w:val="1"/>
                <w:iCs w:val="1"/>
                <w:color w:val="auto"/>
                <w:w w:val="91"/>
              </w:rPr>
              <w:t>(IRS Employer Identification No.)</w:t>
            </w:r>
          </w:p>
        </w:tc>
      </w:tr>
      <w:tr>
        <w:trPr>
          <w:trHeight w:val="274"/>
        </w:trPr>
        <w:tc>
          <w:tcPr>
            <w:tcW w:w="3840" w:type="dxa"/>
            <w:vAlign w:val="bottom"/>
          </w:tcPr>
          <w:p>
            <w:pPr>
              <w:jc w:val="center"/>
              <w:spacing w:after="0"/>
              <w:rPr>
                <w:sz w:val="20"/>
                <w:szCs w:val="20"/>
                <w:color w:val="auto"/>
              </w:rPr>
            </w:pPr>
            <w:r>
              <w:rPr>
                <w:rFonts w:ascii="Arial" w:cs="Arial" w:eastAsia="Arial" w:hAnsi="Arial"/>
                <w:sz w:val="22"/>
                <w:szCs w:val="22"/>
                <w:i w:val="1"/>
                <w:iCs w:val="1"/>
                <w:color w:val="auto"/>
                <w:w w:val="93"/>
              </w:rPr>
              <w:t>Incorporation or Organization)</w:t>
            </w:r>
          </w:p>
        </w:tc>
        <w:tc>
          <w:tcPr>
            <w:tcW w:w="3500" w:type="dxa"/>
            <w:vAlign w:val="bottom"/>
          </w:tcPr>
          <w:p>
            <w:pPr>
              <w:spacing w:after="0"/>
              <w:rPr>
                <w:sz w:val="23"/>
                <w:szCs w:val="23"/>
                <w:color w:val="auto"/>
              </w:rPr>
            </w:pPr>
          </w:p>
        </w:tc>
        <w:tc>
          <w:tcPr>
            <w:tcW w:w="3860" w:type="dxa"/>
            <w:vAlign w:val="bottom"/>
          </w:tcPr>
          <w:p>
            <w:pPr>
              <w:spacing w:after="0"/>
              <w:rPr>
                <w:sz w:val="23"/>
                <w:szCs w:val="23"/>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7260" w:type="dxa"/>
            <w:vAlign w:val="bottom"/>
            <w:tcBorders>
              <w:bottom w:val="single" w:sz="8" w:color="auto"/>
            </w:tcBorders>
          </w:tcPr>
          <w:p>
            <w:pPr>
              <w:jc w:val="center"/>
              <w:ind w:left="112"/>
              <w:spacing w:after="0"/>
              <w:rPr>
                <w:sz w:val="20"/>
                <w:szCs w:val="20"/>
                <w:color w:val="auto"/>
              </w:rPr>
            </w:pPr>
            <w:r>
              <w:rPr>
                <w:rFonts w:ascii="Arial" w:cs="Arial" w:eastAsia="Arial" w:hAnsi="Arial"/>
                <w:sz w:val="22"/>
                <w:szCs w:val="22"/>
                <w:b w:val="1"/>
                <w:bCs w:val="1"/>
                <w:color w:val="auto"/>
                <w:w w:val="88"/>
              </w:rPr>
              <w:t>300 Renaissance Center, Detroit, Michigan</w:t>
            </w:r>
          </w:p>
        </w:tc>
        <w:tc>
          <w:tcPr>
            <w:tcW w:w="3940" w:type="dxa"/>
            <w:vAlign w:val="bottom"/>
            <w:tcBorders>
              <w:bottom w:val="single" w:sz="8" w:color="auto"/>
            </w:tcBorders>
          </w:tcPr>
          <w:p>
            <w:pPr>
              <w:jc w:val="right"/>
              <w:ind w:right="1232"/>
              <w:spacing w:after="0"/>
              <w:rPr>
                <w:sz w:val="20"/>
                <w:szCs w:val="20"/>
                <w:color w:val="auto"/>
              </w:rPr>
            </w:pPr>
            <w:r>
              <w:rPr>
                <w:rFonts w:ascii="Arial" w:cs="Arial" w:eastAsia="Arial" w:hAnsi="Arial"/>
                <w:sz w:val="22"/>
                <w:szCs w:val="22"/>
                <w:b w:val="1"/>
                <w:bCs w:val="1"/>
                <w:color w:val="auto"/>
              </w:rPr>
              <w:t>48265-3000</w:t>
            </w:r>
          </w:p>
        </w:tc>
      </w:tr>
      <w:tr>
        <w:trPr>
          <w:trHeight w:val="280"/>
        </w:trPr>
        <w:tc>
          <w:tcPr>
            <w:tcW w:w="7260" w:type="dxa"/>
            <w:vAlign w:val="bottom"/>
          </w:tcPr>
          <w:p>
            <w:pPr>
              <w:jc w:val="center"/>
              <w:ind w:left="112"/>
              <w:spacing w:after="0"/>
              <w:rPr>
                <w:sz w:val="20"/>
                <w:szCs w:val="20"/>
                <w:color w:val="auto"/>
              </w:rPr>
            </w:pPr>
            <w:r>
              <w:rPr>
                <w:rFonts w:ascii="Arial" w:cs="Arial" w:eastAsia="Arial" w:hAnsi="Arial"/>
                <w:sz w:val="22"/>
                <w:szCs w:val="22"/>
                <w:i w:val="1"/>
                <w:iCs w:val="1"/>
                <w:color w:val="auto"/>
                <w:w w:val="89"/>
              </w:rPr>
              <w:t>(Address of principal executive offices)</w:t>
            </w:r>
          </w:p>
        </w:tc>
        <w:tc>
          <w:tcPr>
            <w:tcW w:w="3940" w:type="dxa"/>
            <w:vAlign w:val="bottom"/>
          </w:tcPr>
          <w:p>
            <w:pPr>
              <w:jc w:val="center"/>
              <w:ind w:left="132"/>
              <w:spacing w:after="0"/>
              <w:rPr>
                <w:sz w:val="20"/>
                <w:szCs w:val="20"/>
                <w:color w:val="auto"/>
              </w:rPr>
            </w:pPr>
            <w:r>
              <w:rPr>
                <w:rFonts w:ascii="Arial" w:cs="Arial" w:eastAsia="Arial" w:hAnsi="Arial"/>
                <w:sz w:val="22"/>
                <w:szCs w:val="22"/>
                <w:i w:val="1"/>
                <w:iCs w:val="1"/>
                <w:color w:val="auto"/>
                <w:w w:val="90"/>
              </w:rPr>
              <w:t>(Zip Code)</w:t>
            </w:r>
          </w:p>
        </w:tc>
      </w:tr>
    </w:tbl>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Doug L. Parks - Executive Vice President, Global Product Development, Purchasing and Supply Chain (313) 667-1500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i w:val="1"/>
          <w:iCs w:val="1"/>
          <w:color w:val="auto"/>
        </w:rPr>
        <w:t>(Name and telephone number, including area code, of the person to contact in connection with this report)</w:t>
      </w:r>
    </w:p>
    <w:p>
      <w:pPr>
        <w:spacing w:after="0" w:line="368" w:lineRule="exact"/>
        <w:rPr>
          <w:sz w:val="24"/>
          <w:szCs w:val="24"/>
          <w:color w:val="auto"/>
        </w:rPr>
      </w:pPr>
    </w:p>
    <w:p>
      <w:pPr>
        <w:jc w:val="both"/>
        <w:spacing w:after="0" w:line="263"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364" w:lineRule="exact"/>
        <w:rPr>
          <w:sz w:val="24"/>
          <w:szCs w:val="24"/>
          <w:color w:val="auto"/>
        </w:rPr>
      </w:pPr>
    </w:p>
    <w:p>
      <w:pPr>
        <w:ind w:left="40" w:right="240" w:firstLine="6"/>
        <w:spacing w:after="0" w:line="232"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37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 Conflict Minerals Report is filed as Exhibit 1.01 and is also publicly available at the following Internet website: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http://www.gm.com/investors/sec-filings.html.</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36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Conflict Minerals Report required by Item 1.01 and 1.02 is filed as Exhibit 1.01 to this Form SD.</w:t>
      </w: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2 - Exhibits</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361"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Exhibit 1.01 - </w:t>
      </w:r>
      <w:hyperlink w:anchor="page4">
        <w:r>
          <w:rPr>
            <w:rFonts w:ascii="Arial" w:cs="Arial" w:eastAsia="Arial" w:hAnsi="Arial"/>
            <w:sz w:val="22"/>
            <w:szCs w:val="22"/>
            <w:u w:val="single" w:color="auto"/>
            <w:color w:val="0000FF"/>
          </w:rPr>
          <w:t>Conflict Minerals Report</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40"/>
          </w:cols>
          <w:pgMar w:left="320" w:top="949" w:right="339" w:bottom="1440" w:gutter="0" w:footer="0" w:header="0"/>
        </w:sectPr>
      </w:pPr>
    </w:p>
    <w:bookmarkStart w:id="2" w:name="page3"/>
    <w:bookmarkEnd w:id="2"/>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162"/>
        <w:spacing w:after="0" w:line="36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322"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GENERAL MOTORS COMPANY</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3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Doug L. Parks</w:t>
            </w:r>
          </w:p>
        </w:tc>
      </w:tr>
      <w:tr>
        <w:trPr>
          <w:trHeight w:val="249"/>
        </w:trPr>
        <w:tc>
          <w:tcPr>
            <w:tcW w:w="3520" w:type="dxa"/>
            <w:vAlign w:val="bottom"/>
          </w:tcPr>
          <w:p>
            <w:pPr>
              <w:spacing w:after="0" w:line="248" w:lineRule="exact"/>
              <w:rPr>
                <w:sz w:val="20"/>
                <w:szCs w:val="20"/>
                <w:color w:val="auto"/>
              </w:rPr>
            </w:pPr>
            <w:r>
              <w:rPr>
                <w:rFonts w:ascii="Arial" w:cs="Arial" w:eastAsia="Arial" w:hAnsi="Arial"/>
                <w:sz w:val="22"/>
                <w:szCs w:val="22"/>
                <w:color w:val="auto"/>
              </w:rPr>
              <w:t>Date: June 1, 2020</w:t>
            </w:r>
          </w:p>
        </w:tc>
        <w:tc>
          <w:tcPr>
            <w:tcW w:w="2380" w:type="dxa"/>
            <w:vAlign w:val="bottom"/>
          </w:tcPr>
          <w:p>
            <w:pPr>
              <w:ind w:left="1900"/>
              <w:spacing w:after="0" w:line="248" w:lineRule="exact"/>
              <w:rPr>
                <w:sz w:val="20"/>
                <w:szCs w:val="20"/>
                <w:color w:val="auto"/>
              </w:rPr>
            </w:pPr>
            <w:r>
              <w:rPr>
                <w:rFonts w:ascii="Arial" w:cs="Arial" w:eastAsia="Arial" w:hAnsi="Arial"/>
                <w:sz w:val="22"/>
                <w:szCs w:val="22"/>
                <w:color w:val="auto"/>
              </w:rPr>
              <w:t>By:</w:t>
            </w:r>
          </w:p>
        </w:tc>
        <w:tc>
          <w:tcPr>
            <w:tcW w:w="5320" w:type="dxa"/>
            <w:vAlign w:val="bottom"/>
          </w:tcPr>
          <w:p>
            <w:pPr>
              <w:ind w:left="20"/>
              <w:spacing w:after="0" w:line="248" w:lineRule="exact"/>
              <w:rPr>
                <w:sz w:val="20"/>
                <w:szCs w:val="20"/>
                <w:color w:val="auto"/>
              </w:rPr>
            </w:pPr>
            <w:r>
              <w:rPr>
                <w:rFonts w:ascii="Arial" w:cs="Arial" w:eastAsia="Arial" w:hAnsi="Arial"/>
                <w:sz w:val="22"/>
                <w:szCs w:val="22"/>
                <w:color w:val="auto"/>
                <w:w w:val="95"/>
              </w:rPr>
              <w:t>Doug L. Parks, Executive Vice President, Global Product</w:t>
            </w:r>
          </w:p>
        </w:tc>
      </w:tr>
      <w:tr>
        <w:trPr>
          <w:trHeight w:val="274"/>
        </w:trPr>
        <w:tc>
          <w:tcPr>
            <w:tcW w:w="35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22"/>
                <w:szCs w:val="22"/>
                <w:color w:val="auto"/>
              </w:rPr>
              <w:t>Development, Purchasing and Supply Chain</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Report</w:t>
      </w:r>
    </w:p>
    <w:p>
      <w:pPr>
        <w:spacing w:after="0" w:line="25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This Conflict Minerals Report (CMR) of General Motors Company is for calendar year 2019 in accordance with Rule 13p-1 under the Securities Exchange Act of 1934, as amended (the SEC Rule). The SEC Rule was adopted by the Securities and Exchange Commission (SEC) to implement reporting requirements related to conflict minerals as directed by the Dodd-Frank Wall Street Reform and Consumer Protection Act of 2010. The SEC Rule imposes certain reporting obligations on SEC registrants whose manufactured products contain conflict minerals.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or an adjoining country.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this CMR, references to General Motors, GM, our, us, or we refer to General Motors Company.</w:t>
      </w:r>
    </w:p>
    <w:p>
      <w:pPr>
        <w:spacing w:after="0" w:line="322" w:lineRule="exact"/>
        <w:rPr>
          <w:sz w:val="20"/>
          <w:szCs w:val="20"/>
          <w:color w:val="auto"/>
        </w:rPr>
      </w:pPr>
    </w:p>
    <w:p>
      <w:pPr>
        <w:ind w:left="360" w:hanging="352"/>
        <w:spacing w:after="0"/>
        <w:tabs>
          <w:tab w:leader="none" w:pos="3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Company and Supply Chain Overview</w:t>
      </w:r>
    </w:p>
    <w:p>
      <w:pPr>
        <w:spacing w:after="0" w:line="3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We, through our direct and indirect subsidiaries, design, build, and sell trucks, crossovers, cars and automobile parts worldwide. Our supply chain is a complex global network of tiered suppliers that directly or indirectly supply raw materials, components and services to our global facilities.</w:t>
      </w:r>
    </w:p>
    <w:p>
      <w:pPr>
        <w:spacing w:after="0" w:line="21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9"/>
          <w:szCs w:val="19"/>
          <w:color w:val="auto"/>
        </w:rPr>
        <w:t>With respect to the 3TG in our products, generally, multiple tiers of supplier manufacturers exist between the smelters or refiners (SORs) that process 3TG and the first-tier suppliers that deliver parts to us. We have no direct business relationship with any SORs of 3TG. We rely on our suppliers at the top tier of our supply chain, with whom we have direct contracts, to provide information on the origin of, and facilities used to process, the 3TG contained in components and materials supplied to us.</w:t>
      </w:r>
    </w:p>
    <w:p>
      <w:pPr>
        <w:spacing w:after="0" w:line="244" w:lineRule="exact"/>
        <w:rPr>
          <w:sz w:val="20"/>
          <w:szCs w:val="20"/>
          <w:color w:val="auto"/>
        </w:rPr>
      </w:pPr>
    </w:p>
    <w:p>
      <w:pPr>
        <w:ind w:left="440" w:hanging="432"/>
        <w:spacing w:after="0"/>
        <w:tabs>
          <w:tab w:leader="none" w:pos="4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Reasonable Country of Origin Inquiry</w:t>
      </w:r>
    </w:p>
    <w:p>
      <w:pPr>
        <w:spacing w:after="0" w:line="25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We have conducted a Reasonable Country of Origin Inquiry. We developed a targeted list of our first-tier suppliers of original equipment, service and aftermarket parts that we believe provide products that may contain 3TG. We identified these suppliers based on information in the International Material Data System (IMDS) and from information previously provided by suppliers regarding conflict minerals. From that list, we incorporated those suppliers that shipped parts to GM during the 2019 calendar year. In addition, we also surveyed employees whose function may provide relevant information regarding the source of potential 3TG within our supply chain.</w:t>
      </w:r>
    </w:p>
    <w:p>
      <w:pPr>
        <w:spacing w:after="0" w:line="22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We then used the industry standard reporting form, the Conflict Minerals Reporting Template (CMRT) published by the Responsible Minerals Initiative (RMI), to obtain information from these suppliers regarding their manufacturing locations that we believe may provide the 3TG-containing products. For 2019, we received completed CMRTs from 90% of the 3,598 supplier locations that we believe supply components to GM that contain 3TG.</w:t>
      </w:r>
    </w:p>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We have conducted a Reasonable Country of Origin Inquiry (RCOI) and performed reasonable due diligence on the source and chain of custody of 3TG contained in components and material supplied to us. Based on the results of our RCOI, and after conducting reasonable due diligence, we are unable to definitively determine the origin of the 3TG utilized in our products.</w:t>
      </w:r>
    </w:p>
    <w:p>
      <w:pPr>
        <w:spacing w:after="0" w:line="23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Design of Due Diligence Process</w:t>
      </w:r>
    </w:p>
    <w:p>
      <w:pPr>
        <w:sectPr>
          <w:pgSz w:w="11900" w:h="16838" w:orient="portrait"/>
          <w:cols w:equalWidth="0" w:num="1">
            <w:col w:w="11240"/>
          </w:cols>
          <w:pgMar w:left="320" w:top="693" w:right="339" w:bottom="1440" w:gutter="0" w:footer="0" w:header="0"/>
        </w:sectPr>
      </w:pPr>
    </w:p>
    <w:bookmarkStart w:id="4" w:name="page5"/>
    <w:bookmarkEnd w:id="4"/>
    <w:p>
      <w:pPr>
        <w:jc w:val="both"/>
        <w:ind w:firstLine="324"/>
        <w:spacing w:after="0" w:line="250" w:lineRule="auto"/>
        <w:rPr>
          <w:sz w:val="20"/>
          <w:szCs w:val="20"/>
          <w:color w:val="auto"/>
        </w:rPr>
      </w:pPr>
      <w:r>
        <w:rPr>
          <w:rFonts w:ascii="Arial" w:cs="Arial" w:eastAsia="Arial" w:hAnsi="Arial"/>
          <w:sz w:val="22"/>
          <w:szCs w:val="22"/>
          <w:color w:val="auto"/>
        </w:rPr>
        <w:t>To obtain information regarding the source and chain of custody of 3TG, we conducted due diligence through our direct suppliers based on the Organisation for Economic Co-operation and Development (OECD) Due Diligence Guidance for Responsible Supply Chains of Minerals from Conflict-Affected and High-Risk Areas published by the OECD. The OECD Guidance provides an internationally recognized framework for conflict minerals due diligence.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IV. Due Diligence Measures Performed</w:t>
      </w:r>
    </w:p>
    <w:p>
      <w:pPr>
        <w:spacing w:after="0" w:line="287" w:lineRule="exact"/>
        <w:rPr>
          <w:sz w:val="20"/>
          <w:szCs w:val="20"/>
          <w:color w:val="auto"/>
        </w:rPr>
      </w:pPr>
    </w:p>
    <w:p>
      <w:pPr>
        <w:ind w:left="740"/>
        <w:spacing w:after="0"/>
        <w:tabs>
          <w:tab w:leader="none" w:pos="1560" w:val="left"/>
        </w:tabs>
        <w:rPr>
          <w:sz w:val="20"/>
          <w:szCs w:val="20"/>
          <w:color w:val="auto"/>
        </w:rPr>
      </w:pPr>
      <w:r>
        <w:rPr>
          <w:rFonts w:ascii="Arial" w:cs="Arial" w:eastAsia="Arial" w:hAnsi="Arial"/>
          <w:sz w:val="22"/>
          <w:szCs w:val="22"/>
          <w:b w:val="1"/>
          <w:bCs w:val="1"/>
          <w:color w:val="auto"/>
        </w:rPr>
        <w:t>Step 1.</w:t>
      </w:r>
      <w:r>
        <w:rPr>
          <w:sz w:val="20"/>
          <w:szCs w:val="20"/>
          <w:color w:val="auto"/>
        </w:rPr>
        <w:tab/>
      </w:r>
      <w:r>
        <w:rPr>
          <w:rFonts w:ascii="Arial" w:cs="Arial" w:eastAsia="Arial" w:hAnsi="Arial"/>
          <w:sz w:val="19"/>
          <w:szCs w:val="19"/>
          <w:b w:val="1"/>
          <w:bCs w:val="1"/>
          <w:color w:val="auto"/>
        </w:rPr>
        <w:t>Establish Strong Company Management Systems</w:t>
      </w:r>
    </w:p>
    <w:p>
      <w:pPr>
        <w:spacing w:after="0" w:line="247"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1. Company Conflict Minerals Policy</w:t>
      </w:r>
    </w:p>
    <w:p>
      <w:pPr>
        <w:spacing w:after="0" w:line="25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GM’s policies and practices, including its Conflict Minerals Policy, reflect our commitment to responsible sourcing strategies that mitigate negative social and environmental impacts. Through our Supplier Code of Conduct, we expect similar commitments and efforts from our suppliers to source responsibly within their supply chains, including the use of 3TG. Our conflict minerals policy, which also is incorporated into our Sustainability Report, is found at https://investor.gm.com/static-files/f995efa6-1046-4ede-8ff6-97a402ead20e. We also communicate this policy to our suppliers through our supplier portal. The policy is as follows: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POLICY</w:t>
      </w:r>
    </w:p>
    <w:p>
      <w:pPr>
        <w:spacing w:after="0" w:line="200" w:lineRule="exact"/>
        <w:rPr>
          <w:sz w:val="20"/>
          <w:szCs w:val="20"/>
          <w:color w:val="auto"/>
        </w:rPr>
      </w:pPr>
    </w:p>
    <w:p>
      <w:pPr>
        <w:spacing w:after="0" w:line="20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i w:val="1"/>
          <w:iCs w:val="1"/>
          <w:color w:val="auto"/>
        </w:rPr>
        <w:t>General Motors is committed to sustainable and responsible sourcing of goods and services throughout our supply chain. GM supports the human rights goals reflected in the adoption of conflict mineral due diligence requirements included in the Dodd-Frank Wall Street Reform and Consumer Protection Act of 2010. GM has a zero tolerance policy against the use of child labor, and prohibits abusive treatment to employees and corrupt business practices in our supply base.</w:t>
      </w:r>
    </w:p>
    <w:p>
      <w:pPr>
        <w:spacing w:after="0" w:line="3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Through industry collaboration, GM has adopted a common methodology to obtain chain of custody declarations from suppliers to increase the transparency of conflict minerals in our global supply chain. GM has been an active contributor within the Automotive Industry Action Group (AIAG) in developing an automotive industry wide approach to reporting the use of conflict minerals, and educating suppliers about their roles and responsibilities.</w:t>
      </w: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i w:val="1"/>
          <w:iCs w:val="1"/>
          <w:color w:val="auto"/>
        </w:rPr>
        <w:t>We require our suppliers to engage in supply chain due diligence to improve understanding and reporting of component content supplied to GM. Further, we encourage our suppliers to source responsibly with validated conflict free smelters, wherever possible, to increase our level of confidence that the components in our vehicles and products contain conflict free minerals. We recognize that our sourcing decisions may cause economic consequences in impacted regions and seek to avoid inadvertent adverse economic impact attributable to conflict mineral due diligence activities.</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 to Sourcing Responsibly</w:t>
      </w:r>
    </w:p>
    <w:p>
      <w:pPr>
        <w:spacing w:after="0" w:line="25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General Motors is committed to upholding human rights across our network of suppliers that support our global operations. Part of that commitment is found in our Supplier Code of Conduct and our Human Rights Policy. GM understands that long-term success starts with a company’s value system and a principle approach to doing business. These documents strive to make clear and transparent how we define, approach, govern and support universal human rights and dignity of people throughout our operations, our communities in which we operate, and our global supply chain. GM also is a signatory to the UN Global Compact and a member of RMI.</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Internal Management Team</w:t>
      </w:r>
    </w:p>
    <w:p>
      <w:pPr>
        <w:sectPr>
          <w:pgSz w:w="11900" w:h="16838" w:orient="portrait"/>
          <w:cols w:equalWidth="0" w:num="1">
            <w:col w:w="11240"/>
          </w:cols>
          <w:pgMar w:left="320" w:top="456" w:right="339" w:bottom="1440" w:gutter="0" w:footer="0" w:header="0"/>
        </w:sectPr>
      </w:pPr>
    </w:p>
    <w:bookmarkStart w:id="5" w:name="page6"/>
    <w:bookmarkEnd w:id="5"/>
    <w:p>
      <w:pPr>
        <w:jc w:val="both"/>
        <w:ind w:firstLine="324"/>
        <w:spacing w:after="0" w:line="250" w:lineRule="auto"/>
        <w:rPr>
          <w:sz w:val="20"/>
          <w:szCs w:val="20"/>
          <w:color w:val="auto"/>
        </w:rPr>
      </w:pPr>
      <w:r>
        <w:rPr>
          <w:rFonts w:ascii="Arial" w:cs="Arial" w:eastAsia="Arial" w:hAnsi="Arial"/>
          <w:sz w:val="22"/>
          <w:szCs w:val="22"/>
          <w:color w:val="auto"/>
        </w:rPr>
        <w:t>We have created a compliance group within our Global Purchasing and Supply Chain function that is responsible for, among other things, overseeing and enhancing our sustainability and compliance efforts, including conflict minerals, supplier awareness programs, trade restrictions and similar efforts. By consolidating these efforts under the guidance of a single director, we seek to implement our sustainability policies and achieve our goals.</w:t>
      </w:r>
    </w:p>
    <w:p>
      <w:pPr>
        <w:spacing w:after="0" w:line="21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9"/>
          <w:szCs w:val="19"/>
          <w:color w:val="auto"/>
        </w:rPr>
        <w:t>Within this compliance-focused group, we have a team to lead our conflict minerals compliance program. To support this team, we organized a Conflict Minerals Compliance Committee, composed of representatives from the following functional areas: Global Purchasing and Supply Chain, Legal, Finance, Sustainability, SEC Reporting, and GM Audit Services. The Conflict Minerals Compliance Committee provides cross functional expertise for our conflict minerals compliance program. We also have a Conflict Minerals Executive Steering Committee composed of Executives in Global Purchasing and Supply Chain, Legal, and Public Policy. The Executive Steering Committee exercises oversight over the conflict minerals compliance program.</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3. System of Supply Chain Controls and Transparency</w:t>
      </w:r>
    </w:p>
    <w:p>
      <w:pPr>
        <w:spacing w:after="0" w:line="253"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Since 2013, our standard terms and conditions for purchase contracts require our direct suppliers to report their use of 3TG in products supplied to us. We expect our suppliers to be fair, humane, and lawful employers, and to enforce similar requirements with their sub-suppliers. We rely on our first-tier suppliers, as part of their response process to our request for conflict minerals information, to solicit and compile information from lower tier suppliers comprising our supply chain. We review each of the first-tier supplier responses for completeness and consistency, and work with our suppliers, as necessary, to improve the accuracy of the information we receive.</w:t>
      </w:r>
    </w:p>
    <w:p>
      <w:pPr>
        <w:spacing w:after="0" w:line="22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We also participate in conflict minerals initiatives with other automobile manufacturers through the Automotive Industry Action Group (AIAG) (a non-profit automotive industry trade association) and RMI. Through our membership with AIAG, we collaborate with other AIAG member companies to develop common methods to obtain 3TG chain of custody declarations from suppliers in the automotive industry.</w:t>
      </w:r>
    </w:p>
    <w:p>
      <w:pPr>
        <w:spacing w:after="0" w:line="2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1"/>
          <w:szCs w:val="21"/>
          <w:color w:val="auto"/>
        </w:rPr>
        <w:t>Through our membership with RMI, we research probable SORs to determine if they meet RMI’s definition of an actual SOR. We also performed outreach to those SORs that are not conformant to one of the independent third-party assurance programs. In addition to our outreach to SORs to join one of these programs, we also conducted two pre-audit visits to gold refiners located in India. During these pre-audit visits, we had an opportunity to communicate how important it is that SORs in our supply chain source responsibly and validate their responsible mineral procurement through one of the OECD aligned responsible sourcing programs such as the Responsible Minerals Assurance Process (RMAP).</w:t>
      </w:r>
    </w:p>
    <w:p>
      <w:pPr>
        <w:spacing w:after="0" w:line="200"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4. Supplier Engagement</w:t>
      </w:r>
    </w:p>
    <w:p>
      <w:pPr>
        <w:spacing w:after="0" w:line="25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1"/>
          <w:szCs w:val="21"/>
          <w:color w:val="auto"/>
        </w:rPr>
        <w:t>We engage with our suppliers to assist them in building capabilities to improve chain of custody declarations and to increase the transparency of 3TG in our global supply chain. We communicate our conflict minerals reporting requirements to suppliers through various mechanisms, including teleconferences, emails, publications, and webinars. We have also established a direct email address (email address: conflictminerals@gm.com) to provide our suppliers a streamlined path of communication relating to conflict minerals. We make conflict minerals reference documents available through our supplier portal. Some of the documents we have created and provide are FAQs, CMRT completion instructions, webinar presentations, and leadership messages relating to conflict minerals.</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5. Grievance Mechanism</w:t>
      </w:r>
    </w:p>
    <w:p>
      <w:pPr>
        <w:spacing w:after="0" w:line="22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We maintain procedures for reporting potential safety concerns, potential misconduct, and concerns about potential ethical violations, including concerns regarding conflict minerals. One of those methods is the “Awareline,” which allows employees, suppliers, and others to report concerns about us, our management, supervisors, employees, or agents. Reports can be made to the Awareline in over a dozen different languages 24</w:t>
      </w:r>
    </w:p>
    <w:p>
      <w:pPr>
        <w:sectPr>
          <w:pgSz w:w="11900" w:h="16838" w:orient="portrait"/>
          <w:cols w:equalWidth="0" w:num="1">
            <w:col w:w="11240"/>
          </w:cols>
          <w:pgMar w:left="320" w:top="456"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22"/>
          <w:szCs w:val="22"/>
          <w:color w:val="auto"/>
        </w:rPr>
        <w:t>hours per day, 7 days per week by phone, the internet, or email. Individuals filing reports on the Awareline may remain anonymous as permitted by law. Information about the Awareline is found at: https://www.awareline.com.</w:t>
      </w:r>
    </w:p>
    <w:p>
      <w:pPr>
        <w:spacing w:after="0" w:line="196" w:lineRule="exact"/>
        <w:rPr>
          <w:sz w:val="20"/>
          <w:szCs w:val="20"/>
          <w:color w:val="auto"/>
        </w:rPr>
      </w:pPr>
    </w:p>
    <w:p>
      <w:pPr>
        <w:ind w:left="740"/>
        <w:spacing w:after="0"/>
        <w:tabs>
          <w:tab w:leader="none" w:pos="1560" w:val="left"/>
        </w:tabs>
        <w:rPr>
          <w:sz w:val="20"/>
          <w:szCs w:val="20"/>
          <w:color w:val="auto"/>
        </w:rPr>
      </w:pPr>
      <w:r>
        <w:rPr>
          <w:rFonts w:ascii="Arial" w:cs="Arial" w:eastAsia="Arial" w:hAnsi="Arial"/>
          <w:sz w:val="22"/>
          <w:szCs w:val="22"/>
          <w:b w:val="1"/>
          <w:bCs w:val="1"/>
          <w:color w:val="auto"/>
        </w:rPr>
        <w:t>Step 2.</w:t>
      </w:r>
      <w:r>
        <w:rPr>
          <w:sz w:val="20"/>
          <w:szCs w:val="20"/>
          <w:color w:val="auto"/>
        </w:rPr>
        <w:tab/>
      </w:r>
      <w:r>
        <w:rPr>
          <w:rFonts w:ascii="Arial" w:cs="Arial" w:eastAsia="Arial" w:hAnsi="Arial"/>
          <w:sz w:val="19"/>
          <w:szCs w:val="19"/>
          <w:b w:val="1"/>
          <w:bCs w:val="1"/>
          <w:color w:val="auto"/>
        </w:rPr>
        <w:t>Identify and Assess Risk in the Supply Chain</w:t>
      </w:r>
    </w:p>
    <w:p>
      <w:pPr>
        <w:spacing w:after="0" w:line="25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We analyzed the CMRT responses for completeness and consistency. In addition to identifying all SORs, we required our suppliers to identify the country of origin that each SOR is sourcing from (i.e., the location (country) of the mine from which the 3TG is procured). Although we requested that our suppliers include this information in their responses, not all suppliers provided responses with country of origin information. We continue to educate our suppliers on the importance of determining the mine or location of origin with the greatest possible specificity.</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1"/>
          <w:szCs w:val="21"/>
          <w:color w:val="auto"/>
        </w:rPr>
        <w:t>Through our membership in RMI (ID #GMOT), we obtained a list of SORs who are in conformance with the RMAP as well as some of their country of origin sourcing information. We then cross referenced this list with the SORs identified in our suppliers’ CMRTs. We used this information internally within GM to analyze the SOR lists provided to us from our suppliers’ CMRT submissions. We also utilized RMI member resources to identify those high risk SORs that were listed in our suppliers’ CMRTs as sourcing from the covered countries and not listed as conformant to RMAP.</w:t>
      </w:r>
    </w:p>
    <w:p>
      <w:pPr>
        <w:spacing w:after="0" w:line="20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We provided an individual smelter analysis to specific suppliers that identified SORs in their CMRTs that are not yet in the RMAP. This analysis also identified entities that did not meet the definition of an eligible SOR. By providing the smelter analyses to our suppliers, we are empowering our suppliers to inform their supply chain the identity of non-RMAP conformant SORs. We requested our suppliers to send letters encouraging SORs to join the RMAP. We also requested our suppliers to improve the accuracy of their smelter lists by eliminating the SORs that are no longer in operation and removing those entities that did not meet the definition of eligible SORs.</w:t>
      </w:r>
    </w:p>
    <w:p>
      <w:pPr>
        <w:spacing w:after="0" w:line="214" w:lineRule="exact"/>
        <w:rPr>
          <w:sz w:val="20"/>
          <w:szCs w:val="20"/>
          <w:color w:val="auto"/>
        </w:rPr>
      </w:pPr>
    </w:p>
    <w:p>
      <w:pPr>
        <w:ind w:left="740"/>
        <w:spacing w:after="0"/>
        <w:tabs>
          <w:tab w:leader="none" w:pos="1520" w:val="left"/>
        </w:tabs>
        <w:rPr>
          <w:sz w:val="20"/>
          <w:szCs w:val="20"/>
          <w:color w:val="auto"/>
        </w:rPr>
      </w:pPr>
      <w:r>
        <w:rPr>
          <w:rFonts w:ascii="Arial" w:cs="Arial" w:eastAsia="Arial" w:hAnsi="Arial"/>
          <w:sz w:val="22"/>
          <w:szCs w:val="22"/>
          <w:b w:val="1"/>
          <w:bCs w:val="1"/>
          <w:color w:val="auto"/>
        </w:rPr>
        <w:t>Step 3.</w:t>
      </w:r>
      <w:r>
        <w:rPr>
          <w:sz w:val="20"/>
          <w:szCs w:val="20"/>
          <w:color w:val="auto"/>
        </w:rPr>
        <w:tab/>
      </w:r>
      <w:r>
        <w:rPr>
          <w:rFonts w:ascii="Arial" w:cs="Arial" w:eastAsia="Arial" w:hAnsi="Arial"/>
          <w:sz w:val="19"/>
          <w:szCs w:val="19"/>
          <w:b w:val="1"/>
          <w:bCs w:val="1"/>
          <w:color w:val="auto"/>
        </w:rPr>
        <w:t>Design and Implement a Strategy to Respond to Identified Risk</w:t>
      </w:r>
    </w:p>
    <w:p>
      <w:pPr>
        <w:spacing w:after="0" w:line="25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9"/>
          <w:szCs w:val="19"/>
          <w:color w:val="auto"/>
        </w:rPr>
        <w:t>As previously described, we review each supplier CMRT response in order to (i) provide feedback to our suppliers and (ii) identify risks in our supply chain related to the use of 3TG. We also have established a formal escalation process for resolving concerns regarding the use of 3TG in our supply chain. Specifically, when our conflict minerals team identifies defects, inconsistencies, or other problems in a supplier’s CMRT response (including a failure to respond), we first attempt to work directly with the supplier to resolve the issue. If our conflict minerals team does not receive an acceptable response from the supplier, the issue is escalated to the appropriate leadership, and eventually to the Conflict Minerals Executive Steering Committee. If necessary, we may preclude a supplier from receiving future business if the concern is not resolved.</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9"/>
          <w:szCs w:val="19"/>
          <w:color w:val="auto"/>
        </w:rPr>
        <w:t>The SOR outreach and certification are also important risk mitigation components of our conflict minerals program. To increase the number of RMAP-conformant SORs, GM has conducted outreach to 148 eligible SORs by sending letters to encourage them to join the RMAP. We also encouraged our suppliers to send outreach letters to the SORs in their smelter lists who are not determined to be RMAP conformant by RMI or other organizations with audit protocols recognized by RMI.</w:t>
      </w:r>
    </w:p>
    <w:p>
      <w:pPr>
        <w:spacing w:after="0" w:line="16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color w:val="auto"/>
        </w:rPr>
        <w:t>The results of our monitoring and outreach efforts are reported to the Conflict Minerals Executive Steering Committee at regular periodic meetings and tracked against the prior year’s results.</w:t>
      </w:r>
    </w:p>
    <w:p>
      <w:pPr>
        <w:spacing w:after="0" w:line="196" w:lineRule="exact"/>
        <w:rPr>
          <w:sz w:val="20"/>
          <w:szCs w:val="20"/>
          <w:color w:val="auto"/>
        </w:rPr>
      </w:pPr>
    </w:p>
    <w:p>
      <w:pPr>
        <w:ind w:left="740"/>
        <w:spacing w:after="0"/>
        <w:tabs>
          <w:tab w:leader="none" w:pos="1560" w:val="left"/>
        </w:tabs>
        <w:rPr>
          <w:sz w:val="20"/>
          <w:szCs w:val="20"/>
          <w:color w:val="auto"/>
        </w:rPr>
      </w:pPr>
      <w:r>
        <w:rPr>
          <w:rFonts w:ascii="Arial" w:cs="Arial" w:eastAsia="Arial" w:hAnsi="Arial"/>
          <w:sz w:val="22"/>
          <w:szCs w:val="22"/>
          <w:b w:val="1"/>
          <w:bCs w:val="1"/>
          <w:color w:val="auto"/>
        </w:rPr>
        <w:t>Step 4.</w:t>
      </w:r>
      <w:r>
        <w:rPr>
          <w:sz w:val="20"/>
          <w:szCs w:val="20"/>
          <w:color w:val="auto"/>
        </w:rPr>
        <w:tab/>
      </w:r>
      <w:r>
        <w:rPr>
          <w:rFonts w:ascii="Arial" w:cs="Arial" w:eastAsia="Arial" w:hAnsi="Arial"/>
          <w:sz w:val="19"/>
          <w:szCs w:val="19"/>
          <w:b w:val="1"/>
          <w:bCs w:val="1"/>
          <w:color w:val="auto"/>
        </w:rPr>
        <w:t>Carry Out Independent Third-Party Audit of Supply Chain Due Diligence</w:t>
      </w:r>
    </w:p>
    <w:p>
      <w:pPr>
        <w:spacing w:after="0" w:line="2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Since we do not source directly with SORs, we rely on information from industry involvement and information available through our membership in RMI. We actively support industry-wide initiatives to improve both reporting and knowledge regarding the SORs supplying 3TG materials for our products.</w:t>
      </w:r>
    </w:p>
    <w:p>
      <w:pPr>
        <w:sectPr>
          <w:pgSz w:w="11900" w:h="16838" w:orient="portrait"/>
          <w:cols w:equalWidth="0" w:num="1">
            <w:col w:w="11240"/>
          </w:cols>
          <w:pgMar w:left="320" w:top="456" w:right="339" w:bottom="1440" w:gutter="0" w:footer="0" w:header="0"/>
        </w:sectPr>
      </w:pPr>
    </w:p>
    <w:bookmarkStart w:id="7" w:name="page8"/>
    <w:bookmarkEnd w:id="7"/>
    <w:p>
      <w:pPr>
        <w:jc w:val="both"/>
        <w:ind w:right="40" w:firstLine="324"/>
        <w:spacing w:after="0" w:line="312" w:lineRule="auto"/>
        <w:rPr>
          <w:sz w:val="20"/>
          <w:szCs w:val="20"/>
          <w:color w:val="auto"/>
        </w:rPr>
      </w:pPr>
      <w:r>
        <w:rPr>
          <w:rFonts w:ascii="Arial" w:cs="Arial" w:eastAsia="Arial" w:hAnsi="Arial"/>
          <w:sz w:val="19"/>
          <w:szCs w:val="19"/>
          <w:color w:val="auto"/>
        </w:rPr>
        <w:t>Through contributions to the AIAG Responsible Materials Work Group, we financially support visits to SORs to encourage these SORs to participate in the third-party audit to become conformant to the RMAP standard. These contributions also are going to the not-for-profit RMI Initial Audit Fund to help support SORs with their first formal audit to join the RMAP.</w:t>
      </w:r>
    </w:p>
    <w:p>
      <w:pPr>
        <w:spacing w:after="0" w:line="154" w:lineRule="exact"/>
        <w:rPr>
          <w:sz w:val="20"/>
          <w:szCs w:val="20"/>
          <w:color w:val="auto"/>
        </w:rPr>
      </w:pPr>
    </w:p>
    <w:p>
      <w:pPr>
        <w:ind w:left="740"/>
        <w:spacing w:after="0"/>
        <w:tabs>
          <w:tab w:leader="none" w:pos="1520" w:val="left"/>
        </w:tabs>
        <w:rPr>
          <w:sz w:val="20"/>
          <w:szCs w:val="20"/>
          <w:color w:val="auto"/>
        </w:rPr>
      </w:pPr>
      <w:r>
        <w:rPr>
          <w:rFonts w:ascii="Arial" w:cs="Arial" w:eastAsia="Arial" w:hAnsi="Arial"/>
          <w:sz w:val="22"/>
          <w:szCs w:val="22"/>
          <w:b w:val="1"/>
          <w:bCs w:val="1"/>
          <w:color w:val="auto"/>
        </w:rPr>
        <w:t>Step 5.</w:t>
      </w:r>
      <w:r>
        <w:rPr>
          <w:sz w:val="20"/>
          <w:szCs w:val="20"/>
          <w:color w:val="auto"/>
        </w:rPr>
        <w:tab/>
      </w:r>
      <w:r>
        <w:rPr>
          <w:rFonts w:ascii="Arial" w:cs="Arial" w:eastAsia="Arial" w:hAnsi="Arial"/>
          <w:sz w:val="19"/>
          <w:szCs w:val="19"/>
          <w:b w:val="1"/>
          <w:bCs w:val="1"/>
          <w:color w:val="auto"/>
        </w:rPr>
        <w:t>Report on Supply Chain Due Diligence</w:t>
      </w:r>
    </w:p>
    <w:p>
      <w:pPr>
        <w:spacing w:after="0" w:line="253"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22"/>
          <w:szCs w:val="22"/>
          <w:color w:val="auto"/>
        </w:rPr>
        <w:t>We file the Specialized Disclosure Form (Form SD) including the Conflict Minerals Report annually with the SEC as directed by the Dodd-Frank Wall Street Reform and Consumer Protection Act of 2010. Our Form SD and CMR are available on our website at http://www.gm.com/investors/sec-filings.html.</w:t>
      </w:r>
    </w:p>
    <w:p>
      <w:pPr>
        <w:spacing w:after="0" w:line="287" w:lineRule="exact"/>
        <w:rPr>
          <w:sz w:val="20"/>
          <w:szCs w:val="20"/>
          <w:color w:val="auto"/>
        </w:rPr>
      </w:pPr>
    </w:p>
    <w:p>
      <w:pPr>
        <w:ind w:right="700" w:firstLine="8"/>
        <w:spacing w:after="0" w:line="269" w:lineRule="auto"/>
        <w:tabs>
          <w:tab w:leader="none" w:pos="398"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Steps We Have Taken or Will Take to Mitigate the Risk that Conflict Minerals in Our Products Benefit Armed Groups Including Improving Due Diligence</w:t>
      </w:r>
    </w:p>
    <w:p>
      <w:pPr>
        <w:spacing w:after="0" w:line="195"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22"/>
          <w:szCs w:val="22"/>
          <w:color w:val="auto"/>
        </w:rPr>
        <w:t>We are continuing to work with our suppliers to gather more information through the supply chain. Through emails, webinars, and our conflict minerals policy, we are encouraging our suppliers to work with their supply chains to source responsibly, including utilizing conformant SORs.</w:t>
      </w:r>
    </w:p>
    <w:p>
      <w:pPr>
        <w:spacing w:after="0" w:line="212" w:lineRule="exact"/>
        <w:rPr>
          <w:sz w:val="20"/>
          <w:szCs w:val="20"/>
          <w:color w:val="auto"/>
        </w:rPr>
      </w:pPr>
    </w:p>
    <w:p>
      <w:pPr>
        <w:jc w:val="both"/>
        <w:ind w:right="20" w:firstLine="324"/>
        <w:spacing w:after="0" w:line="265" w:lineRule="auto"/>
        <w:rPr>
          <w:sz w:val="20"/>
          <w:szCs w:val="20"/>
          <w:color w:val="auto"/>
        </w:rPr>
      </w:pPr>
      <w:r>
        <w:rPr>
          <w:rFonts w:ascii="Arial" w:cs="Arial" w:eastAsia="Arial" w:hAnsi="Arial"/>
          <w:sz w:val="21"/>
          <w:szCs w:val="21"/>
          <w:color w:val="auto"/>
        </w:rPr>
        <w:t>We will continue to work with AIAG to further educate suppliers and utilize common methods to determine the origin of 3TG in our products. We co-chair the main AIAG Responsible Materials Work Group. Through this group, we will continue to develop and participate in AIAG training and other 3TG initiatives. We also actively participate in the AIAG Smelter Engagement Team (SET) and the RMI SET to prioritize and conduct outreach and visits to SORs.</w:t>
      </w:r>
    </w:p>
    <w:p>
      <w:pPr>
        <w:spacing w:after="0" w:line="202" w:lineRule="exact"/>
        <w:rPr>
          <w:sz w:val="20"/>
          <w:szCs w:val="20"/>
          <w:color w:val="auto"/>
        </w:rPr>
      </w:pPr>
    </w:p>
    <w:p>
      <w:pPr>
        <w:jc w:val="both"/>
        <w:ind w:right="20" w:firstLine="324"/>
        <w:spacing w:after="0" w:line="265" w:lineRule="auto"/>
        <w:rPr>
          <w:sz w:val="20"/>
          <w:szCs w:val="20"/>
          <w:color w:val="auto"/>
        </w:rPr>
      </w:pPr>
      <w:r>
        <w:rPr>
          <w:rFonts w:ascii="Arial" w:cs="Arial" w:eastAsia="Arial" w:hAnsi="Arial"/>
          <w:sz w:val="21"/>
          <w:szCs w:val="21"/>
          <w:color w:val="auto"/>
        </w:rPr>
        <w:t>We, as a member company of RMI, are further developing a reliable SOR list by assisting RMI in identifying eligible SORs. Working with RMI and AIAG, we are sending letters to SORs and visiting SORs who are not yet engaged in the RMAP. We believe that increasing the participation of SORs in this program will not only expand the availability of conflict-free 3TG but will also enhance the ability for our supply base to reliably source 3TG from conformant SORs.</w:t>
      </w:r>
    </w:p>
    <w:p>
      <w:pPr>
        <w:spacing w:after="0" w:line="277"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19"/>
          <w:szCs w:val="19"/>
          <w:b w:val="1"/>
          <w:bCs w:val="1"/>
          <w:color w:val="auto"/>
        </w:rPr>
        <w:t>Product Determination</w:t>
      </w:r>
    </w:p>
    <w:p>
      <w:pPr>
        <w:spacing w:after="0" w:line="253"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9"/>
          <w:szCs w:val="19"/>
          <w:color w:val="auto"/>
        </w:rPr>
        <w:t>Based on the results of our RCOI and due diligence, the complexity of our supply chain and the inherent imprecision of reporting information through our supply chain, we cannot confirm whether the 3TG reported to us by our suppliers, some of which may have been sourced from a covered country, are in our products. However, we have not identified any instances where 3TG minerals in our products are directly or indirectly financing or benefiting armed groups in the covered countries.</w:t>
      </w:r>
    </w:p>
    <w:p>
      <w:pPr>
        <w:spacing w:after="0" w:line="24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19"/>
          <w:szCs w:val="19"/>
          <w:b w:val="1"/>
          <w:bCs w:val="1"/>
          <w:color w:val="auto"/>
        </w:rPr>
        <w:t>Appendix</w:t>
      </w:r>
    </w:p>
    <w:p>
      <w:pPr>
        <w:spacing w:after="0" w:line="253"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22"/>
          <w:szCs w:val="22"/>
          <w:color w:val="auto"/>
        </w:rPr>
        <w:t>Utilizing the information provided by our first-tier suppliers in their CMRT submissions, we compiled a list of SORs that may provide 3TG used in our products. The SOR list is provided as an appendix in this report. However, because most of our suppliers reported 3TG usage at a company-wide level, the information provided by our suppliers, including the identity of the SORs included in the appendix, may relate to non-GM products. In addition, not all of our suppliers provided the SOR identity and country of origin information for 3TG. Further, we understand that SORs generally commingle minerals from different mine sources, which may further impair our suppliers’ ability to track the source of 3TG. Accordingly, we cannot confirm the accuracy or completeness of the attached appendix of potential SORs, and we cannot definitively determine the origin of all the 3TG we utilize in our products.</w:t>
      </w: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7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Metal</w:t>
            </w:r>
          </w:p>
        </w:tc>
        <w:tc>
          <w:tcPr>
            <w:tcW w:w="664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b w:val="1"/>
                <w:bCs w:val="1"/>
                <w:color w:val="auto"/>
              </w:rPr>
              <w:t>Standard Smelter Name</w:t>
            </w:r>
          </w:p>
        </w:tc>
        <w:tc>
          <w:tcPr>
            <w:tcW w:w="290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b w:val="1"/>
                <w:bCs w:val="1"/>
                <w:color w:val="auto"/>
              </w:rPr>
              <w:t>Smelter Identification</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Asaka Riken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CID000092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Changsha South Tantalum Niobium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CID000211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D Block Metals, LLC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CID002504</w:t>
            </w:r>
          </w:p>
        </w:tc>
      </w:tr>
    </w:tbl>
    <w:p>
      <w:pPr>
        <w:sectPr>
          <w:pgSz w:w="11900" w:h="16838" w:orient="portrait"/>
          <w:cols w:equalWidth="0" w:num="1">
            <w:col w:w="11260"/>
          </w:cols>
          <w:pgMar w:left="320" w:top="456" w:right="3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7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Exotech Inc.</w:t>
            </w:r>
          </w:p>
        </w:tc>
        <w:tc>
          <w:tcPr>
            <w:tcW w:w="290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CID000456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F&amp;X Electro-Materials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CID000460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FIR Metals &amp; Resource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CID002505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Global Advanced Metals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CID000564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Global Advanced Metals Aizu</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CID002558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Global Advanced Metals Boyertown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CID002557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Guangdong Zhiyuan New Material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CID000616</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H.C. Starck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CID002544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H.C. Starck Hermsdorf GmbH</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CID002547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H.C. Starck Inc.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CID002548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H.C. Starck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CID002549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H.C. Starck Smelting GmbH &amp; Co. KG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CID002550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H.C. Starck Tantalum and Niobium GmbH</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CID002545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Hengyang King Xing Lifeng New Materials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CID002492</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Jiangxi Dinghai Tantalum &amp; Niobium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CID002512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Jiangxi Tuohong New Raw Material</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CID002842</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JiuJiang JinXin Nonferrous Metals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CID000914</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Jiujiang Tanbre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CID000917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Jiujiang Zhongao Tantalum &amp; Niobium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CID002506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KEMET Blue Metals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CID002539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KEMET Corp.</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CID000963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LSM Brasil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CID001076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Metallurgical Products India Pvt.,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CID001163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Mineracao Taboca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CID001175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Mitsui Mining and Smelting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CID001192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Ningxia Orient Tantalum Industry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CID001277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NPM Silmet AS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CID001200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Plansee SE</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CID001368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PRG Dooel</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CID002847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QuantumClean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CID001508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Resind Industria e Comercio Ltda.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CID002707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Solikamsk Magnesium Works OAO</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CID001769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Taki Chemical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CID001869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Telex Metals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CID001891</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Ulba Metallurgical Plant JSC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CID001969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XinXing HaoRong Electronic Material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CID002508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Tantalum</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Yanling Jincheng Tantalum &amp; Niobium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CID001522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Alpha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CID000292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An Vinh Joint Stock Mineral Processing Company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CID002703</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Chenzhou Yunxiang Mining and Metallurgy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CID000228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Chifeng Dajingzi Tin Industry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CID003190</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China Tin Group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CID001070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Dongguan CiEXPO Environmental Engineering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CID003356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Dowa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CID000402</w:t>
            </w:r>
          </w:p>
        </w:tc>
      </w:tr>
      <w:tr>
        <w:trPr>
          <w:trHeight w:val="249"/>
        </w:trPr>
        <w:tc>
          <w:tcPr>
            <w:tcW w:w="17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Tin</w:t>
            </w:r>
          </w:p>
        </w:tc>
        <w:tc>
          <w:tcPr>
            <w:tcW w:w="6640" w:type="dxa"/>
            <w:vAlign w:val="bottom"/>
            <w:tcBorders>
              <w:right w:val="single" w:sz="8" w:color="00000A"/>
            </w:tcBorders>
          </w:tcPr>
          <w:p>
            <w:pPr>
              <w:spacing w:after="0" w:line="248" w:lineRule="exact"/>
              <w:rPr>
                <w:sz w:val="20"/>
                <w:szCs w:val="20"/>
                <w:color w:val="auto"/>
              </w:rPr>
            </w:pPr>
            <w:r>
              <w:rPr>
                <w:rFonts w:ascii="Arial" w:cs="Arial" w:eastAsia="Arial" w:hAnsi="Arial"/>
                <w:sz w:val="22"/>
                <w:szCs w:val="22"/>
                <w:color w:val="auto"/>
                <w:w w:val="94"/>
              </w:rPr>
              <w:t>Electro-Mechanical Facility of the Cao Bang Minerals &amp; Metallurgy Joint</w:t>
            </w:r>
          </w:p>
        </w:tc>
        <w:tc>
          <w:tcPr>
            <w:tcW w:w="2900" w:type="dxa"/>
            <w:vAlign w:val="bottom"/>
            <w:tcBorders>
              <w:right w:val="single" w:sz="8" w:color="00000A"/>
            </w:tcBorders>
          </w:tcPr>
          <w:p>
            <w:pPr>
              <w:spacing w:after="0" w:line="248" w:lineRule="exact"/>
              <w:rPr>
                <w:sz w:val="20"/>
                <w:szCs w:val="20"/>
                <w:color w:val="auto"/>
              </w:rPr>
            </w:pPr>
            <w:r>
              <w:rPr>
                <w:rFonts w:ascii="Arial" w:cs="Arial" w:eastAsia="Arial" w:hAnsi="Arial"/>
                <w:sz w:val="22"/>
                <w:szCs w:val="22"/>
                <w:color w:val="auto"/>
              </w:rPr>
              <w:t>CID002572</w:t>
            </w:r>
          </w:p>
        </w:tc>
      </w:tr>
      <w:tr>
        <w:trPr>
          <w:trHeight w:val="285"/>
        </w:trPr>
        <w:tc>
          <w:tcPr>
            <w:tcW w:w="1720" w:type="dxa"/>
            <w:vAlign w:val="bottom"/>
            <w:tcBorders>
              <w:left w:val="single" w:sz="8" w:color="00000A"/>
              <w:bottom w:val="single" w:sz="8" w:color="00000A"/>
              <w:right w:val="single" w:sz="8" w:color="00000A"/>
            </w:tcBorders>
          </w:tcPr>
          <w:p>
            <w:pPr>
              <w:spacing w:after="0"/>
              <w:rPr>
                <w:sz w:val="24"/>
                <w:szCs w:val="24"/>
                <w:color w:val="auto"/>
              </w:rPr>
            </w:pP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Stock Company</w:t>
            </w:r>
          </w:p>
        </w:tc>
        <w:tc>
          <w:tcPr>
            <w:tcW w:w="2900" w:type="dxa"/>
            <w:vAlign w:val="bottom"/>
            <w:tcBorders>
              <w:bottom w:val="single" w:sz="8" w:color="00000A"/>
              <w:right w:val="single" w:sz="8" w:color="00000A"/>
            </w:tcBorders>
          </w:tcPr>
          <w:p>
            <w:pPr>
              <w:spacing w:after="0"/>
              <w:rPr>
                <w:sz w:val="24"/>
                <w:szCs w:val="24"/>
                <w:color w:val="auto"/>
              </w:rPr>
            </w:pP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EM Vinto</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CID000438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Estanho de Rondonia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CID000448</w:t>
            </w:r>
          </w:p>
        </w:tc>
      </w:tr>
    </w:tbl>
    <w:p>
      <w:pPr>
        <w:sectPr>
          <w:pgSz w:w="11900" w:h="16838" w:orient="portrait"/>
          <w:cols w:equalWidth="0" w:num="1">
            <w:col w:w="11260"/>
          </w:cols>
          <w:pgMar w:left="320" w:top="565" w:right="319" w:bottom="838"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7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Fenix Metals</w:t>
            </w:r>
          </w:p>
        </w:tc>
        <w:tc>
          <w:tcPr>
            <w:tcW w:w="290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CID000468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Gejiu Kai Meng Industry and Trade LLC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CID000942</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Gejiu Non-Ferrous Metal Processing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CID000538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Gejiu Yunxin Nonferrous Electrolysis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CID001908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Gejiu Zili Mining And Metallurgy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CID000555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Guangdong Hanhe Non-Ferrous Metal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CID003116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Guanyang Guida Nonferrous Metal Smelting Plant</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CID002849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HuiChang Hill Tin Industry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CID002844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Huichang Jinshunda Tin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CID000760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Jiangxi New Nanshan Technology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CID001231</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Ma'anshan Weitai Tin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CID003379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Magnu's Minerais Metais e Ligas Ltda.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CID002468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Malaysia Smelting Corporation (MSC)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CID001105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Melt Metais e Ligas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CID002500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Metallic Resources, Inc.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CID001142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Metallo Belgium N.V.</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CID002773</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Metallo Spain S.L.U.</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CID002774</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Metallum Group Holding NV</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CID001143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Mineracao Taboca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CID001173</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Minsur</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CID001182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Mitsubishi Materials Corporation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CID001191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Modeltech Sdn Bhd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CID002858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Nghe Tinh Non-Ferrous Metals Joint Stock Company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CID002573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O.M. Manufacturing (Thailand)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CID001314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O.M. Manufacturing Philippines, Inc.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CID002517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Operaciones Metalurgicas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CID001337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Pongpipat Company Limited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CID003208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PT Artha Cipta Langgeng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CID001399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PT ATD Makmur Mandiri Jaya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CID002503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PT Mitra Stania Prima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CID001453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PT Refined Bangka Tin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CID001460</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PT Timah Tbk</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CID002772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PT Timah Tbk Kundur</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CID001477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PT Timah Tbk Mentok</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CID001482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Resind Industria e Comercio Ltda.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CID002706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Rui Da Hung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CID001539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Soft Metais Ltda.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CID001758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Super Ligas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CID002756</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Thai Nguyen Mining and Metallurgy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CID002834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Thaisarco</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CID001898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Tin Technology &amp; Refining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CID003325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Tuyen Quang Non-Ferrous Metals Joint Stock Company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CID002574</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White Solder Metalurgia e Mineracao Ltda.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CID002036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Yunnan Chengfeng Non-ferrous Metals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CID002158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Yunnan Tin Company Limited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CID002180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Tin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Yunnan Yunfan Non-ferrous Metals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CID003397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ACL Metais Eireli</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CID002833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Asia Tungsten Products Vietnam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CID002502</w:t>
            </w:r>
          </w:p>
        </w:tc>
      </w:tr>
    </w:tbl>
    <w:p>
      <w:pPr>
        <w:sectPr>
          <w:pgSz w:w="11900" w:h="16838" w:orient="portrait"/>
          <w:cols w:equalWidth="0" w:num="1">
            <w:col w:w="11260"/>
          </w:cols>
          <w:pgMar w:left="320" w:top="565" w:right="319" w:bottom="771"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7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Chenzhou Diamond Tungsten Products Co., Ltd.</w:t>
            </w:r>
          </w:p>
        </w:tc>
        <w:tc>
          <w:tcPr>
            <w:tcW w:w="290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CID002513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China Molybdenum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CID002641</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China National Nonferrous Metals Imp. &amp; Exp. Jiangxi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CID002864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Chongyi Zhangyuan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CID000258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CNMC (Guangxi) PGMA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CID000281</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Fujian Jinxin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CID000499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Ganzhou Haichuang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CID002645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Ganzhou Huaxing Tungsten Products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CID000875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Ganzhou Jiangwu Ferrotungsten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CID002315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Ganzhou Seadragon W &amp; Mo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CID002494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Global Tungsten &amp; Powders Corp.</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CID000568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Guangdong Xianglu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CID000218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H.C. Starck Smelting GmbH &amp; Co. KG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CID002542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H.C. Starck Tungsten GmbH</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CID002541</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Hunan Chenzhou Mining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CID000766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Hunan Chuangda Vanadium Tungsten Co., Ltd. Wuji</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CID002579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Hunan Chunchang Nonferrous Metals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CID000769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Hunan Litian Tungsten Industry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CID003182</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Hydrometallurg, JSC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CID002649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Japan New Metals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CID000825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Jiangwu H.C. Starck Tungsten Products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CID002551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Jiangxi Gan Bei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CID002321</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Jiangxi Minmetals Gao'an Non-ferrous Metals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CID002313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Jiangxi Tonggu Non-ferrous Metallurgical &amp; Chemical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CID002318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Jiangxi Xianglu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CID002647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Jiangxi Xinsheng Tungsten Industry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CID002317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Jiangxi Yaosheng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CID002316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Kennametal Fallon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CID000966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Kennametal Huntsville</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CID000105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Malipo Haiyu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CID002319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Masan Tungsten Chemical LLC (MTC)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CID002543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Moliren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CID002845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Niagara Refining LLC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CID002589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Philippine Chuangxin Industrial Co., Inc.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CID002827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Tejing (Vietnam)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CID001889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Unecha Refractory metals plant</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CID002724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Wolfram Bergbau und Hutten AG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CID002044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WOLFRAM Company CJSC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CID002047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Woltech Korea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CID002843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Xiamen Tungsten (H.C.)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CID002320</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Xiamen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CID002082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Xinfeng Huarui Tungsten &amp; Molybdenum New Material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CID002830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Tungsten</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Xinhai Rendan Shaoguan Tungsten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CID002095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8853 S.p.A.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CID002763</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Abington Reldan Metals, LLC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CID002708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Advanced Chemical Company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CID000015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African Gold Refinery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CID003185</w:t>
            </w:r>
          </w:p>
        </w:tc>
      </w:tr>
    </w:tbl>
    <w:p>
      <w:pPr>
        <w:sectPr>
          <w:pgSz w:w="11900" w:h="16838" w:orient="portrait"/>
          <w:cols w:equalWidth="0" w:num="1">
            <w:col w:w="11260"/>
          </w:cols>
          <w:pgMar w:left="320" w:top="565" w:right="319" w:bottom="1081"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7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Aida Chemical Industries Co., Ltd.</w:t>
            </w:r>
          </w:p>
        </w:tc>
        <w:tc>
          <w:tcPr>
            <w:tcW w:w="290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CID000019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Al Etihad Gold Refinery DMCC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CID002560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Allgemeine Gold-und Silberscheideanstalt A.G.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CID000035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Almalyk Mining and Metallurgical Complex (AMMC)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CID000041</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AngloGold Ashanti Corrego do Sitio Mineracao</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CID000058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Argor-Heraeus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CID000077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Asahi Pretec Corp.</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CID000082</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Asahi Refining Canada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CID000924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Asahi Refining USA Inc.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CID000920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Asaka Riken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CID000090</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Atasay Kuyumculuk Sanayi Ve Ticaret A.S.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CID000103</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AU Traders and Refiners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CID002850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Aurubis AG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CID000113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Bangalore Refinery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CID002863</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Bangko Sentral ng Pilipinas (Central Bank of the Philippines)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CID000128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Boliden AB</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CID000157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 Hafner GmbH + Co. KG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CID000176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Caridad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CID000180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CCR Refinery - Glencore Canada Corporation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CID000185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Cendres + Metaux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CID000189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Chimet S.p.A.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CID000233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Chugai Mining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CID000264</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Daye Non-Ferrous Metals Mining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CID000343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Degussa Sonne / Mond Goldhandel GmbH</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CID002867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Dijllah Gold Refinery FZC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CID003348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DODUCO Contacts and Refining GmbH</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CID000362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Dowa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CID000401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DS PRETECH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CID003195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DSC (Do Sung Corporation)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CID000359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Eco-System Recycling Co., Ltd. East Plant</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CID000425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Emirates Gold DMCC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CID002561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Fidelity Printers and Refiners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CID002515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Fujairah Gold FZC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CID002584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GCC Gujrat Gold Centre Pvt.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CID002852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Geib Refining Corporation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CID002459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Gold Refinery of Zijin Mining Group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CID002243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Great Wall Precious Metals Co., Ltd. of CBPM</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CID001909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Guangdong Jinding Gold Limited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CID002312</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Guoda Safina High-Tech Environmental Refinery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CID000651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Hangzhou Fuchunjiang Smelting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CID000671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Heimerle + Meule GmbH</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CID000694</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Heraeus Metals Hong Kong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CID000707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Heraeus Precious Metals GmbH &amp; Co. KG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CID000711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Hunan Chenzhou Mining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CID000767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Hunan Guiyang yinxing Nonferrous Smelting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CID000773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HwaSeong CJ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CID000778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Inner Mongolia Qiankun Gold and Silver Refinery Share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CID000801</w:t>
            </w:r>
          </w:p>
        </w:tc>
      </w:tr>
    </w:tbl>
    <w:p>
      <w:pPr>
        <w:sectPr>
          <w:pgSz w:w="11900" w:h="16838" w:orient="portrait"/>
          <w:cols w:equalWidth="0" w:num="1">
            <w:col w:w="11260"/>
          </w:cols>
          <w:pgMar w:left="320" w:top="565" w:right="319" w:bottom="1081"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7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International Precious Metal Refiners</w:t>
            </w:r>
          </w:p>
        </w:tc>
        <w:tc>
          <w:tcPr>
            <w:tcW w:w="290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CID002562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Ishifuku Metal Industry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CID000807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Istanbul Gold Refinery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CID000814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Italpreziosi</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CID002765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Japan Mint</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CID000823</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Jiangxi Copper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CID000855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JSC Ekaterinburg Non-Ferrous Metal Processing Plant</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CID000927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JSC Uralelectromed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CID000929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JX Nippon Mining &amp; Metals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CID000937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Kaloti Precious Metals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CID002563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Kazakhmys Smelting LLC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CID000956</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Kazzinc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CID000957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Kennecott Utah Copper LLC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CID000969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KGHM Polska Miedz Spolka Akcyjna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CID002511</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Kojima Chemicals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CID000981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Korea Zinc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CID002605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Kyrgyzaltyn JSC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CID001029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Kyshtym Copper-Electrolytic Plant ZAO</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CID002865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L'azurde Company For Jewelry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CID001032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Lingbao Gold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CID001056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Lingbao Jinyuan Tonghui Refinery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CID001058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L'Orfebre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CID002762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LS-NIKKO Copper Inc.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CID001078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LT Metal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CID000689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Luoyang Zijin Yinhui Gold Refinery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CID001093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Marsam Metals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CID002606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Materion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CID001113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Matsuda Sangyo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CID001119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Metalor Technologies (Hong Kong)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CID001149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Metalor Technologies (Singapore) Pte.,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CID001152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Metalor Technologies (Suzhou)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CID001147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Metalor Technologies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CID001153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Metalor USA Refining Corporation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CID001157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Metalurgica Met-Mex Penoles S.A. De C.V.</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CID001161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Mitsubishi Materials Corporation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CID001188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Mitsui Mining and Smelting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CID001193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MMTC-PAMP India Pvt.,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CID002509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Modeltech Sdn Bhd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CID002857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Morris and Watson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CID002282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Moscow Special Alloys Processing Plant</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CID001204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Nadir Metal Rafineri San. Ve Tic. A.S.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CID001220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Navoi Mining and Metallurgical Combinat</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CID001236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NH Recytech Company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CID003189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Nihon Material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CID001259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Ogussa Osterreichische Gold- und Silber-Scheideanstalt GmbH</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CID002779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Ohura Precious Metal Industry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CID001325</w:t>
            </w:r>
          </w:p>
        </w:tc>
      </w:tr>
      <w:tr>
        <w:trPr>
          <w:trHeight w:val="249"/>
        </w:trPr>
        <w:tc>
          <w:tcPr>
            <w:tcW w:w="1720" w:type="dxa"/>
            <w:vAlign w:val="bottom"/>
            <w:tcBorders>
              <w:left w:val="single" w:sz="8" w:color="00000A"/>
              <w:right w:val="single" w:sz="8" w:color="00000A"/>
            </w:tcBorders>
          </w:tcPr>
          <w:p>
            <w:pPr>
              <w:ind w:left="40"/>
              <w:spacing w:after="0" w:line="248" w:lineRule="exact"/>
              <w:rPr>
                <w:sz w:val="20"/>
                <w:szCs w:val="20"/>
                <w:color w:val="auto"/>
              </w:rPr>
            </w:pPr>
            <w:r>
              <w:rPr>
                <w:rFonts w:ascii="Arial" w:cs="Arial" w:eastAsia="Arial" w:hAnsi="Arial"/>
                <w:sz w:val="22"/>
                <w:szCs w:val="22"/>
                <w:color w:val="auto"/>
              </w:rPr>
              <w:t>Gold</w:t>
            </w:r>
          </w:p>
        </w:tc>
        <w:tc>
          <w:tcPr>
            <w:tcW w:w="6640" w:type="dxa"/>
            <w:vAlign w:val="bottom"/>
            <w:tcBorders>
              <w:right w:val="single" w:sz="8" w:color="00000A"/>
            </w:tcBorders>
          </w:tcPr>
          <w:p>
            <w:pPr>
              <w:spacing w:after="0" w:line="248" w:lineRule="exact"/>
              <w:rPr>
                <w:sz w:val="20"/>
                <w:szCs w:val="20"/>
                <w:color w:val="auto"/>
              </w:rPr>
            </w:pPr>
            <w:r>
              <w:rPr>
                <w:rFonts w:ascii="Arial" w:cs="Arial" w:eastAsia="Arial" w:hAnsi="Arial"/>
                <w:sz w:val="22"/>
                <w:szCs w:val="22"/>
                <w:color w:val="auto"/>
              </w:rPr>
              <w:t>OJSC "The Gulidov Krasnoyarsk Non-Ferrous Metals Plant" (OJSC</w:t>
            </w:r>
          </w:p>
        </w:tc>
        <w:tc>
          <w:tcPr>
            <w:tcW w:w="2900" w:type="dxa"/>
            <w:vAlign w:val="bottom"/>
            <w:tcBorders>
              <w:right w:val="single" w:sz="8" w:color="00000A"/>
            </w:tcBorders>
          </w:tcPr>
          <w:p>
            <w:pPr>
              <w:spacing w:after="0" w:line="248" w:lineRule="exact"/>
              <w:rPr>
                <w:sz w:val="20"/>
                <w:szCs w:val="20"/>
                <w:color w:val="auto"/>
              </w:rPr>
            </w:pPr>
            <w:r>
              <w:rPr>
                <w:rFonts w:ascii="Arial" w:cs="Arial" w:eastAsia="Arial" w:hAnsi="Arial"/>
                <w:sz w:val="22"/>
                <w:szCs w:val="22"/>
                <w:color w:val="auto"/>
              </w:rPr>
              <w:t>CID001326</w:t>
            </w:r>
          </w:p>
        </w:tc>
      </w:tr>
      <w:tr>
        <w:trPr>
          <w:trHeight w:val="285"/>
        </w:trPr>
        <w:tc>
          <w:tcPr>
            <w:tcW w:w="1720" w:type="dxa"/>
            <w:vAlign w:val="bottom"/>
            <w:tcBorders>
              <w:left w:val="single" w:sz="8" w:color="00000A"/>
              <w:bottom w:val="single" w:sz="8" w:color="00000A"/>
              <w:right w:val="single" w:sz="8" w:color="00000A"/>
            </w:tcBorders>
          </w:tcPr>
          <w:p>
            <w:pPr>
              <w:spacing w:after="0"/>
              <w:rPr>
                <w:sz w:val="24"/>
                <w:szCs w:val="24"/>
                <w:color w:val="auto"/>
              </w:rPr>
            </w:pP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Krastsvetmet)</w:t>
            </w:r>
          </w:p>
        </w:tc>
        <w:tc>
          <w:tcPr>
            <w:tcW w:w="2900" w:type="dxa"/>
            <w:vAlign w:val="bottom"/>
            <w:tcBorders>
              <w:bottom w:val="single" w:sz="8" w:color="00000A"/>
              <w:right w:val="single" w:sz="8" w:color="00000A"/>
            </w:tcBorders>
          </w:tcPr>
          <w:p>
            <w:pPr>
              <w:spacing w:after="0"/>
              <w:rPr>
                <w:sz w:val="24"/>
                <w:szCs w:val="24"/>
                <w:color w:val="auto"/>
              </w:rPr>
            </w:pPr>
          </w:p>
        </w:tc>
      </w:tr>
    </w:tbl>
    <w:p>
      <w:pPr>
        <w:sectPr>
          <w:pgSz w:w="11900" w:h="16838" w:orient="portrait"/>
          <w:cols w:equalWidth="0" w:num="1">
            <w:col w:w="11260"/>
          </w:cols>
          <w:pgMar w:left="320" w:top="565" w:right="319" w:bottom="838"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7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OJSC Novosibirsk Refinery</w:t>
            </w:r>
          </w:p>
        </w:tc>
        <w:tc>
          <w:tcPr>
            <w:tcW w:w="290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CID000493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PAMP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CID001352</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Pease &amp; Curren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CID002872</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Penglai Penggang Gold Industry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CID001362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Planta Recuperadora de Metales SpA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CID002919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Prioksky Plant of Non-Ferrous Metals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CID001386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PT Aneka Tambang (Persero) Tbk</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CID001397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PX Precinox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CID001498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QG Refining, LLC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CID003324</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Rand Refinery (Pty)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CID001512</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Refinery of Seemine Gold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CID000522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REMONDIS PMR B.V.</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CID002582</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Royal Canadian Mint</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CID001534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SAAMP</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CID002761</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Sabin Metal Corp.</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CID001546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Safimet S.p.A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CID002973</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SAFINA A.S.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CID002290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Sai Refinery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CID002853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Samduck Precious Metals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CID001555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Samwon Metals Corp.</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CID001562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SAXONIA Edelmetalle GmbH</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CID002777</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SEMPSA Joyeria Plateria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CID001585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Shandong Humon Smelting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CID002525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Shandong Tiancheng Biological Gold Industrial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CID001619</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Shandong Zhaojin Gold &amp; Silver Refinery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CID001622</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Sichuan Tianze Precious Metals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CID001736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Singway Technology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CID002516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SOE Shyolkovsky Factory of Secondary Precious Metals</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CID001756</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Solar Applied Materials Technology Corp.</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CID001761</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w w:val="96"/>
              </w:rPr>
              <w:t>State Research Institute Center for Physical Sciences and Technology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CID003153</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Sudan Gold Refinery</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CID002567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Sumitomo Metal Mining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CID001798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SungEel HiMetal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CID002918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T.C.A S.p.A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CID002580</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Tanaka Kikinzoku Kogyo K.K.</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CID001875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The Refinery of Shandong Gold Mining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CID001916</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Tokuriki Honten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CID001938</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Tongling Nonferrous Metals Group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CID001947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Tony Goetz NV</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CID002587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TOO Tau-Ken-Altyn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CID002615</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Torecom</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CID001955</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Umicore Brasil Ltda.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CID001977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Umicore Precious Metals Thailand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CID002314</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Umicore S.A. Business Unit Precious Metals Refining</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CID001980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United Precious Metal Refining, Inc.</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CID001993</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Valcambi S.A.</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CID002003</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Western Australian Mint (T/a The Perth Mint)</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CID002030</w:t>
            </w:r>
          </w:p>
        </w:tc>
      </w:tr>
    </w:tbl>
    <w:p>
      <w:pPr>
        <w:sectPr>
          <w:pgSz w:w="11900" w:h="16838" w:orient="portrait"/>
          <w:cols w:equalWidth="0" w:num="1">
            <w:col w:w="11260"/>
          </w:cols>
          <w:pgMar w:left="320" w:top="565" w:right="319" w:bottom="1081"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72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WIELAND Edelmetalle GmbH</w:t>
            </w:r>
          </w:p>
        </w:tc>
        <w:tc>
          <w:tcPr>
            <w:tcW w:w="2900" w:type="dxa"/>
            <w:vAlign w:val="bottom"/>
            <w:tcBorders>
              <w:top w:val="single" w:sz="8" w:color="00000A"/>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CID002778</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Yamakin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CID002100</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Yokohama Metal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CID002129</w:t>
            </w:r>
          </w:p>
        </w:tc>
      </w:tr>
      <w:tr>
        <w:trPr>
          <w:trHeight w:val="291"/>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Yunnan Copper Industry Co., Ltd.</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CID000197</w:t>
            </w:r>
          </w:p>
        </w:tc>
      </w:tr>
      <w:tr>
        <w:trPr>
          <w:trHeight w:val="290"/>
        </w:trPr>
        <w:tc>
          <w:tcPr>
            <w:tcW w:w="1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Gold</w:t>
            </w:r>
          </w:p>
        </w:tc>
        <w:tc>
          <w:tcPr>
            <w:tcW w:w="664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Zhongyuan Gold Smelter of Zhongjin Gold Corporation</w:t>
            </w:r>
          </w:p>
        </w:tc>
        <w:tc>
          <w:tcPr>
            <w:tcW w:w="290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2"/>
                <w:szCs w:val="22"/>
                <w:color w:val="auto"/>
              </w:rPr>
              <w:t>CID002224</w:t>
            </w:r>
          </w:p>
        </w:tc>
      </w:tr>
    </w:tbl>
    <w:p>
      <w:pPr>
        <w:spacing w:after="0" w:line="1" w:lineRule="exact"/>
        <w:rPr>
          <w:sz w:val="20"/>
          <w:szCs w:val="20"/>
          <w:color w:val="auto"/>
        </w:rPr>
      </w:pPr>
    </w:p>
    <w:sectPr>
      <w:pgSz w:w="11900" w:h="16838" w:orient="portrait"/>
      <w:cols w:equalWidth="0" w:num="1">
        <w:col w:w="11260"/>
      </w:cols>
      <w:pgMar w:left="320" w:top="56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9"/>
    </w:lvl>
  </w:abstractNum>
  <w:abstractNum w:abstractNumId="2">
    <w:nsid w:val="625558EC"/>
    <w:multiLevelType w:val="hybridMultilevel"/>
    <w:lvl w:ilvl="0">
      <w:lvlJc w:val="left"/>
      <w:lvlText w:val="%1."/>
      <w:numFmt w:val="upperLetter"/>
      <w:start w:val="35"/>
    </w:lvl>
  </w:abstractNum>
  <w:abstractNum w:abstractNumId="3">
    <w:nsid w:val="238E1F29"/>
    <w:multiLevelType w:val="hybridMultilevel"/>
    <w:lvl w:ilvl="0">
      <w:lvlJc w:val="left"/>
      <w:lvlText w:val="%1."/>
      <w:numFmt w:val="upperLetter"/>
      <w:start w:val="61"/>
    </w:lvl>
  </w:abstractNum>
  <w:abstractNum w:abstractNumId="4">
    <w:nsid w:val="46E87CCD"/>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2020-06-01T10:55:00Z</dcterms:created>
  <dcterms:modified xsi:type="dcterms:W3CDTF">2020-06-01T10:55:00Z</dcterms:modified>
</cp:coreProperties>
</file>