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484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844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Hatto Christopher</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00"/>
        <w:spacing w:after="0" w:line="317" w:lineRule="auto"/>
        <w:rPr>
          <w:sz w:val="20"/>
          <w:szCs w:val="20"/>
          <w:color w:val="auto"/>
        </w:rPr>
      </w:pPr>
      <w:r>
        <w:rPr>
          <w:rFonts w:ascii="Arial" w:cs="Arial" w:eastAsia="Arial" w:hAnsi="Arial"/>
          <w:sz w:val="17"/>
          <w:szCs w:val="17"/>
          <w:color w:val="0000FF"/>
        </w:rPr>
        <w:t>300 RENAISSANCE CENTER M/C: 482-C23-A68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02/14/2020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46"/>
        <w:spacing w:after="0"/>
        <w:rPr>
          <w:sz w:val="20"/>
          <w:szCs w:val="20"/>
          <w:color w:val="auto"/>
        </w:rPr>
      </w:pPr>
      <w:r>
        <w:rPr>
          <w:rFonts w:ascii="Arial" w:cs="Arial" w:eastAsia="Arial" w:hAnsi="Arial"/>
          <w:sz w:val="17"/>
          <w:szCs w:val="17"/>
          <w:color w:val="0000FF"/>
        </w:rPr>
        <w:t>Vice President &amp; CAO</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8"/>
          </w:tcPr>
          <w:p>
            <w:pPr>
              <w:jc w:val="center"/>
              <w:ind w:right="34"/>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48265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6"/>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w w:val="99"/>
              </w:rPr>
              <w:t>Disposed Of (D) (Instr. 3, 4 and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restart"/>
          </w:tcPr>
          <w:p>
            <w:pPr>
              <w:jc w:val="right"/>
              <w:ind w:right="154"/>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02/14/2020</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57"/>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11,741</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21,781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40" w:type="dxa"/>
            <w:vAlign w:val="bottom"/>
            <w:gridSpan w:val="3"/>
          </w:tcPr>
          <w:p>
            <w:pPr>
              <w:ind w:left="920"/>
              <w:spacing w:after="0"/>
              <w:rPr>
                <w:sz w:val="20"/>
                <w:szCs w:val="20"/>
                <w:color w:val="auto"/>
              </w:rPr>
            </w:pPr>
            <w:r>
              <w:rPr>
                <w:rFonts w:ascii="Arial" w:cs="Arial" w:eastAsia="Arial" w:hAnsi="Arial"/>
                <w:sz w:val="17"/>
                <w:szCs w:val="17"/>
                <w:color w:val="0000FF"/>
              </w:rPr>
              <w:t>02/14/2020</w:t>
            </w: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7"/>
              <w:spacing w:after="0"/>
              <w:rPr>
                <w:sz w:val="20"/>
                <w:szCs w:val="20"/>
                <w:color w:val="auto"/>
              </w:rPr>
            </w:pPr>
            <w:r>
              <w:rPr>
                <w:rFonts w:ascii="Arial" w:cs="Arial" w:eastAsia="Arial" w:hAnsi="Arial"/>
                <w:sz w:val="13"/>
                <w:szCs w:val="13"/>
                <w:color w:val="0000FF"/>
              </w:rPr>
              <w:t>F</w:t>
            </w: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0000FF"/>
              </w:rPr>
              <w:t>3,593</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34.76</w:t>
            </w:r>
          </w:p>
        </w:tc>
        <w:tc>
          <w:tcPr>
            <w:tcW w:w="1240" w:type="dxa"/>
            <w:vAlign w:val="bottom"/>
            <w:gridSpan w:val="2"/>
          </w:tcPr>
          <w:p>
            <w:pPr>
              <w:ind w:left="360"/>
              <w:spacing w:after="0"/>
              <w:rPr>
                <w:sz w:val="20"/>
                <w:szCs w:val="20"/>
                <w:color w:val="auto"/>
              </w:rPr>
            </w:pPr>
            <w:r>
              <w:rPr>
                <w:rFonts w:ascii="Arial" w:cs="Arial" w:eastAsia="Arial" w:hAnsi="Arial"/>
                <w:sz w:val="17"/>
                <w:szCs w:val="17"/>
                <w:color w:val="0000FF"/>
              </w:rPr>
              <w:t>18,188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40" w:type="dxa"/>
            <w:vAlign w:val="bottom"/>
            <w:gridSpan w:val="11"/>
          </w:tcPr>
          <w:p>
            <w:pPr>
              <w:jc w:val="center"/>
              <w:ind w:left="5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11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20"/>
              <w:spacing w:after="0"/>
              <w:rPr>
                <w:sz w:val="20"/>
                <w:szCs w:val="20"/>
                <w:color w:val="auto"/>
              </w:rPr>
            </w:pPr>
            <w:r>
              <w:rPr>
                <w:rFonts w:ascii="Arial" w:cs="Arial" w:eastAsia="Arial" w:hAnsi="Arial"/>
                <w:sz w:val="17"/>
                <w:szCs w:val="17"/>
                <w:color w:val="0000FF"/>
                <w:w w:val="92"/>
              </w:rPr>
              <w:t>11,974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02/15/2020</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6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11,974</w:t>
            </w:r>
          </w:p>
        </w:tc>
        <w:tc>
          <w:tcPr>
            <w:tcW w:w="340" w:type="dxa"/>
            <w:vAlign w:val="bottom"/>
          </w:tcPr>
          <w:p>
            <w:pPr>
              <w:spacing w:after="0"/>
              <w:rPr>
                <w:sz w:val="12"/>
                <w:szCs w:val="12"/>
                <w:color w:val="auto"/>
              </w:rPr>
            </w:pPr>
          </w:p>
        </w:tc>
        <w:tc>
          <w:tcPr>
            <w:tcW w:w="800" w:type="dxa"/>
            <w:vAlign w:val="bottom"/>
            <w:gridSpan w:val="2"/>
          </w:tcPr>
          <w:p>
            <w:pPr>
              <w:jc w:val="center"/>
              <w:spacing w:after="0" w:line="145" w:lineRule="exact"/>
              <w:rPr>
                <w:sz w:val="20"/>
                <w:szCs w:val="20"/>
                <w:color w:val="auto"/>
              </w:rPr>
            </w:pPr>
            <w:r>
              <w:rPr>
                <w:rFonts w:ascii="Arial" w:cs="Arial" w:eastAsia="Arial" w:hAnsi="Arial"/>
                <w:sz w:val="13"/>
                <w:szCs w:val="13"/>
                <w:color w:val="0000FF"/>
                <w:w w:val="95"/>
              </w:rPr>
              <w:t>02/15/2020</w:t>
            </w:r>
          </w:p>
        </w:tc>
        <w:tc>
          <w:tcPr>
            <w:tcW w:w="8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07/28/2025</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ind w:left="1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35,922</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jc w:val="right"/>
              <w:ind w:right="174"/>
              <w:spacing w:after="0" w:line="134"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14, 2017, the Reporting Person received a grant of Performance Stock Units ("PSUs") under the Company's 2014 Long-Term Incentive Plan. Under the grant, the PSUs could be earned based on the achievement of certain financial targets. The PSUs vested on February 14, 2020, and were awarded in shares of common stock.</w:t>
      </w:r>
    </w:p>
    <w:p>
      <w:pPr>
        <w:spacing w:after="0" w:line="9" w:lineRule="exact"/>
        <w:rPr>
          <w:rFonts w:ascii="Arial" w:cs="Arial" w:eastAsia="Arial" w:hAnsi="Arial"/>
          <w:sz w:val="13"/>
          <w:szCs w:val="13"/>
          <w:color w:val="008000"/>
        </w:rPr>
      </w:pP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15, 2020, the remaining 20% of the July 28, 2015, Driving Stockholder Value Stock Option Grant vested upon meeting or exceeding the median Total Shareholder Return of the peer group for the period July 28, 2015, through December 31, 2019.</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Tia Y. Turk, Attorney-In-</w:t>
            </w:r>
          </w:p>
        </w:tc>
        <w:tc>
          <w:tcPr>
            <w:tcW w:w="3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02/19/2020</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 for Mr. Hatto</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215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2020-02-19T17:15:01Z</dcterms:created>
  <dcterms:modified xsi:type="dcterms:W3CDTF">2020-02-19T17:15:01Z</dcterms:modified>
</cp:coreProperties>
</file>