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540"/>
        <w:spacing w:after="0" w:line="261" w:lineRule="auto"/>
        <w:rPr>
          <w:sz w:val="20"/>
          <w:szCs w:val="20"/>
          <w:color w:val="auto"/>
        </w:rPr>
      </w:pPr>
      <w:r>
        <w:rPr>
          <w:rFonts w:ascii="Arial" w:cs="Arial" w:eastAsia="Arial" w:hAnsi="Arial"/>
          <w:sz w:val="18"/>
          <w:szCs w:val="18"/>
          <w:b w:val="1"/>
          <w:bCs w:val="1"/>
          <w:color w:val="auto"/>
        </w:rPr>
        <w:t>Free Writing Prospectus filed pursuant to Rule 433 Relating to the Preliminary Prospectus Supplement dated February 27, 2018 to the Prospectus dated February 7, 2017. Registration Statement No. 333-215924</w:t>
      </w:r>
    </w:p>
    <w:p>
      <w:pPr>
        <w:spacing w:after="0" w:line="187" w:lineRule="exact"/>
        <w:rPr>
          <w:sz w:val="24"/>
          <w:szCs w:val="24"/>
          <w:color w:val="auto"/>
        </w:rPr>
      </w:pPr>
    </w:p>
    <w:p>
      <w:pPr>
        <w:ind w:left="10240"/>
        <w:spacing w:after="0"/>
        <w:rPr>
          <w:sz w:val="20"/>
          <w:szCs w:val="20"/>
          <w:color w:val="auto"/>
        </w:rPr>
      </w:pPr>
      <w:r>
        <w:rPr>
          <w:rFonts w:ascii="Arial" w:cs="Arial" w:eastAsia="Arial" w:hAnsi="Arial"/>
          <w:sz w:val="47"/>
          <w:szCs w:val="47"/>
          <w:color w:val="auto"/>
        </w:rPr>
        <w:t>News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21526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15430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For Immediate Release: Tuesday, Feb. 27, 2018</w:t>
      </w:r>
    </w:p>
    <w:p>
      <w:pPr>
        <w:spacing w:after="0" w:line="200" w:lineRule="exact"/>
        <w:rPr>
          <w:sz w:val="24"/>
          <w:szCs w:val="24"/>
          <w:color w:val="auto"/>
        </w:rPr>
      </w:pPr>
    </w:p>
    <w:p>
      <w:pPr>
        <w:spacing w:after="0" w:line="23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General Motors Announces Public Secondary</w:t>
      </w:r>
    </w:p>
    <w:p>
      <w:pPr>
        <w:spacing w:after="0" w:line="27"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Offering of Common Stock by the VEBA Trust</w:t>
      </w:r>
    </w:p>
    <w:p>
      <w:pPr>
        <w:spacing w:after="0" w:line="207" w:lineRule="exact"/>
        <w:rPr>
          <w:sz w:val="24"/>
          <w:szCs w:val="24"/>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today announced that the UAW Retiree Medical Benefits Trust (the “Selling Stockholder” or “the VEBA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intends to offer for sale 40 million shares of GM common stock in an underwritten secondary offering. The Selling Stockholder will receive all of the proceeds from this offering. No shares are being sold by GM.</w:t>
      </w:r>
    </w:p>
    <w:p>
      <w:pPr>
        <w:spacing w:after="0" w:line="18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VEBA Trust’s acquisition in 2009 of the shares of GM common stock subject to this offering, the U.S. Department of Labor required the VEBA Trust to appoint an independent fiduciary to make all decisions with respect to the disposition of such shares. Brock Fiduciary Services LLC is the independent fiduciary and investment manager to the VEBA Trust for these shares.</w:t>
      </w:r>
    </w:p>
    <w:p>
      <w:pPr>
        <w:spacing w:after="0" w:line="181"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GM also announced that, subject to the completion of the offering, it intends to repurchase from the underwriters a portion of the 40 million shares of common stock being offered having an aggregate value of approximately $100 million at a price per share equal to the price per share that the underwriters pay to the VEBA Trust in the offering.</w:t>
      </w:r>
    </w:p>
    <w:p>
      <w:pPr>
        <w:spacing w:after="0" w:line="181" w:lineRule="exact"/>
        <w:rPr>
          <w:sz w:val="24"/>
          <w:szCs w:val="24"/>
          <w:color w:val="auto"/>
        </w:rPr>
      </w:pPr>
    </w:p>
    <w:p>
      <w:pPr>
        <w:ind w:right="620"/>
        <w:spacing w:after="0" w:line="264" w:lineRule="auto"/>
        <w:rPr>
          <w:sz w:val="20"/>
          <w:szCs w:val="20"/>
          <w:color w:val="auto"/>
        </w:rPr>
      </w:pPr>
      <w:r>
        <w:rPr>
          <w:rFonts w:ascii="Arial" w:cs="Arial" w:eastAsia="Arial" w:hAnsi="Arial"/>
          <w:sz w:val="18"/>
          <w:szCs w:val="18"/>
          <w:color w:val="auto"/>
        </w:rPr>
        <w:t>Citigroup and Barclays are acting as underwriters for the offering. The underwriters may offer the shares of common stock, excluding the shares to be repurchased by GM, from time to time in one or more transactions on the NYSE, on the over-the-counter market, through negotiated transactions or otherwise, at market prices, at prices related to market prices or at negotiated prices.</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for Investors</w:t>
      </w:r>
    </w:p>
    <w:p>
      <w:pPr>
        <w:spacing w:after="0" w:line="121" w:lineRule="exact"/>
        <w:rPr>
          <w:sz w:val="24"/>
          <w:szCs w:val="24"/>
          <w:color w:val="auto"/>
        </w:rPr>
      </w:pPr>
    </w:p>
    <w:p>
      <w:pPr>
        <w:ind w:right="20"/>
        <w:spacing w:after="0" w:line="285" w:lineRule="auto"/>
        <w:rPr>
          <w:sz w:val="20"/>
          <w:szCs w:val="20"/>
          <w:color w:val="auto"/>
        </w:rPr>
      </w:pPr>
      <w:r>
        <w:rPr>
          <w:rFonts w:ascii="Arial" w:cs="Arial" w:eastAsia="Arial" w:hAnsi="Arial"/>
          <w:sz w:val="16"/>
          <w:szCs w:val="16"/>
          <w:color w:val="auto"/>
        </w:rPr>
        <w:t xml:space="preserve">GM has filed a registration statement (including a prospectus) with the U.S. Securities and Exchange Commission (“SEC”) for the offering to which this communication relates. Before investing, please read the prospectus in that registration statement and other documents GM has filed with the SEC for more complete information about GM and this offering. Prospective investors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GM, any underwriter or any dealer participating in the offering will arrange to send any prospective investor the prospectus if the prospective investor requests it by contacting Citigroup, c/o Broadridge Financial Solutions, 1155 Long Island Avenue, Edgewood, NY 11717 or by phone at</w:t>
      </w:r>
    </w:p>
    <w:p>
      <w:pPr>
        <w:spacing w:after="0" w:line="2" w:lineRule="exact"/>
        <w:rPr>
          <w:sz w:val="24"/>
          <w:szCs w:val="24"/>
          <w:color w:val="auto"/>
        </w:rPr>
      </w:pPr>
    </w:p>
    <w:p>
      <w:pPr>
        <w:ind w:right="1640" w:firstLine="8"/>
        <w:spacing w:after="0" w:line="261"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831-9146 and Barclays Capital Inc., c/o Broadridge Financial Solutions, 1155 Long Island Avenue, Edgewood, New York 11717; barclaysprospectus@broadridge.com (phone 888-603-5847).</w:t>
      </w:r>
    </w:p>
    <w:p>
      <w:pPr>
        <w:spacing w:after="0" w:line="184"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420"/>
          </w:cols>
          <w:pgMar w:left="240" w:top="229" w:right="239" w:bottom="1440" w:gutter="0" w:footer="0" w:header="0"/>
        </w:sectPr>
      </w:pPr>
    </w:p>
    <w:bookmarkStart w:id="1" w:name="page2"/>
    <w:bookmarkEnd w:id="1"/>
    <w:p>
      <w:pPr>
        <w:ind w:right="40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Motors Co. </w:t>
      </w:r>
      <w:r>
        <w:rPr>
          <w:rFonts w:ascii="Arial" w:cs="Arial" w:eastAsia="Arial" w:hAnsi="Arial"/>
          <w:sz w:val="17"/>
          <w:szCs w:val="17"/>
          <w:color w:val="auto"/>
        </w:rPr>
        <w:t>(NYSE:GM) has leadership positions in the world’s largest and fastest-growing automotive markets. GM, its subsidiaries and joint</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entities sell vehicles under the Chevrolet, Cadillac, Baojun, Buick, GMC, Holden, Jiefang and Wuling brands.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and related comments by management may include forward-looking statements, including our intention to repurchase shares of common stock from the underwriters, subject to completion of the offering. These statements are 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crossovers, SUVs and full-size pick-up trucks; (3) our ability to reduce the costs associated with the manufacture and sale of electric vehicles; (4) the volatility of global sales and operations; (5) our significant business in China which subjects us to unique risks; (6) our joint ventures, which we cannot operate solely for our benefit and over which we may have limited control; (7) adoption of,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(8) our dependence on our manufacturing facilities; (9) the ability of suppliers to deliver parts, systems and components without disruption and on schedule; (10) prices of raw materials; (11) our highly competitive industry; (12) our ability to protect our intellectual property; (13) security breaches and other disruptions to our vehicles, information technology networks and systems; (14) compliance with laws and regulations applicable to our industry, including those regarding fuel economy and emissions; (15) costs and risks associated with litigation and government investigations; (16) compliance with the terms of the Deferred Prosecution Agreement; (17) the cost and effect on our reputation of product safety recalls and alleged defects in products and services; (18) our ability to successfully and cost-efficiently restructure operations in various countries with minimal disruption; (19) our ability to realize production efficiencies and to achieve reductions in costs; (20) our ability to develop captive financing capability through GM Financial; and (21) significant increases in pension expense or projected pension contributions. A further list and description of these risks, uncertainties and other factors can be found in our Annual Report on Form 10-K for the fiscal year ended December 31, 2017,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GM Communications</w:t>
            </w: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GM Investor Relations</w:t>
            </w:r>
          </w:p>
        </w:tc>
        <w:tc>
          <w:tcPr>
            <w:tcW w:w="2800" w:type="dxa"/>
            <w:vAlign w:val="bottom"/>
            <w:gridSpan w:val="2"/>
          </w:tcPr>
          <w:p>
            <w:pPr>
              <w:spacing w:after="0"/>
              <w:rPr>
                <w:sz w:val="20"/>
                <w:szCs w:val="20"/>
                <w:color w:val="auto"/>
              </w:rPr>
            </w:pPr>
            <w:r>
              <w:rPr>
                <w:rFonts w:ascii="Arial" w:cs="Arial" w:eastAsia="Arial" w:hAnsi="Arial"/>
                <w:sz w:val="18"/>
                <w:szCs w:val="18"/>
                <w:b w:val="1"/>
                <w:bCs w:val="1"/>
                <w:color w:val="auto"/>
                <w:w w:val="90"/>
              </w:rPr>
              <w:t>UAW Retiree Medical Benefits Trust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3780" w:type="dxa"/>
            <w:vAlign w:val="bottom"/>
            <w:gridSpan w:val="2"/>
          </w:tcPr>
          <w:p>
            <w:pPr>
              <w:spacing w:after="0"/>
              <w:rPr>
                <w:sz w:val="20"/>
                <w:szCs w:val="20"/>
                <w:color w:val="auto"/>
              </w:rPr>
            </w:pPr>
            <w:r>
              <w:rPr>
                <w:rFonts w:ascii="Arial" w:cs="Arial" w:eastAsia="Arial" w:hAnsi="Arial"/>
                <w:sz w:val="18"/>
                <w:szCs w:val="18"/>
                <w:color w:val="auto"/>
              </w:rPr>
              <w:t>Mike Heifler</w:t>
            </w:r>
          </w:p>
        </w:tc>
        <w:tc>
          <w:tcPr>
            <w:tcW w:w="2800" w:type="dxa"/>
            <w:vAlign w:val="bottom"/>
            <w:gridSpan w:val="2"/>
          </w:tcPr>
          <w:p>
            <w:pPr>
              <w:spacing w:after="0"/>
              <w:rPr>
                <w:sz w:val="20"/>
                <w:szCs w:val="20"/>
                <w:color w:val="auto"/>
              </w:rPr>
            </w:pPr>
            <w:r>
              <w:rPr>
                <w:rFonts w:ascii="Arial" w:cs="Arial" w:eastAsia="Arial" w:hAnsi="Arial"/>
                <w:sz w:val="18"/>
                <w:szCs w:val="18"/>
                <w:color w:val="auto"/>
              </w:rPr>
              <w:t>Brock Fiduciary Services LLC</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313-667-2702</w:t>
            </w:r>
          </w:p>
        </w:tc>
        <w:tc>
          <w:tcPr>
            <w:tcW w:w="218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313-418-0220</w:t>
            </w:r>
          </w:p>
        </w:tc>
        <w:tc>
          <w:tcPr>
            <w:tcW w:w="19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Alain Lebec</w:t>
            </w:r>
          </w:p>
        </w:tc>
      </w:tr>
      <w:tr>
        <w:trPr>
          <w:trHeight w:val="190"/>
        </w:trPr>
        <w:tc>
          <w:tcPr>
            <w:tcW w:w="4120" w:type="dxa"/>
            <w:vAlign w:val="bottom"/>
            <w:gridSpan w:val="2"/>
          </w:tcPr>
          <w:p>
            <w:pPr>
              <w:spacing w:after="0" w:line="190" w:lineRule="exact"/>
              <w:rPr>
                <w:sz w:val="20"/>
                <w:szCs w:val="20"/>
                <w:color w:val="auto"/>
              </w:rPr>
            </w:pPr>
            <w:r>
              <w:rPr>
                <w:rFonts w:ascii="Arial" w:cs="Arial" w:eastAsia="Arial" w:hAnsi="Arial"/>
                <w:sz w:val="18"/>
                <w:szCs w:val="18"/>
                <w:color w:val="auto"/>
              </w:rPr>
              <w:t>tom.e.henderson@gm.com</w:t>
            </w:r>
          </w:p>
        </w:tc>
        <w:tc>
          <w:tcPr>
            <w:tcW w:w="3780" w:type="dxa"/>
            <w:vAlign w:val="bottom"/>
            <w:gridSpan w:val="2"/>
          </w:tcPr>
          <w:p>
            <w:pPr>
              <w:spacing w:after="0" w:line="190" w:lineRule="exact"/>
              <w:rPr>
                <w:sz w:val="20"/>
                <w:szCs w:val="20"/>
                <w:color w:val="auto"/>
              </w:rPr>
            </w:pPr>
            <w:r>
              <w:rPr>
                <w:rFonts w:ascii="Arial" w:cs="Arial" w:eastAsia="Arial" w:hAnsi="Arial"/>
                <w:sz w:val="18"/>
                <w:szCs w:val="18"/>
                <w:color w:val="auto"/>
              </w:rPr>
              <w:t>michael.heifler@gm.com</w:t>
            </w:r>
          </w:p>
        </w:tc>
        <w:tc>
          <w:tcPr>
            <w:tcW w:w="1860" w:type="dxa"/>
            <w:vAlign w:val="bottom"/>
          </w:tcPr>
          <w:p>
            <w:pPr>
              <w:spacing w:after="0" w:line="190" w:lineRule="exact"/>
              <w:rPr>
                <w:sz w:val="20"/>
                <w:szCs w:val="20"/>
                <w:color w:val="auto"/>
              </w:rPr>
            </w:pPr>
            <w:r>
              <w:rPr>
                <w:rFonts w:ascii="Arial" w:cs="Arial" w:eastAsia="Arial" w:hAnsi="Arial"/>
                <w:sz w:val="18"/>
                <w:szCs w:val="18"/>
                <w:color w:val="auto"/>
              </w:rPr>
              <w:t>212-209-3000</w:t>
            </w:r>
          </w:p>
        </w:tc>
        <w:tc>
          <w:tcPr>
            <w:tcW w:w="940" w:type="dxa"/>
            <w:vAlign w:val="bottom"/>
          </w:tcPr>
          <w:p>
            <w:pPr>
              <w:spacing w:after="0"/>
              <w:rPr>
                <w:sz w:val="16"/>
                <w:szCs w:val="16"/>
                <w:color w:val="auto"/>
              </w:rPr>
            </w:pPr>
          </w:p>
        </w:tc>
      </w:tr>
      <w:tr>
        <w:trPr>
          <w:trHeight w:val="196"/>
        </w:trPr>
        <w:tc>
          <w:tcPr>
            <w:tcW w:w="1940" w:type="dxa"/>
            <w:vAlign w:val="bottom"/>
            <w:tcBorders>
              <w:top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alebec@brockcapital.com</w:t>
            </w:r>
          </w:p>
        </w:tc>
      </w:tr>
      <w:tr>
        <w:trPr>
          <w:trHeight w:val="20"/>
        </w:trPr>
        <w:tc>
          <w:tcPr>
            <w:tcW w:w="1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2019-12-07T16:14:00Z</dcterms:created>
  <dcterms:modified xsi:type="dcterms:W3CDTF">2019-12-07T16:14:00Z</dcterms:modified>
</cp:coreProperties>
</file>