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51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03/15/2013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2"/>
              </w:rPr>
              <w:t>15,188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15,688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03/15/2013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71"/>
              <w:spacing w:after="0"/>
              <w:rPr>
                <w:sz w:val="20"/>
                <w:szCs w:val="20"/>
                <w:color w:val="auto"/>
              </w:rPr>
            </w:pPr>
            <w:r>
              <w:rPr>
                <w:rFonts w:ascii="Arial" w:cs="Arial" w:eastAsia="Arial" w:hAnsi="Arial"/>
                <w:sz w:val="17"/>
                <w:szCs w:val="17"/>
                <w:color w:val="0000FF"/>
                <w:w w:val="89"/>
              </w:rPr>
              <w:t>5,316</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28.03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10,372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03/15/2013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71"/>
              <w:spacing w:after="0"/>
              <w:rPr>
                <w:sz w:val="20"/>
                <w:szCs w:val="20"/>
                <w:color w:val="auto"/>
              </w:rPr>
            </w:pPr>
            <w:r>
              <w:rPr>
                <w:rFonts w:ascii="Arial" w:cs="Arial" w:eastAsia="Arial" w:hAnsi="Arial"/>
                <w:sz w:val="17"/>
                <w:szCs w:val="17"/>
                <w:color w:val="0000FF"/>
                <w:w w:val="89"/>
              </w:rPr>
              <w:t>9,872</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28.03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15,188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15,188</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240"/>
              <w:spacing w:after="0"/>
              <w:rPr>
                <w:sz w:val="20"/>
                <w:szCs w:val="20"/>
                <w:color w:val="auto"/>
              </w:rPr>
            </w:pPr>
            <w:r>
              <w:rPr>
                <w:rFonts w:ascii="Arial" w:cs="Arial" w:eastAsia="Arial" w:hAnsi="Arial"/>
                <w:sz w:val="11"/>
                <w:szCs w:val="11"/>
                <w:color w:val="008000"/>
              </w:rPr>
              <w:t>(2)</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45" w:lineRule="exact"/>
              <w:rPr>
                <w:sz w:val="20"/>
                <w:szCs w:val="20"/>
                <w:color w:val="auto"/>
              </w:rPr>
            </w:pPr>
            <w:r>
              <w:rPr>
                <w:rFonts w:ascii="Arial" w:cs="Arial" w:eastAsia="Arial" w:hAnsi="Arial"/>
                <w:sz w:val="13"/>
                <w:szCs w:val="13"/>
                <w:color w:val="0000FF"/>
                <w:w w:val="90"/>
              </w:rPr>
              <w:t>15,187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settlement of the portion of a grant of Restricted Stock Units ("RSUs") awarded on March 15, 2010 pursuant to the Company's 2009 Long-Term Incentive Plan (the "GMLTP").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40" w:right="260" w:firstLine="8"/>
        <w:spacing w:after="0" w:line="28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2010, the reporting person received a grant of 10,125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30,375 RSUs, of which one half were vested and settled on March 15, 2013. The remaining one half of the RSUs granted will vest as provided in the GMLTP.</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03/19/2013</w:t>
            </w:r>
          </w:p>
        </w:tc>
        <w:tc>
          <w:tcPr>
            <w:tcW w:w="0" w:type="dxa"/>
            <w:vAlign w:val="bottom"/>
          </w:tcPr>
          <w:p>
            <w:pPr>
              <w:spacing w:after="0"/>
              <w:rPr>
                <w:sz w:val="1"/>
                <w:szCs w:val="1"/>
                <w:color w:val="auto"/>
              </w:rPr>
            </w:pPr>
          </w:p>
        </w:tc>
      </w:tr>
      <w:tr>
        <w:trPr>
          <w:trHeight w:val="92"/>
        </w:trPr>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Lee</w:t>
            </w:r>
          </w:p>
        </w:tc>
        <w:tc>
          <w:tcPr>
            <w:tcW w:w="9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2019-12-18T15:52:10Z</dcterms:created>
  <dcterms:modified xsi:type="dcterms:W3CDTF">2019-12-18T15:52:10Z</dcterms:modified>
</cp:coreProperties>
</file>