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251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2511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JIMENEZ JOSEPH</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8"/>
              </w:rPr>
              <w:t>M/C: 482-C23-A68</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0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8"/>
          </w:tcPr>
          <w:p>
            <w:pPr>
              <w:ind w:left="5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8"/>
          </w:tcPr>
          <w:p>
            <w:pPr>
              <w:ind w:left="7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7,538</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7,538</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28,786</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1,095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12/31/2018</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1,095</w:t>
            </w: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29,881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2018, pursuant to the General Motors Company Deferred Compensation Plan (the "Plan") for Non-Employee Directors. Each non-employee director is required to defer one-half of the $285,000 annual retainer fee for service on the Board of Directors into DSUs and may elect to defer more. The deferred portion of the retainer fee is converted to DSUs based on the average closing price of the Company's Common Stock during the previous calendar year, which was $37.81 in 2018. Amounts credited as DSUs will be paid in cash after the director leaves the Board, valued at the average closing price of the Company's Common Stock during the quarter immediately preceding payment.</w:t>
      </w:r>
    </w:p>
    <w:p>
      <w:pPr>
        <w:spacing w:after="0" w:line="8" w:lineRule="exact"/>
        <w:rPr>
          <w:rFonts w:ascii="Arial" w:cs="Arial" w:eastAsia="Arial" w:hAnsi="Arial"/>
          <w:sz w:val="12"/>
          <w:szCs w:val="12"/>
          <w:color w:val="008000"/>
        </w:rPr>
      </w:pPr>
    </w:p>
    <w:p>
      <w:pPr>
        <w:ind w:left="40" w:right="2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dividends accrued on DSUs in 2018 that were credited as additional DSUs at the end of the year pursuant to the terms of the Plan. The dividends were converted to DSUs based on the average of the high and low trading price of the Company's Common Stock on the applicable quarterly dividend payment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01/03/2019</w:t>
            </w:r>
          </w:p>
        </w:tc>
        <w:tc>
          <w:tcPr>
            <w:tcW w:w="0" w:type="dxa"/>
            <w:vAlign w:val="bottom"/>
          </w:tcPr>
          <w:p>
            <w:pPr>
              <w:spacing w:after="0"/>
              <w:rPr>
                <w:sz w:val="1"/>
                <w:szCs w:val="1"/>
                <w:color w:val="auto"/>
              </w:rPr>
            </w:pPr>
          </w:p>
        </w:tc>
      </w:tr>
      <w:tr>
        <w:trPr>
          <w:trHeight w:val="88"/>
        </w:trPr>
        <w:tc>
          <w:tcPr>
            <w:tcW w:w="1480" w:type="dxa"/>
            <w:vAlign w:val="bottom"/>
            <w:vMerge w:val="restart"/>
          </w:tcPr>
          <w:p>
            <w:pPr>
              <w:spacing w:after="0" w:line="196" w:lineRule="exact"/>
              <w:rPr>
                <w:sz w:val="20"/>
                <w:szCs w:val="20"/>
                <w:color w:val="auto"/>
              </w:rPr>
            </w:pPr>
            <w:r>
              <w:rPr>
                <w:rFonts w:ascii="Arial" w:cs="Arial" w:eastAsia="Arial" w:hAnsi="Arial"/>
                <w:sz w:val="18"/>
                <w:szCs w:val="18"/>
                <w:color w:val="0000FF"/>
                <w:w w:val="88"/>
              </w:rPr>
              <w:t>Fact for Mr. Jimenez</w:t>
            </w:r>
          </w:p>
        </w:tc>
        <w:tc>
          <w:tcPr>
            <w:tcW w:w="660" w:type="dxa"/>
            <w:vAlign w:val="bottom"/>
            <w:gridSpan w:val="2"/>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80" w:type="dxa"/>
            <w:vAlign w:val="bottom"/>
            <w:tcBorders>
              <w:bottom w:val="single" w:sz="8" w:color="auto"/>
            </w:tcBorders>
            <w:vMerge w:val="continue"/>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9095"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2019-12-24T07:18:44Z</dcterms:created>
  <dcterms:modified xsi:type="dcterms:W3CDTF">2019-12-24T07:18:44Z</dcterms:modified>
</cp:coreProperties>
</file>