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137160" cy="184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84785"/>
                    </a:xfrm>
                    <a:prstGeom prst="rect">
                      <a:avLst/>
                    </a:prstGeom>
                    <a:noFill/>
                  </pic:spPr>
                </pic:pic>
              </a:graphicData>
            </a:graphic>
          </wp:anchor>
        </w:drawing>
      </w:r>
    </w:p>
    <w:p>
      <w:pPr>
        <w:jc w:val="both"/>
        <w:ind w:left="320" w:right="340" w:hanging="244"/>
        <w:spacing w:after="0" w:line="183"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360" w:type="dxa"/>
            <w:vAlign w:val="bottom"/>
          </w:tcPr>
          <w:p>
            <w:pPr>
              <w:jc w:val="center"/>
              <w:ind w:right="39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9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3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9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vMerge w:val="restart"/>
          </w:tcPr>
          <w:p>
            <w:pPr>
              <w:jc w:val="center"/>
              <w:ind w:right="39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5376545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-1815465</wp:posOffset>
            </wp:positionH>
            <wp:positionV relativeFrom="paragraph">
              <wp:posOffset>12065</wp:posOffset>
            </wp:positionV>
            <wp:extent cx="7281545" cy="8828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1545" cy="8828405"/>
                    </a:xfrm>
                    <a:prstGeom prst="rect">
                      <a:avLst/>
                    </a:prstGeom>
                    <a:noFill/>
                  </pic:spPr>
                </pic:pic>
              </a:graphicData>
            </a:graphic>
          </wp:anchor>
        </w:drawing>
      </w:r>
    </w:p>
    <w:p>
      <w:pPr>
        <w:spacing w:after="0" w:line="95" w:lineRule="exact"/>
        <w:rPr>
          <w:sz w:val="24"/>
          <w:szCs w:val="24"/>
          <w:color w:val="auto"/>
        </w:rPr>
      </w:pPr>
    </w:p>
    <w:p>
      <w:pPr>
        <w:sectPr>
          <w:pgSz w:w="11900" w:h="16992" w:orient="portrait"/>
          <w:cols w:equalWidth="0" w:num="2">
            <w:col w:w="2180" w:space="660"/>
            <w:col w:w="868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Motors Liquidation Co GUC Trust</w:t>
        </w:r>
      </w:hyperlink>
    </w:p>
    <w:p>
      <w:pPr>
        <w:spacing w:after="0" w:line="30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line="398" w:lineRule="auto"/>
        <w:rPr>
          <w:sz w:val="20"/>
          <w:szCs w:val="20"/>
          <w:color w:val="auto"/>
        </w:rPr>
      </w:pPr>
      <w:r>
        <w:rPr>
          <w:rFonts w:ascii="Arial" w:cs="Arial" w:eastAsia="Arial" w:hAnsi="Arial"/>
          <w:sz w:val="15"/>
          <w:szCs w:val="15"/>
          <w:color w:val="0000FF"/>
        </w:rPr>
        <w:t>C/O WILMINGTON TRUST COMPANY RODNEY SQUARE NORTH, 1110 N. MARKET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04/21/2011</w:t>
      </w:r>
    </w:p>
    <w:p>
      <w:pPr>
        <w:spacing w:after="0" w:line="20" w:lineRule="exact"/>
        <w:rPr>
          <w:sz w:val="24"/>
          <w:szCs w:val="24"/>
          <w:color w:val="auto"/>
        </w:rPr>
      </w:pPr>
      <w:r>
        <w:rPr>
          <w:sz w:val="24"/>
          <w:szCs w:val="24"/>
          <w:color w:val="auto"/>
        </w:rPr>
        <w:br w:type="column"/>
      </w:r>
    </w:p>
    <w:p>
      <w:pPr>
        <w:ind w:left="3" w:right="840" w:hanging="3"/>
        <w:spacing w:after="0" w:line="230"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43"/>
        <w:spacing w:after="0"/>
        <w:tabs>
          <w:tab w:leader="none" w:pos="1842" w:val="left"/>
          <w:tab w:leader="none" w:pos="218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8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2" w:lineRule="exact"/>
        <w:rPr>
          <w:sz w:val="24"/>
          <w:szCs w:val="24"/>
          <w:color w:val="auto"/>
        </w:rPr>
      </w:pPr>
    </w:p>
    <w:p>
      <w:pPr>
        <w:sectPr>
          <w:pgSz w:w="11900" w:h="16992" w:orient="portrait"/>
          <w:cols w:equalWidth="0" w:num="3">
            <w:col w:w="3640" w:space="420"/>
            <w:col w:w="3257" w:space="720"/>
            <w:col w:w="3483"/>
          </w:cols>
          <w:pgMar w:left="240" w:top="219" w:right="139" w:bottom="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00" w:type="dxa"/>
            <w:vAlign w:val="bottom"/>
            <w:tcBorders>
              <w:top w:val="single" w:sz="8" w:color="9A9A9A"/>
            </w:tcBorders>
          </w:tcPr>
          <w:p>
            <w:pPr>
              <w:spacing w:after="0"/>
              <w:rPr>
                <w:sz w:val="10"/>
                <w:szCs w:val="10"/>
                <w:color w:val="auto"/>
              </w:rPr>
            </w:pPr>
          </w:p>
        </w:tc>
        <w:tc>
          <w:tcPr>
            <w:tcW w:w="3740" w:type="dxa"/>
            <w:vAlign w:val="bottom"/>
          </w:tcPr>
          <w:p>
            <w:pPr>
              <w:ind w:left="160"/>
              <w:spacing w:after="0" w:line="126"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tcPr>
          <w:p>
            <w:pPr>
              <w:ind w:left="400"/>
              <w:spacing w:after="0" w:line="126" w:lineRule="exact"/>
              <w:rPr>
                <w:sz w:val="20"/>
                <w:szCs w:val="20"/>
                <w:color w:val="auto"/>
              </w:rPr>
            </w:pPr>
            <w:r>
              <w:rPr>
                <w:rFonts w:ascii="Arial" w:cs="Arial" w:eastAsia="Arial" w:hAnsi="Arial"/>
                <w:sz w:val="13"/>
                <w:szCs w:val="13"/>
                <w:color w:val="auto"/>
                <w:w w:val="96"/>
              </w:rPr>
              <w:t>6. Individual or Joint/Group Filing (Check Applicable Line)</w:t>
            </w:r>
          </w:p>
        </w:tc>
        <w:tc>
          <w:tcPr>
            <w:tcW w:w="0" w:type="dxa"/>
            <w:vAlign w:val="bottom"/>
          </w:tcPr>
          <w:p>
            <w:pPr>
              <w:spacing w:after="0"/>
              <w:rPr>
                <w:sz w:val="1"/>
                <w:szCs w:val="1"/>
                <w:color w:val="auto"/>
              </w:rPr>
            </w:pPr>
          </w:p>
        </w:tc>
      </w:tr>
      <w:tr>
        <w:trPr>
          <w:trHeight w:val="150"/>
        </w:trPr>
        <w:tc>
          <w:tcPr>
            <w:tcW w:w="756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00" w:type="dxa"/>
            <w:vAlign w:val="bottom"/>
            <w:vMerge w:val="restart"/>
          </w:tcPr>
          <w:p>
            <w:pPr>
              <w:ind w:left="9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WILMINGTON</w:t>
            </w:r>
          </w:p>
        </w:tc>
        <w:tc>
          <w:tcPr>
            <w:tcW w:w="1140" w:type="dxa"/>
            <w:vAlign w:val="bottom"/>
          </w:tcPr>
          <w:p>
            <w:pPr>
              <w:spacing w:after="0"/>
              <w:rPr>
                <w:sz w:val="20"/>
                <w:szCs w:val="20"/>
                <w:color w:val="auto"/>
              </w:rPr>
            </w:pPr>
            <w:r>
              <w:rPr>
                <w:rFonts w:ascii="Arial" w:cs="Arial" w:eastAsia="Arial" w:hAnsi="Arial"/>
                <w:sz w:val="16"/>
                <w:szCs w:val="16"/>
                <w:color w:val="0000FF"/>
              </w:rPr>
              <w:t>DE</w:t>
            </w:r>
          </w:p>
        </w:tc>
        <w:tc>
          <w:tcPr>
            <w:tcW w:w="980" w:type="dxa"/>
            <w:vAlign w:val="bottom"/>
            <w:gridSpan w:val="3"/>
          </w:tcPr>
          <w:p>
            <w:pPr>
              <w:ind w:left="140"/>
              <w:spacing w:after="0"/>
              <w:rPr>
                <w:sz w:val="20"/>
                <w:szCs w:val="20"/>
                <w:color w:val="auto"/>
              </w:rPr>
            </w:pPr>
            <w:r>
              <w:rPr>
                <w:rFonts w:ascii="Arial" w:cs="Arial" w:eastAsia="Arial" w:hAnsi="Arial"/>
                <w:sz w:val="16"/>
                <w:szCs w:val="16"/>
                <w:color w:val="0000FF"/>
                <w:w w:val="95"/>
              </w:rPr>
              <w:t>19890-1615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80" w:type="dxa"/>
            <w:vAlign w:val="bottom"/>
            <w:gridSpan w:val="10"/>
            <w:vMerge w:val="restart"/>
          </w:tcPr>
          <w:p>
            <w:pPr>
              <w:ind w:left="6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(State)</w:t>
            </w:r>
          </w:p>
        </w:tc>
        <w:tc>
          <w:tcPr>
            <w:tcW w:w="98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6620" w:type="dxa"/>
            <w:vAlign w:val="bottom"/>
            <w:tcBorders>
              <w:top w:val="single" w:sz="8" w:color="2C2C2C"/>
            </w:tcBorders>
            <w:gridSpan w:val="19"/>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ind w:left="5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4"/>
          </w:tcPr>
          <w:p>
            <w:pPr>
              <w:ind w:left="50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180" w:type="dxa"/>
            <w:vAlign w:val="bottom"/>
            <w:gridSpan w:val="6"/>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00"/>
              <w:spacing w:after="0" w:line="123"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4"/>
          </w:tcPr>
          <w:p>
            <w:pPr>
              <w:ind w:left="5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 Owned  (D) or Indirect</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1300" w:type="dxa"/>
            <w:vAlign w:val="bottom"/>
            <w:gridSpan w:val="2"/>
          </w:tcPr>
          <w:p>
            <w:pPr>
              <w:ind w:left="400"/>
              <w:spacing w:after="0"/>
              <w:rPr>
                <w:sz w:val="20"/>
                <w:szCs w:val="20"/>
                <w:color w:val="auto"/>
              </w:rPr>
            </w:pPr>
            <w:r>
              <w:rPr>
                <w:rFonts w:ascii="Arial" w:cs="Arial" w:eastAsia="Arial" w:hAnsi="Arial"/>
                <w:sz w:val="11"/>
                <w:szCs w:val="11"/>
                <w:b w:val="1"/>
                <w:bCs w:val="1"/>
                <w:color w:val="auto"/>
              </w:rPr>
              <w:t>(I) (Instr. 4)</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3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(Instr. 3 and 4)</w:t>
            </w: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Arial" w:cs="Arial" w:eastAsia="Arial" w:hAnsi="Arial"/>
                <w:sz w:val="16"/>
                <w:szCs w:val="16"/>
                <w:color w:val="0000FF"/>
              </w:rPr>
              <w:t>Dispositive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Arial" w:cs="Arial" w:eastAsia="Arial" w:hAnsi="Arial"/>
                <w:sz w:val="16"/>
                <w:szCs w:val="16"/>
                <w:color w:val="0000FF"/>
              </w:rPr>
              <w:t>power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140" w:type="dxa"/>
            <w:vAlign w:val="bottom"/>
          </w:tcPr>
          <w:p>
            <w:pPr>
              <w:spacing w:after="0"/>
              <w:rPr>
                <w:sz w:val="17"/>
                <w:szCs w:val="17"/>
                <w:color w:val="auto"/>
              </w:rPr>
            </w:pPr>
          </w:p>
        </w:tc>
        <w:tc>
          <w:tcPr>
            <w:tcW w:w="1840" w:type="dxa"/>
            <w:vAlign w:val="bottom"/>
            <w:gridSpan w:val="6"/>
          </w:tcPr>
          <w:p>
            <w:pPr>
              <w:ind w:left="960"/>
              <w:spacing w:after="0"/>
              <w:rPr>
                <w:sz w:val="20"/>
                <w:szCs w:val="20"/>
                <w:color w:val="auto"/>
              </w:rPr>
            </w:pPr>
            <w:r>
              <w:rPr>
                <w:rFonts w:ascii="Arial" w:cs="Arial" w:eastAsia="Arial" w:hAnsi="Arial"/>
                <w:sz w:val="16"/>
                <w:szCs w:val="16"/>
                <w:color w:val="0000FF"/>
              </w:rPr>
              <w:t>04/21/2011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ind w:left="140"/>
              <w:spacing w:after="0" w:line="201"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1180" w:type="dxa"/>
            <w:vAlign w:val="bottom"/>
            <w:gridSpan w:val="2"/>
          </w:tcPr>
          <w:p>
            <w:pPr>
              <w:ind w:left="120"/>
              <w:spacing w:after="0"/>
              <w:rPr>
                <w:sz w:val="20"/>
                <w:szCs w:val="20"/>
                <w:color w:val="auto"/>
              </w:rPr>
            </w:pPr>
            <w:r>
              <w:rPr>
                <w:rFonts w:ascii="Arial" w:cs="Arial" w:eastAsia="Arial" w:hAnsi="Arial"/>
                <w:sz w:val="16"/>
                <w:szCs w:val="16"/>
                <w:color w:val="0000FF"/>
              </w:rPr>
              <w:t>113,123,717</w:t>
            </w:r>
          </w:p>
        </w:tc>
        <w:tc>
          <w:tcPr>
            <w:tcW w:w="140" w:type="dxa"/>
            <w:vAlign w:val="bottom"/>
          </w:tcPr>
          <w:p>
            <w:pPr>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17"/>
                <w:szCs w:val="17"/>
                <w:color w:val="auto"/>
              </w:rPr>
            </w:pPr>
          </w:p>
        </w:tc>
        <w:tc>
          <w:tcPr>
            <w:tcW w:w="680" w:type="dxa"/>
            <w:vAlign w:val="bottom"/>
          </w:tcPr>
          <w:p>
            <w:pPr>
              <w:jc w:val="right"/>
              <w:ind w:right="16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17"/>
                <w:szCs w:val="17"/>
                <w:color w:val="auto"/>
              </w:rPr>
            </w:pPr>
          </w:p>
        </w:tc>
        <w:tc>
          <w:tcPr>
            <w:tcW w:w="1560" w:type="dxa"/>
            <w:vAlign w:val="bottom"/>
            <w:gridSpan w:val="3"/>
          </w:tcPr>
          <w:p>
            <w:pPr>
              <w:ind w:left="180"/>
              <w:spacing w:after="0"/>
              <w:rPr>
                <w:sz w:val="20"/>
                <w:szCs w:val="20"/>
                <w:color w:val="auto"/>
              </w:rPr>
            </w:pPr>
            <w:r>
              <w:rPr>
                <w:rFonts w:ascii="Arial" w:cs="Arial" w:eastAsia="Arial" w:hAnsi="Arial"/>
                <w:sz w:val="16"/>
                <w:szCs w:val="16"/>
                <w:color w:val="0000FF"/>
              </w:rPr>
              <w:t>36,876,283</w:t>
            </w:r>
          </w:p>
        </w:tc>
        <w:tc>
          <w:tcPr>
            <w:tcW w:w="520" w:type="dxa"/>
            <w:vAlign w:val="bottom"/>
          </w:tcPr>
          <w:p>
            <w:pPr>
              <w:ind w:left="20"/>
              <w:spacing w:after="0"/>
              <w:rPr>
                <w:sz w:val="20"/>
                <w:szCs w:val="20"/>
                <w:color w:val="auto"/>
              </w:rPr>
            </w:pPr>
            <w:r>
              <w:rPr>
                <w:rFonts w:ascii="Arial" w:cs="Arial" w:eastAsia="Arial" w:hAnsi="Arial"/>
                <w:sz w:val="16"/>
                <w:szCs w:val="16"/>
                <w:color w:val="0000FF"/>
              </w:rPr>
              <w:t>I</w:t>
            </w:r>
          </w:p>
        </w:tc>
        <w:tc>
          <w:tcPr>
            <w:tcW w:w="1080" w:type="dxa"/>
            <w:vAlign w:val="bottom"/>
            <w:gridSpan w:val="4"/>
          </w:tcPr>
          <w:p>
            <w:pPr>
              <w:ind w:left="60"/>
              <w:spacing w:after="0"/>
              <w:rPr>
                <w:sz w:val="20"/>
                <w:szCs w:val="20"/>
                <w:color w:val="auto"/>
              </w:rPr>
            </w:pPr>
            <w:r>
              <w:rPr>
                <w:rFonts w:ascii="Arial" w:cs="Arial" w:eastAsia="Arial" w:hAnsi="Arial"/>
                <w:sz w:val="16"/>
                <w:szCs w:val="16"/>
                <w:color w:val="0000FF"/>
              </w:rPr>
              <w:t>pursuant to</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Arial" w:cs="Arial" w:eastAsia="Arial" w:hAnsi="Arial"/>
                <w:sz w:val="16"/>
                <w:szCs w:val="16"/>
                <w:color w:val="0000FF"/>
              </w:rPr>
              <w:t>GUC Trust</w:t>
            </w:r>
          </w:p>
        </w:tc>
        <w:tc>
          <w:tcPr>
            <w:tcW w:w="0" w:type="dxa"/>
            <w:vAlign w:val="bottom"/>
          </w:tcPr>
          <w:p>
            <w:pPr>
              <w:spacing w:after="0"/>
              <w:rPr>
                <w:sz w:val="1"/>
                <w:szCs w:val="1"/>
                <w:color w:val="auto"/>
              </w:rPr>
            </w:pPr>
          </w:p>
        </w:tc>
      </w:tr>
      <w:tr>
        <w:trPr>
          <w:trHeight w:val="30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Agreement</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40" w:type="dxa"/>
            <w:vAlign w:val="bottom"/>
            <w:gridSpan w:val="18"/>
          </w:tcPr>
          <w:p>
            <w:pPr>
              <w:jc w:val="center"/>
              <w:ind w:right="2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60" w:type="dxa"/>
            <w:vAlign w:val="bottom"/>
            <w:gridSpan w:val="14"/>
          </w:tcPr>
          <w:p>
            <w:pPr>
              <w:jc w:val="center"/>
              <w:ind w:right="3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9"/>
              </w:rPr>
              <w:t>Conversion</w:t>
            </w: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500" w:type="dxa"/>
            <w:vAlign w:val="bottom"/>
            <w:gridSpan w:val="5"/>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50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140" w:type="dxa"/>
            <w:vAlign w:val="bottom"/>
          </w:tcPr>
          <w:p>
            <w:pPr>
              <w:spacing w:after="0"/>
              <w:rPr>
                <w:sz w:val="10"/>
                <w:szCs w:val="10"/>
                <w:color w:val="auto"/>
              </w:rPr>
            </w:pP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color w:val="0000FF"/>
              </w:rPr>
              <w:t>Dispositive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ind w:left="120"/>
              <w:spacing w:after="0" w:line="272"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color w:val="0000FF"/>
                <w:w w:val="92"/>
              </w:rPr>
              <w:t>102,839,782</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power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Warrants</w:t>
            </w:r>
          </w:p>
        </w:tc>
        <w:tc>
          <w:tcPr>
            <w:tcW w:w="700" w:type="dxa"/>
            <w:vAlign w:val="bottom"/>
          </w:tcPr>
          <w:p>
            <w:pPr>
              <w:jc w:val="center"/>
              <w:ind w:right="143"/>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w:t>
            </w:r>
          </w:p>
        </w:tc>
        <w:tc>
          <w:tcPr>
            <w:tcW w:w="1140" w:type="dxa"/>
            <w:vAlign w:val="bottom"/>
          </w:tcPr>
          <w:p>
            <w:pPr>
              <w:ind w:left="300"/>
              <w:spacing w:after="0" w:line="134" w:lineRule="exact"/>
              <w:rPr>
                <w:sz w:val="20"/>
                <w:szCs w:val="20"/>
                <w:color w:val="auto"/>
              </w:rPr>
            </w:pPr>
            <w:r>
              <w:rPr>
                <w:rFonts w:ascii="Arial" w:cs="Arial" w:eastAsia="Arial" w:hAnsi="Arial"/>
                <w:sz w:val="13"/>
                <w:szCs w:val="13"/>
                <w:color w:val="0000FF"/>
              </w:rPr>
              <w:t>04/21/2011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80" w:type="dxa"/>
            <w:vAlign w:val="bottom"/>
            <w:gridSpan w:val="4"/>
          </w:tcPr>
          <w:p>
            <w:pPr>
              <w:ind w:left="340"/>
              <w:spacing w:after="0" w:line="134" w:lineRule="exact"/>
              <w:rPr>
                <w:sz w:val="20"/>
                <w:szCs w:val="20"/>
                <w:color w:val="auto"/>
              </w:rPr>
            </w:pPr>
            <w:r>
              <w:rPr>
                <w:rFonts w:ascii="Arial" w:cs="Arial" w:eastAsia="Arial" w:hAnsi="Arial"/>
                <w:sz w:val="13"/>
                <w:szCs w:val="13"/>
                <w:color w:val="0000FF"/>
                <w:w w:val="99"/>
              </w:rPr>
              <w:t>102,839,782</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0000FF"/>
              </w:rPr>
              <w:t>07/10/2009</w:t>
            </w:r>
          </w:p>
        </w:tc>
        <w:tc>
          <w:tcPr>
            <w:tcW w:w="680" w:type="dxa"/>
            <w:vAlign w:val="bottom"/>
          </w:tcPr>
          <w:p>
            <w:pPr>
              <w:ind w:left="40"/>
              <w:spacing w:after="0" w:line="134" w:lineRule="exact"/>
              <w:rPr>
                <w:sz w:val="20"/>
                <w:szCs w:val="20"/>
                <w:color w:val="auto"/>
              </w:rPr>
            </w:pPr>
            <w:r>
              <w:rPr>
                <w:rFonts w:ascii="Arial" w:cs="Arial" w:eastAsia="Arial" w:hAnsi="Arial"/>
                <w:sz w:val="13"/>
                <w:szCs w:val="13"/>
                <w:color w:val="0000FF"/>
                <w:w w:val="95"/>
              </w:rPr>
              <w:t>07/10/2016</w:t>
            </w:r>
          </w:p>
        </w:tc>
        <w:tc>
          <w:tcPr>
            <w:tcW w:w="64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80" w:type="dxa"/>
            <w:vAlign w:val="bottom"/>
            <w:gridSpan w:val="2"/>
          </w:tcPr>
          <w:p>
            <w:pPr>
              <w:ind w:left="32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tcPr>
          <w:p>
            <w:pPr>
              <w:ind w:left="100"/>
              <w:spacing w:after="0" w:line="134" w:lineRule="exact"/>
              <w:rPr>
                <w:sz w:val="20"/>
                <w:szCs w:val="20"/>
                <w:color w:val="auto"/>
              </w:rPr>
            </w:pPr>
            <w:r>
              <w:rPr>
                <w:rFonts w:ascii="Arial" w:cs="Arial" w:eastAsia="Arial" w:hAnsi="Arial"/>
                <w:sz w:val="13"/>
                <w:szCs w:val="13"/>
                <w:color w:val="0000FF"/>
              </w:rPr>
              <w:t>33,523,853</w:t>
            </w:r>
          </w:p>
        </w:tc>
        <w:tc>
          <w:tcPr>
            <w:tcW w:w="520" w:type="dxa"/>
            <w:vAlign w:val="bottom"/>
          </w:tcPr>
          <w:p>
            <w:pPr>
              <w:ind w:left="400"/>
              <w:spacing w:after="0" w:line="134"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pursuant to</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160"/>
              <w:spacing w:after="0" w:line="126" w:lineRule="exact"/>
              <w:rPr>
                <w:sz w:val="20"/>
                <w:szCs w:val="20"/>
                <w:color w:val="auto"/>
              </w:rPr>
            </w:pPr>
            <w:r>
              <w:rPr>
                <w:rFonts w:ascii="Arial" w:cs="Arial" w:eastAsia="Arial" w:hAnsi="Arial"/>
                <w:sz w:val="13"/>
                <w:szCs w:val="13"/>
                <w:color w:val="0000FF"/>
                <w:w w:val="98"/>
              </w:rPr>
              <w:t>Stock</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GUC Trust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27" w:lineRule="exact"/>
              <w:rPr>
                <w:sz w:val="20"/>
                <w:szCs w:val="20"/>
                <w:color w:val="auto"/>
              </w:rPr>
            </w:pPr>
            <w:r>
              <w:rPr>
                <w:rFonts w:ascii="Arial" w:cs="Arial" w:eastAsia="Arial" w:hAnsi="Arial"/>
                <w:sz w:val="13"/>
                <w:szCs w:val="13"/>
                <w:color w:val="0000FF"/>
                <w:w w:val="92"/>
              </w:rPr>
              <w:t>Agreement</w:t>
            </w:r>
            <w:r>
              <w:rPr>
                <w:rFonts w:ascii="Arial" w:cs="Arial" w:eastAsia="Arial" w:hAnsi="Arial"/>
                <w:sz w:val="20"/>
                <w:szCs w:val="20"/>
                <w:color w:val="008000"/>
                <w:w w:val="92"/>
                <w:vertAlign w:val="superscript"/>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color w:val="0000FF"/>
              </w:rPr>
              <w:t>Dispositive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ind w:left="120"/>
              <w:spacing w:after="0" w:line="272"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color w:val="0000FF"/>
                <w:w w:val="92"/>
              </w:rPr>
              <w:t>102,839,782</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power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Warrants</w:t>
            </w:r>
          </w:p>
        </w:tc>
        <w:tc>
          <w:tcPr>
            <w:tcW w:w="700" w:type="dxa"/>
            <w:vAlign w:val="bottom"/>
          </w:tcPr>
          <w:p>
            <w:pPr>
              <w:jc w:val="center"/>
              <w:ind w:right="63"/>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18.33</w:t>
            </w:r>
          </w:p>
        </w:tc>
        <w:tc>
          <w:tcPr>
            <w:tcW w:w="1140" w:type="dxa"/>
            <w:vAlign w:val="bottom"/>
          </w:tcPr>
          <w:p>
            <w:pPr>
              <w:ind w:left="300"/>
              <w:spacing w:after="0" w:line="134" w:lineRule="exact"/>
              <w:rPr>
                <w:sz w:val="20"/>
                <w:szCs w:val="20"/>
                <w:color w:val="auto"/>
              </w:rPr>
            </w:pPr>
            <w:r>
              <w:rPr>
                <w:rFonts w:ascii="Arial" w:cs="Arial" w:eastAsia="Arial" w:hAnsi="Arial"/>
                <w:sz w:val="13"/>
                <w:szCs w:val="13"/>
                <w:color w:val="0000FF"/>
              </w:rPr>
              <w:t>04/21/2011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80" w:type="dxa"/>
            <w:vAlign w:val="bottom"/>
            <w:gridSpan w:val="4"/>
          </w:tcPr>
          <w:p>
            <w:pPr>
              <w:ind w:left="340"/>
              <w:spacing w:after="0" w:line="134" w:lineRule="exact"/>
              <w:rPr>
                <w:sz w:val="20"/>
                <w:szCs w:val="20"/>
                <w:color w:val="auto"/>
              </w:rPr>
            </w:pPr>
            <w:r>
              <w:rPr>
                <w:rFonts w:ascii="Arial" w:cs="Arial" w:eastAsia="Arial" w:hAnsi="Arial"/>
                <w:sz w:val="13"/>
                <w:szCs w:val="13"/>
                <w:color w:val="0000FF"/>
                <w:w w:val="99"/>
              </w:rPr>
              <w:t>102,839,782</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0000FF"/>
              </w:rPr>
              <w:t>07/10/2009</w:t>
            </w:r>
          </w:p>
        </w:tc>
        <w:tc>
          <w:tcPr>
            <w:tcW w:w="680" w:type="dxa"/>
            <w:vAlign w:val="bottom"/>
          </w:tcPr>
          <w:p>
            <w:pPr>
              <w:ind w:left="40"/>
              <w:spacing w:after="0" w:line="134" w:lineRule="exact"/>
              <w:rPr>
                <w:sz w:val="20"/>
                <w:szCs w:val="20"/>
                <w:color w:val="auto"/>
              </w:rPr>
            </w:pPr>
            <w:r>
              <w:rPr>
                <w:rFonts w:ascii="Arial" w:cs="Arial" w:eastAsia="Arial" w:hAnsi="Arial"/>
                <w:sz w:val="13"/>
                <w:szCs w:val="13"/>
                <w:color w:val="0000FF"/>
                <w:w w:val="95"/>
              </w:rPr>
              <w:t>07/10/2019</w:t>
            </w:r>
          </w:p>
        </w:tc>
        <w:tc>
          <w:tcPr>
            <w:tcW w:w="64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80" w:type="dxa"/>
            <w:vAlign w:val="bottom"/>
            <w:gridSpan w:val="2"/>
          </w:tcPr>
          <w:p>
            <w:pPr>
              <w:ind w:left="32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tcPr>
          <w:p>
            <w:pPr>
              <w:ind w:left="100"/>
              <w:spacing w:after="0" w:line="134" w:lineRule="exact"/>
              <w:rPr>
                <w:sz w:val="20"/>
                <w:szCs w:val="20"/>
                <w:color w:val="auto"/>
              </w:rPr>
            </w:pPr>
            <w:r>
              <w:rPr>
                <w:rFonts w:ascii="Arial" w:cs="Arial" w:eastAsia="Arial" w:hAnsi="Arial"/>
                <w:sz w:val="13"/>
                <w:szCs w:val="13"/>
                <w:color w:val="0000FF"/>
              </w:rPr>
              <w:t>33,523,853</w:t>
            </w:r>
          </w:p>
        </w:tc>
        <w:tc>
          <w:tcPr>
            <w:tcW w:w="520" w:type="dxa"/>
            <w:vAlign w:val="bottom"/>
          </w:tcPr>
          <w:p>
            <w:pPr>
              <w:ind w:left="400"/>
              <w:spacing w:after="0" w:line="134"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pursuant to</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160"/>
              <w:spacing w:after="0" w:line="126" w:lineRule="exact"/>
              <w:rPr>
                <w:sz w:val="20"/>
                <w:szCs w:val="20"/>
                <w:color w:val="auto"/>
              </w:rPr>
            </w:pPr>
            <w:r>
              <w:rPr>
                <w:rFonts w:ascii="Arial" w:cs="Arial" w:eastAsia="Arial" w:hAnsi="Arial"/>
                <w:sz w:val="13"/>
                <w:szCs w:val="13"/>
                <w:color w:val="0000FF"/>
                <w:w w:val="98"/>
              </w:rPr>
              <w:t>Stock</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GUC Trust</w:t>
            </w:r>
          </w:p>
        </w:tc>
        <w:tc>
          <w:tcPr>
            <w:tcW w:w="0" w:type="dxa"/>
            <w:vAlign w:val="bottom"/>
          </w:tcPr>
          <w:p>
            <w:pPr>
              <w:spacing w:after="0"/>
              <w:rPr>
                <w:sz w:val="1"/>
                <w:szCs w:val="1"/>
                <w:color w:val="auto"/>
              </w:rPr>
            </w:pPr>
          </w:p>
        </w:tc>
      </w:tr>
      <w:tr>
        <w:trPr>
          <w:trHeight w:val="272"/>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gridSpan w:val="3"/>
          </w:tcPr>
          <w:p>
            <w:pPr>
              <w:ind w:left="60"/>
              <w:spacing w:after="0" w:line="227" w:lineRule="exact"/>
              <w:rPr>
                <w:sz w:val="20"/>
                <w:szCs w:val="20"/>
                <w:color w:val="auto"/>
              </w:rPr>
            </w:pPr>
            <w:r>
              <w:rPr>
                <w:rFonts w:ascii="Arial" w:cs="Arial" w:eastAsia="Arial" w:hAnsi="Arial"/>
                <w:sz w:val="13"/>
                <w:szCs w:val="13"/>
                <w:color w:val="0000FF"/>
                <w:w w:val="92"/>
              </w:rPr>
              <w:t>Agreement</w:t>
            </w:r>
            <w:r>
              <w:rPr>
                <w:rFonts w:ascii="Arial" w:cs="Arial" w:eastAsia="Arial" w:hAnsi="Arial"/>
                <w:sz w:val="20"/>
                <w:szCs w:val="20"/>
                <w:color w:val="008000"/>
                <w:w w:val="92"/>
                <w:vertAlign w:val="superscript"/>
              </w:rPr>
              <w:t>(2)</w:t>
            </w: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8"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6"/>
          </w:tcPr>
          <w:p>
            <w:pPr>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Motors Liquidation Co GUC Trust</w:t>
              </w:r>
            </w:hyperlink>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w w:val="93"/>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80" w:type="dxa"/>
            <w:vAlign w:val="bottom"/>
            <w:gridSpan w:val="6"/>
          </w:tcPr>
          <w:p>
            <w:pPr>
              <w:spacing w:after="0"/>
              <w:rPr>
                <w:sz w:val="20"/>
                <w:szCs w:val="20"/>
                <w:color w:val="auto"/>
              </w:rPr>
            </w:pPr>
            <w:r>
              <w:rPr>
                <w:rFonts w:ascii="Arial" w:cs="Arial" w:eastAsia="Arial" w:hAnsi="Arial"/>
                <w:sz w:val="16"/>
                <w:szCs w:val="16"/>
                <w:color w:val="0000FF"/>
              </w:rPr>
              <w:t>C/O WILMINGTON TRUST COMPANY</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gridSpan w:val="9"/>
          </w:tcPr>
          <w:p>
            <w:pPr>
              <w:spacing w:after="0"/>
              <w:rPr>
                <w:sz w:val="20"/>
                <w:szCs w:val="20"/>
                <w:color w:val="auto"/>
              </w:rPr>
            </w:pPr>
            <w:r>
              <w:rPr>
                <w:rFonts w:ascii="Arial" w:cs="Arial" w:eastAsia="Arial" w:hAnsi="Arial"/>
                <w:sz w:val="16"/>
                <w:szCs w:val="16"/>
                <w:color w:val="0000FF"/>
              </w:rPr>
              <w:t>RODNEY SQUARE NORTH, 1110 N. MARKET ST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WILMINGTON</w:t>
            </w:r>
          </w:p>
        </w:tc>
        <w:tc>
          <w:tcPr>
            <w:tcW w:w="1140" w:type="dxa"/>
            <w:vAlign w:val="bottom"/>
          </w:tcPr>
          <w:p>
            <w:pPr>
              <w:ind w:left="200"/>
              <w:spacing w:after="0"/>
              <w:rPr>
                <w:sz w:val="20"/>
                <w:szCs w:val="20"/>
                <w:color w:val="auto"/>
              </w:rPr>
            </w:pPr>
            <w:r>
              <w:rPr>
                <w:rFonts w:ascii="Arial" w:cs="Arial" w:eastAsia="Arial" w:hAnsi="Arial"/>
                <w:sz w:val="16"/>
                <w:szCs w:val="16"/>
                <w:color w:val="0000FF"/>
              </w:rPr>
              <w:t>DE</w:t>
            </w:r>
          </w:p>
        </w:tc>
        <w:tc>
          <w:tcPr>
            <w:tcW w:w="1380" w:type="dxa"/>
            <w:vAlign w:val="bottom"/>
            <w:gridSpan w:val="5"/>
          </w:tcPr>
          <w:p>
            <w:pPr>
              <w:ind w:left="520"/>
              <w:spacing w:after="0"/>
              <w:rPr>
                <w:sz w:val="20"/>
                <w:szCs w:val="20"/>
                <w:color w:val="auto"/>
              </w:rPr>
            </w:pPr>
            <w:r>
              <w:rPr>
                <w:rFonts w:ascii="Arial" w:cs="Arial" w:eastAsia="Arial" w:hAnsi="Arial"/>
                <w:sz w:val="16"/>
                <w:szCs w:val="16"/>
                <w:color w:val="0000FF"/>
                <w:w w:val="98"/>
              </w:rPr>
              <w:t>19890-1615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6"/>
          </w:tcPr>
          <w:p>
            <w:pPr>
              <w:spacing w:after="0" w:line="209" w:lineRule="exact"/>
              <w:rPr>
                <w:rFonts w:ascii="Arial" w:cs="Arial" w:eastAsia="Arial" w:hAnsi="Arial"/>
                <w:sz w:val="20"/>
                <w:szCs w:val="20"/>
                <w:color w:val="0000EE"/>
              </w:rPr>
            </w:pPr>
            <w:hyperlink r:id="rId14">
              <w:r>
                <w:rPr>
                  <w:rFonts w:ascii="Arial" w:cs="Arial" w:eastAsia="Arial" w:hAnsi="Arial"/>
                  <w:sz w:val="20"/>
                  <w:szCs w:val="20"/>
                  <w:color w:val="0000EE"/>
                </w:rPr>
                <w:t>WILMINGTON TRUST CORP</w:t>
              </w:r>
            </w:hyperlink>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w w:val="93"/>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3"/>
          </w:tcPr>
          <w:p>
            <w:pPr>
              <w:spacing w:after="0"/>
              <w:rPr>
                <w:sz w:val="20"/>
                <w:szCs w:val="20"/>
                <w:color w:val="auto"/>
              </w:rPr>
            </w:pPr>
            <w:r>
              <w:rPr>
                <w:rFonts w:ascii="Arial" w:cs="Arial" w:eastAsia="Arial" w:hAnsi="Arial"/>
                <w:sz w:val="16"/>
                <w:szCs w:val="16"/>
                <w:color w:val="0000FF"/>
              </w:rPr>
              <w:t>1100 NORTH MARKET STREET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WILMINGTON</w:t>
            </w:r>
          </w:p>
        </w:tc>
        <w:tc>
          <w:tcPr>
            <w:tcW w:w="1140" w:type="dxa"/>
            <w:vAlign w:val="bottom"/>
          </w:tcPr>
          <w:p>
            <w:pPr>
              <w:ind w:left="200"/>
              <w:spacing w:after="0"/>
              <w:rPr>
                <w:sz w:val="20"/>
                <w:szCs w:val="20"/>
                <w:color w:val="auto"/>
              </w:rPr>
            </w:pPr>
            <w:r>
              <w:rPr>
                <w:rFonts w:ascii="Arial" w:cs="Arial" w:eastAsia="Arial" w:hAnsi="Arial"/>
                <w:sz w:val="16"/>
                <w:szCs w:val="16"/>
                <w:color w:val="0000FF"/>
              </w:rPr>
              <w:t>DE</w:t>
            </w:r>
          </w:p>
        </w:tc>
        <w:tc>
          <w:tcPr>
            <w:tcW w:w="1380" w:type="dxa"/>
            <w:vAlign w:val="bottom"/>
            <w:gridSpan w:val="5"/>
          </w:tcPr>
          <w:p>
            <w:pPr>
              <w:ind w:left="520"/>
              <w:spacing w:after="0"/>
              <w:rPr>
                <w:sz w:val="20"/>
                <w:szCs w:val="20"/>
                <w:color w:val="auto"/>
              </w:rPr>
            </w:pPr>
            <w:r>
              <w:rPr>
                <w:rFonts w:ascii="Arial" w:cs="Arial" w:eastAsia="Arial" w:hAnsi="Arial"/>
                <w:sz w:val="16"/>
                <w:szCs w:val="16"/>
                <w:color w:val="0000FF"/>
                <w:w w:val="98"/>
              </w:rPr>
              <w:t>19890-0001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-5481320</wp:posOffset>
            </wp:positionV>
            <wp:extent cx="23495" cy="2305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495" cy="230568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200" w:hanging="2"/>
        <w:spacing w:after="0" w:line="232" w:lineRule="auto"/>
        <w:tabs>
          <w:tab w:leader="none" w:pos="166"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As reported in Amendment No. 1 to Schedule 13D filed with the SEC by the Motors Liquidation Company GUC Trust on April 22, 2011 (the "Amended Schedule 13D"), the Trust directed MLC to make an initial distribution of New GM Securities to holders of Allowed General Unsecured Claims on April 21, 2011, pursuant to the Plan and the GUC Trust Agreement. Definitions of the capitalized terms used in this footnote and details regarding the initial distribution can be found in the Amended Schedule 13D.</w:t>
      </w:r>
    </w:p>
    <w:p>
      <w:pPr>
        <w:spacing w:after="0" w:line="31" w:lineRule="exact"/>
        <w:rPr>
          <w:rFonts w:ascii="Arial" w:cs="Arial" w:eastAsia="Arial" w:hAnsi="Arial"/>
          <w:sz w:val="13"/>
          <w:szCs w:val="13"/>
          <w:color w:val="008000"/>
        </w:rPr>
      </w:pPr>
    </w:p>
    <w:p>
      <w:pPr>
        <w:ind w:left="40" w:right="180" w:hanging="2"/>
        <w:spacing w:after="0" w:line="377" w:lineRule="auto"/>
        <w:tabs>
          <w:tab w:leader="none" w:pos="166"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Motors Liquidation Company GUC Trust and Wilmington Trust Company, not in its individual capacity but solely in its capacity as Trust administrator and trustee, may be deemed to beneficially own the securities reported on this Form 4 by virtue of the dispositive power they may exercise pursuant to the GUC Trust Agreement, dated as of March 30, 2011, among the Reporting Persons, Motors Liquidation Company, and the other parties</w:t>
      </w:r>
    </w:p>
    <w:p>
      <w:pPr>
        <w:sectPr>
          <w:pgSz w:w="11900" w:h="16992" w:orient="portrait"/>
          <w:cols w:equalWidth="0" w:num="1">
            <w:col w:w="11520"/>
          </w:cols>
          <w:pgMar w:left="240" w:top="219" w:right="13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008000"/>
        </w:rPr>
        <w:t>thereto. The securities reported on this Form 4 are held by Motors Liquidation Company.</w:t>
      </w:r>
    </w:p>
    <w:p>
      <w:pPr>
        <w:spacing w:after="0" w:line="64"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MOTORS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-6985</wp:posOffset>
            </wp:positionV>
            <wp:extent cx="1123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3"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COMPANY GUC TRUST,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Wilmington Trust Company,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in its individual capacity,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199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822"/>
        <w:spacing w:after="0"/>
        <w:tabs>
          <w:tab w:leader="none" w:pos="9101" w:val="left"/>
        </w:tabs>
        <w:rPr>
          <w:sz w:val="20"/>
          <w:szCs w:val="20"/>
          <w:color w:val="auto"/>
        </w:rPr>
      </w:pPr>
      <w:r>
        <w:rPr>
          <w:rFonts w:ascii="Arial" w:cs="Arial" w:eastAsia="Arial" w:hAnsi="Arial"/>
          <w:sz w:val="16"/>
          <w:szCs w:val="16"/>
          <w:color w:val="0000FF"/>
        </w:rPr>
        <w:t>solely in its capacity as Trust</w:t>
      </w:r>
      <w:r>
        <w:rPr>
          <w:sz w:val="20"/>
          <w:szCs w:val="20"/>
          <w:color w:val="auto"/>
        </w:rPr>
        <w:tab/>
      </w:r>
      <w:r>
        <w:rPr>
          <w:rFonts w:ascii="Arial" w:cs="Arial" w:eastAsia="Arial" w:hAnsi="Arial"/>
          <w:sz w:val="14"/>
          <w:szCs w:val="14"/>
          <w:color w:val="0000FF"/>
        </w:rPr>
        <w:t>04/21/2011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91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Administrator and trustee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323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Motors Liquidation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2382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GUC Trust, By: David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067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Vanaskey, Jr.,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190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41"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WILMINGTON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-6985</wp:posOffset>
            </wp:positionV>
            <wp:extent cx="1037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3"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COMPANY, not in its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356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capacity but solely in its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3785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4"/>
          <w:szCs w:val="14"/>
          <w:color w:val="0000FF"/>
        </w:rPr>
        <w:t>as Trust Administrator and trustee 04/21/2011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2540</wp:posOffset>
            </wp:positionV>
            <wp:extent cx="1919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20"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of the Motors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0737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Company GUC Trust, By: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369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A. Vanaskey, Jr.,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-11430</wp:posOffset>
            </wp:positionV>
            <wp:extent cx="1316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49" w:lineRule="exact"/>
        <w:rPr>
          <w:sz w:val="20"/>
          <w:szCs w:val="20"/>
          <w:color w:val="auto"/>
        </w:rPr>
      </w:pPr>
    </w:p>
    <w:p>
      <w:pPr>
        <w:ind w:left="6822"/>
        <w:spacing w:after="0"/>
        <w:tabs>
          <w:tab w:leader="none" w:pos="910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939" w:hanging="2"/>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1"/>
      </w:cols>
      <w:pgMar w:left="278"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12" Type="http://schemas.openxmlformats.org/officeDocument/2006/relationships/hyperlink" Target="http://www.sec.gov/cgi-bin/browse-edgar?action=getcompany&amp;CIK=0001517668" TargetMode="External"/><Relationship Id="rId13" Type="http://schemas.openxmlformats.org/officeDocument/2006/relationships/hyperlink" Target="http://www.sec.gov/cgi-bin/browse-edgar?action=getcompany&amp;CIK=0001467858" TargetMode="External"/><Relationship Id="rId14" Type="http://schemas.openxmlformats.org/officeDocument/2006/relationships/hyperlink" Target="http://www.sec.gov/cgi-bin/browse-edgar?action=getcompany&amp;CIK=0000872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2019-12-18T15:53:13Z</dcterms:created>
  <dcterms:modified xsi:type="dcterms:W3CDTF">2019-12-18T15:53:13Z</dcterms:modified>
</cp:coreProperties>
</file>