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740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40525"/>
                    </a:xfrm>
                    <a:prstGeom prst="rect">
                      <a:avLst/>
                    </a:prstGeom>
                    <a:noFill/>
                  </pic:spPr>
                </pic:pic>
              </a:graphicData>
            </a:graphic>
          </wp:anchor>
        </w:drawing>
      </w:r>
    </w:p>
    <w:p>
      <w:pPr>
        <w:spacing w:after="0" w:line="102" w:lineRule="exact"/>
        <w:rPr>
          <w:sz w:val="24"/>
          <w:szCs w:val="24"/>
          <w:color w:val="auto"/>
        </w:rPr>
      </w:pPr>
    </w:p>
    <w:p>
      <w:pPr>
        <w:sectPr>
          <w:pgSz w:w="11900" w:h="16875"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Bingol Selim</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09/30/2012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6"/>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75" w:orient="portrait"/>
          <w:cols w:equalWidth="0" w:num="3">
            <w:col w:w="3340" w:space="720"/>
            <w:col w:w="3254" w:space="720"/>
            <w:col w:w="348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9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2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09/30/2012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1,129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9"/>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12,740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09/30/2012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768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11,972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09/30/2012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361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09/30/2012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9"/>
              </w:rPr>
              <w:t>927</w:t>
            </w:r>
            <w:r>
              <w:rPr>
                <w:rFonts w:ascii="Arial" w:cs="Arial" w:eastAsia="Arial" w:hAnsi="Arial"/>
                <w:sz w:val="22"/>
                <w:szCs w:val="22"/>
                <w:color w:val="008000"/>
                <w:w w:val="99"/>
                <w:vertAlign w:val="superscript"/>
              </w:rPr>
              <w:t>(4)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9"/>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1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12,538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09/30/2012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w w:val="84"/>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630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11,908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05"/>
              <w:spacing w:after="0"/>
              <w:rPr>
                <w:sz w:val="20"/>
                <w:szCs w:val="20"/>
                <w:color w:val="auto"/>
              </w:rPr>
            </w:pPr>
            <w:r>
              <w:rPr>
                <w:rFonts w:ascii="Arial" w:cs="Arial" w:eastAsia="Arial" w:hAnsi="Arial"/>
                <w:sz w:val="17"/>
                <w:szCs w:val="17"/>
                <w:color w:val="0000FF"/>
                <w:w w:val="91"/>
              </w:rPr>
              <w:t>09/30/2012</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297</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22.91</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11,611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3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11"/>
          </w:tcPr>
          <w:p>
            <w:pPr>
              <w:jc w:val="center"/>
              <w:ind w:left="3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1,129</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09/30/2012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restart"/>
          </w:tcPr>
          <w:p>
            <w:pPr>
              <w:jc w:val="right"/>
              <w:ind w:right="56"/>
              <w:spacing w:after="0" w:line="144" w:lineRule="exact"/>
              <w:rPr>
                <w:sz w:val="20"/>
                <w:szCs w:val="20"/>
                <w:color w:val="auto"/>
              </w:rPr>
            </w:pPr>
            <w:r>
              <w:rPr>
                <w:rFonts w:ascii="Arial" w:cs="Arial" w:eastAsia="Arial" w:hAnsi="Arial"/>
                <w:sz w:val="13"/>
                <w:szCs w:val="13"/>
                <w:color w:val="0000FF"/>
              </w:rPr>
              <w:t>1,129</w:t>
            </w: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151"/>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2,258</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vMerge w:val="restart"/>
          </w:tcPr>
          <w:p>
            <w:pPr>
              <w:jc w:val="center"/>
              <w:ind w:right="16"/>
              <w:spacing w:after="0"/>
              <w:rPr>
                <w:sz w:val="20"/>
                <w:szCs w:val="20"/>
                <w:color w:val="auto"/>
              </w:rPr>
            </w:pPr>
            <w:r>
              <w:rPr>
                <w:rFonts w:ascii="Arial" w:cs="Arial" w:eastAsia="Arial" w:hAnsi="Arial"/>
                <w:sz w:val="13"/>
                <w:szCs w:val="13"/>
                <w:color w:val="0000FF"/>
                <w:w w:val="95"/>
              </w:rPr>
              <w:t>927</w:t>
            </w:r>
            <w:r>
              <w:rPr>
                <w:rFonts w:ascii="Arial" w:cs="Arial" w:eastAsia="Arial" w:hAnsi="Arial"/>
                <w:sz w:val="22"/>
                <w:szCs w:val="22"/>
                <w:color w:val="008000"/>
                <w:w w:val="95"/>
                <w:vertAlign w:val="superscript"/>
              </w:rPr>
              <w:t>(4)</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1"/>
              </w:rPr>
              <w:t>927</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09/30/2012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151"/>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78"/>
              <w:spacing w:after="0" w:line="144" w:lineRule="exact"/>
              <w:rPr>
                <w:sz w:val="20"/>
                <w:szCs w:val="20"/>
                <w:color w:val="auto"/>
              </w:rPr>
            </w:pPr>
            <w:r>
              <w:rPr>
                <w:rFonts w:ascii="Arial" w:cs="Arial" w:eastAsia="Arial" w:hAnsi="Arial"/>
                <w:sz w:val="13"/>
                <w:szCs w:val="13"/>
                <w:color w:val="0000FF"/>
                <w:w w:val="92"/>
              </w:rPr>
              <w:t>927</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0"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3,929</w:t>
            </w:r>
          </w:p>
        </w:tc>
        <w:tc>
          <w:tcPr>
            <w:tcW w:w="140" w:type="dxa"/>
            <w:vAlign w:val="bottom"/>
          </w:tcPr>
          <w:p>
            <w:pPr>
              <w:spacing w:after="0"/>
              <w:rPr>
                <w:sz w:val="16"/>
                <w:szCs w:val="16"/>
                <w:color w:val="auto"/>
              </w:rPr>
            </w:pPr>
          </w:p>
        </w:tc>
        <w:tc>
          <w:tcPr>
            <w:tcW w:w="640" w:type="dxa"/>
            <w:vAlign w:val="bottom"/>
            <w:vMerge w:val="restart"/>
          </w:tcPr>
          <w:p>
            <w:pPr>
              <w:jc w:val="center"/>
              <w:ind w:right="151"/>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09/30/2012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6"/>
                <w:szCs w:val="6"/>
                <w:color w:val="auto"/>
              </w:rPr>
            </w:pPr>
          </w:p>
        </w:tc>
        <w:tc>
          <w:tcPr>
            <w:tcW w:w="460" w:type="dxa"/>
            <w:vAlign w:val="bottom"/>
            <w:vMerge w:val="restart"/>
          </w:tcPr>
          <w:p>
            <w:pPr>
              <w:ind w:left="100"/>
              <w:spacing w:after="0" w:line="144" w:lineRule="exact"/>
              <w:rPr>
                <w:sz w:val="20"/>
                <w:szCs w:val="20"/>
                <w:color w:val="auto"/>
              </w:rPr>
            </w:pPr>
            <w:r>
              <w:rPr>
                <w:rFonts w:ascii="Arial" w:cs="Arial" w:eastAsia="Arial" w:hAnsi="Arial"/>
                <w:sz w:val="13"/>
                <w:szCs w:val="13"/>
                <w:color w:val="0000FF"/>
              </w:rPr>
              <w:t>3,929</w:t>
            </w:r>
          </w:p>
        </w:tc>
        <w:tc>
          <w:tcPr>
            <w:tcW w:w="500" w:type="dxa"/>
            <w:vAlign w:val="bottom"/>
          </w:tcPr>
          <w:p>
            <w:pPr>
              <w:spacing w:after="0"/>
              <w:rPr>
                <w:sz w:val="6"/>
                <w:szCs w:val="6"/>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3,929</w:t>
            </w:r>
          </w:p>
        </w:tc>
        <w:tc>
          <w:tcPr>
            <w:tcW w:w="30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September 30, 2011 pursuant to the Company's Salary Stock Plan (the "GMSSP") and vested upon grant. The portion of this award currently payable was settled on September 30, 2012 in cash, less a portion withheld for taxes.</w:t>
      </w:r>
    </w:p>
    <w:p>
      <w:pPr>
        <w:spacing w:after="0" w:line="11" w:lineRule="exact"/>
        <w:rPr>
          <w:rFonts w:ascii="Arial" w:cs="Arial" w:eastAsia="Arial" w:hAnsi="Arial"/>
          <w:sz w:val="13"/>
          <w:szCs w:val="13"/>
          <w:color w:val="008000"/>
        </w:rPr>
      </w:pPr>
    </w:p>
    <w:p>
      <w:pPr>
        <w:ind w:left="40" w:right="220" w:firstLine="7"/>
        <w:spacing w:after="0" w:line="24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$22.91.</w:t>
      </w:r>
    </w:p>
    <w:p>
      <w:pPr>
        <w:spacing w:after="0" w:line="27"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September 30, 2010.</w:t>
      </w:r>
    </w:p>
    <w:p>
      <w:pPr>
        <w:spacing w:after="0" w:line="50" w:lineRule="exact"/>
        <w:rPr>
          <w:rFonts w:ascii="Arial" w:cs="Arial" w:eastAsia="Arial" w:hAnsi="Arial"/>
          <w:sz w:val="13"/>
          <w:szCs w:val="13"/>
          <w:color w:val="008000"/>
        </w:rPr>
      </w:pPr>
    </w:p>
    <w:p>
      <w:pPr>
        <w:ind w:left="40" w:right="160" w:firstLine="7"/>
        <w:spacing w:after="0" w:line="24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30, 2010 the employee received a grant of 927 SSUs, of which 309 SSUs were scheduled to be payable on September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2,781 SSUs granted on September 30, 2010 of which 927 SSUs became payable on September 30, 2012.</w:t>
      </w:r>
    </w:p>
    <w:p>
      <w:pPr>
        <w:spacing w:after="0" w:line="27"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2012 and will be settled in three equal, annual installments beginning September 30, 2013.</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10/02/2012</w:t>
            </w:r>
          </w:p>
        </w:tc>
        <w:tc>
          <w:tcPr>
            <w:tcW w:w="0" w:type="dxa"/>
            <w:vAlign w:val="bottom"/>
          </w:tcPr>
          <w:p>
            <w:pPr>
              <w:spacing w:after="0"/>
              <w:rPr>
                <w:sz w:val="1"/>
                <w:szCs w:val="1"/>
                <w:color w:val="auto"/>
              </w:rPr>
            </w:pPr>
          </w:p>
        </w:tc>
      </w:tr>
      <w:tr>
        <w:trPr>
          <w:trHeight w:val="92"/>
        </w:trPr>
        <w:tc>
          <w:tcPr>
            <w:tcW w:w="13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7"/>
              </w:rPr>
              <w:t>fact for Mr. Bingol</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2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5" w:orient="portrait"/>
          <w:cols w:equalWidth="0" w:num="1">
            <w:col w:w="11520"/>
          </w:cols>
          <w:pgMar w:left="240" w:top="225"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2019-12-17T01:30:33Z</dcterms:created>
  <dcterms:modified xsi:type="dcterms:W3CDTF">2019-12-17T01:30:33Z</dcterms:modified>
</cp:coreProperties>
</file>