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66802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66802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60"/>
          </w:cols>
          <w:pgMar w:left="240" w:top="226" w:right="179" w:bottom="148"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Stevens Charles K. III</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980"/>
        <w:spacing w:after="0" w:line="339" w:lineRule="auto"/>
        <w:rPr>
          <w:sz w:val="20"/>
          <w:szCs w:val="20"/>
          <w:color w:val="auto"/>
        </w:rPr>
      </w:pPr>
      <w:r>
        <w:rPr>
          <w:rFonts w:ascii="Arial" w:cs="Arial" w:eastAsia="Arial" w:hAnsi="Arial"/>
          <w:sz w:val="16"/>
          <w:szCs w:val="16"/>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06/30/2014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8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83"/>
        <w:spacing w:after="0"/>
        <w:rPr>
          <w:sz w:val="20"/>
          <w:szCs w:val="20"/>
          <w:color w:val="auto"/>
        </w:rPr>
      </w:pPr>
      <w:r>
        <w:rPr>
          <w:rFonts w:ascii="Arial" w:cs="Arial" w:eastAsia="Arial" w:hAnsi="Arial"/>
          <w:sz w:val="16"/>
          <w:szCs w:val="16"/>
          <w:color w:val="0000FF"/>
        </w:rPr>
        <w:t>Executive Vice President &amp; CFO</w:t>
      </w:r>
    </w:p>
    <w:p>
      <w:pPr>
        <w:spacing w:after="0" w:line="471" w:lineRule="exact"/>
        <w:rPr>
          <w:sz w:val="24"/>
          <w:szCs w:val="24"/>
          <w:color w:val="auto"/>
        </w:rPr>
      </w:pPr>
    </w:p>
    <w:p>
      <w:pPr>
        <w:sectPr>
          <w:pgSz w:w="11900" w:h="16838" w:orient="portrait"/>
          <w:cols w:equalWidth="0" w:num="3">
            <w:col w:w="3360" w:space="720"/>
            <w:col w:w="3257" w:space="720"/>
            <w:col w:w="3423"/>
          </w:cols>
          <w:pgMar w:left="240" w:top="226" w:right="179" w:bottom="148" w:gutter="0" w:footer="0" w:header="0"/>
          <w:type w:val="continuous"/>
        </w:sect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22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3760" w:type="dxa"/>
            <w:vAlign w:val="bottom"/>
            <w:gridSpan w:val="7"/>
          </w:tcPr>
          <w:p>
            <w:pPr>
              <w:jc w:val="right"/>
              <w:ind w:right="109"/>
              <w:spacing w:after="0" w:line="104" w:lineRule="exact"/>
              <w:rPr>
                <w:sz w:val="20"/>
                <w:szCs w:val="20"/>
                <w:color w:val="auto"/>
              </w:rPr>
            </w:pPr>
            <w:r>
              <w:rPr>
                <w:rFonts w:ascii="Arial" w:cs="Arial" w:eastAsia="Arial" w:hAnsi="Arial"/>
                <w:sz w:val="11"/>
                <w:szCs w:val="11"/>
                <w:color w:val="auto"/>
              </w:rPr>
              <w:t>4. If Amendment, Date of Original Filed (Month/Day/Year)</w:t>
            </w:r>
          </w:p>
        </w:tc>
        <w:tc>
          <w:tcPr>
            <w:tcW w:w="3740" w:type="dxa"/>
            <w:vAlign w:val="bottom"/>
            <w:gridSpan w:val="7"/>
          </w:tcPr>
          <w:p>
            <w:pPr>
              <w:ind w:left="380"/>
              <w:spacing w:after="0" w:line="104" w:lineRule="exact"/>
              <w:rPr>
                <w:sz w:val="20"/>
                <w:szCs w:val="20"/>
                <w:color w:val="auto"/>
              </w:rPr>
            </w:pPr>
            <w:r>
              <w:rPr>
                <w:rFonts w:ascii="Arial" w:cs="Arial" w:eastAsia="Arial" w:hAnsi="Arial"/>
                <w:sz w:val="11"/>
                <w:szCs w:val="11"/>
                <w:color w:val="auto"/>
              </w:rPr>
              <w:t>6. Individual or Joint/Group Filing (Check Applicable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gridSpan w:val="2"/>
          </w:tcPr>
          <w:p>
            <w:pPr>
              <w:ind w:left="380"/>
              <w:spacing w:after="0"/>
              <w:rPr>
                <w:sz w:val="20"/>
                <w:szCs w:val="20"/>
                <w:color w:val="auto"/>
              </w:rPr>
            </w:pPr>
            <w:r>
              <w:rPr>
                <w:rFonts w:ascii="Arial" w:cs="Arial" w:eastAsia="Arial" w:hAnsi="Arial"/>
                <w:sz w:val="14"/>
                <w:szCs w:val="14"/>
                <w:color w:val="auto"/>
              </w:rPr>
              <w:t>Line)</w:t>
            </w: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180" w:type="dxa"/>
            <w:vAlign w:val="bottom"/>
            <w:gridSpan w:val="6"/>
            <w:vMerge w:val="restart"/>
          </w:tcPr>
          <w:p>
            <w:pPr>
              <w:ind w:left="2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DETROIT</w:t>
            </w:r>
          </w:p>
        </w:tc>
        <w:tc>
          <w:tcPr>
            <w:tcW w:w="220" w:type="dxa"/>
            <w:vAlign w:val="bottom"/>
            <w:vMerge w:val="restart"/>
          </w:tcPr>
          <w:p>
            <w:pPr>
              <w:spacing w:after="0"/>
              <w:rPr>
                <w:sz w:val="20"/>
                <w:szCs w:val="20"/>
                <w:color w:val="auto"/>
              </w:rPr>
            </w:pPr>
            <w:r>
              <w:rPr>
                <w:rFonts w:ascii="Arial" w:cs="Arial" w:eastAsia="Arial" w:hAnsi="Arial"/>
                <w:sz w:val="18"/>
                <w:szCs w:val="18"/>
                <w:color w:val="0000FF"/>
                <w:w w:val="99"/>
              </w:rPr>
              <w:t>MI</w:t>
            </w:r>
          </w:p>
        </w:tc>
        <w:tc>
          <w:tcPr>
            <w:tcW w:w="1020" w:type="dxa"/>
            <w:vAlign w:val="bottom"/>
          </w:tcPr>
          <w:p>
            <w:pPr>
              <w:spacing w:after="0"/>
              <w:rPr>
                <w:sz w:val="11"/>
                <w:szCs w:val="11"/>
                <w:color w:val="auto"/>
              </w:rPr>
            </w:pP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180" w:type="dxa"/>
            <w:vAlign w:val="bottom"/>
            <w:gridSpan w:val="6"/>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2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2300" w:type="dxa"/>
            <w:vAlign w:val="bottom"/>
            <w:tcBorders>
              <w:bottom w:val="single" w:sz="8" w:color="2C2C2C"/>
            </w:tcBorders>
            <w:gridSpan w:val="3"/>
          </w:tcPr>
          <w:p>
            <w:pPr>
              <w:spacing w:after="0"/>
              <w:rPr>
                <w:sz w:val="11"/>
                <w:szCs w:val="11"/>
                <w:color w:val="auto"/>
              </w:rPr>
            </w:pPr>
          </w:p>
        </w:tc>
        <w:tc>
          <w:tcPr>
            <w:tcW w:w="162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8100" w:type="dxa"/>
            <w:vAlign w:val="bottom"/>
            <w:tcBorders>
              <w:top w:val="single" w:sz="8" w:color="2C2C2C"/>
            </w:tcBorders>
            <w:gridSpan w:val="14"/>
          </w:tcPr>
          <w:p>
            <w:pPr>
              <w:ind w:left="7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6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00" w:type="dxa"/>
            <w:vAlign w:val="bottom"/>
            <w:gridSpan w:val="3"/>
          </w:tcPr>
          <w:p>
            <w:pPr>
              <w:jc w:val="center"/>
              <w:ind w:left="505"/>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gridSpan w:val="2"/>
            <w:vMerge w:val="restart"/>
          </w:tcPr>
          <w:p>
            <w:pPr>
              <w:jc w:val="center"/>
              <w:ind w:right="254"/>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vMerge w:val="continue"/>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(1)</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126</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7,915</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66</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7,849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60</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7,789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92"/>
              </w:rPr>
              <w:t>Common Stock</w:t>
            </w:r>
            <w:r>
              <w:rPr>
                <w:rFonts w:ascii="Arial" w:cs="Arial" w:eastAsia="Arial" w:hAnsi="Arial"/>
                <w:sz w:val="22"/>
                <w:szCs w:val="22"/>
                <w:color w:val="008000"/>
                <w:w w:val="92"/>
                <w:vertAlign w:val="superscript"/>
              </w:rPr>
              <w:t>(3)</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rPr>
              <w:t>M</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213</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A</w:t>
            </w:r>
          </w:p>
        </w:tc>
        <w:tc>
          <w:tcPr>
            <w:tcW w:w="780" w:type="dxa"/>
            <w:vAlign w:val="bottom"/>
            <w:tcBorders>
              <w:bottom w:val="single" w:sz="8" w:color="2C2C2C"/>
            </w:tcBorders>
            <w:gridSpan w:val="2"/>
          </w:tcPr>
          <w:p>
            <w:pPr>
              <w:jc w:val="center"/>
              <w:spacing w:after="0" w:line="324" w:lineRule="exact"/>
              <w:rPr>
                <w:sz w:val="20"/>
                <w:szCs w:val="20"/>
                <w:color w:val="auto"/>
              </w:rPr>
            </w:pPr>
            <w:r>
              <w:rPr>
                <w:rFonts w:ascii="Arial" w:cs="Arial" w:eastAsia="Arial" w:hAnsi="Arial"/>
                <w:sz w:val="35"/>
                <w:szCs w:val="35"/>
                <w:color w:val="000000"/>
                <w:w w:val="81"/>
                <w:vertAlign w:val="subscript"/>
              </w:rPr>
              <w:t>$</w:t>
            </w:r>
            <w:r>
              <w:rPr>
                <w:rFonts w:ascii="Arial" w:cs="Arial" w:eastAsia="Arial" w:hAnsi="Arial"/>
                <w:sz w:val="35"/>
                <w:szCs w:val="35"/>
                <w:color w:val="0000FF"/>
                <w:w w:val="81"/>
                <w:vertAlign w:val="subscript"/>
              </w:rPr>
              <w:t>0</w:t>
            </w:r>
            <w:r>
              <w:rPr>
                <w:rFonts w:ascii="Arial" w:cs="Arial" w:eastAsia="Arial" w:hAnsi="Arial"/>
                <w:sz w:val="11"/>
                <w:szCs w:val="11"/>
                <w:color w:val="008000"/>
                <w:w w:val="81"/>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8,002</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35"/>
              <w:spacing w:after="0"/>
              <w:rPr>
                <w:sz w:val="20"/>
                <w:szCs w:val="20"/>
                <w:color w:val="auto"/>
              </w:rPr>
            </w:pPr>
            <w:r>
              <w:rPr>
                <w:rFonts w:ascii="Arial" w:cs="Arial" w:eastAsia="Arial" w:hAnsi="Arial"/>
                <w:sz w:val="14"/>
                <w:szCs w:val="14"/>
                <w:color w:val="0000FF"/>
                <w:w w:val="98"/>
              </w:rPr>
              <w:t>D</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93"/>
              </w:rPr>
              <w:t>141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7,861</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22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525"/>
              <w:spacing w:after="0"/>
              <w:rPr>
                <w:sz w:val="20"/>
                <w:szCs w:val="20"/>
                <w:color w:val="auto"/>
              </w:rPr>
            </w:pPr>
            <w:r>
              <w:rPr>
                <w:rFonts w:ascii="Arial" w:cs="Arial" w:eastAsia="Arial" w:hAnsi="Arial"/>
                <w:sz w:val="18"/>
                <w:szCs w:val="18"/>
                <w:color w:val="0000FF"/>
                <w:w w:val="88"/>
              </w:rPr>
              <w:t>06/30/2014</w:t>
            </w:r>
          </w:p>
        </w:tc>
        <w:tc>
          <w:tcPr>
            <w:tcW w:w="2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5"/>
              <w:spacing w:after="0"/>
              <w:rPr>
                <w:sz w:val="20"/>
                <w:szCs w:val="20"/>
                <w:color w:val="auto"/>
              </w:rPr>
            </w:pPr>
            <w:r>
              <w:rPr>
                <w:rFonts w:ascii="Arial" w:cs="Arial" w:eastAsia="Arial" w:hAnsi="Arial"/>
                <w:sz w:val="14"/>
                <w:szCs w:val="14"/>
                <w:color w:val="0000FF"/>
                <w:w w:val="92"/>
              </w:rPr>
              <w:t>F</w:t>
            </w:r>
          </w:p>
        </w:tc>
        <w:tc>
          <w:tcPr>
            <w:tcW w:w="680" w:type="dxa"/>
            <w:vAlign w:val="bottom"/>
            <w:tcBorders>
              <w:bottom w:val="single" w:sz="8" w:color="2C2C2C"/>
            </w:tcBorders>
          </w:tcPr>
          <w:p>
            <w:pPr>
              <w:jc w:val="center"/>
              <w:ind w:left="167"/>
              <w:spacing w:after="0"/>
              <w:rPr>
                <w:sz w:val="20"/>
                <w:szCs w:val="20"/>
                <w:color w:val="auto"/>
              </w:rPr>
            </w:pPr>
            <w:r>
              <w:rPr>
                <w:rFonts w:ascii="Arial" w:cs="Arial" w:eastAsia="Arial" w:hAnsi="Arial"/>
                <w:sz w:val="18"/>
                <w:szCs w:val="18"/>
                <w:color w:val="0000FF"/>
                <w:w w:val="79"/>
              </w:rPr>
              <w:t>72</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36.44</w:t>
            </w:r>
            <w:r>
              <w:rPr>
                <w:rFonts w:ascii="Arial" w:cs="Arial" w:eastAsia="Arial" w:hAnsi="Arial"/>
                <w:sz w:val="22"/>
                <w:szCs w:val="22"/>
                <w:color w:val="008000"/>
                <w:w w:val="84"/>
                <w:vertAlign w:val="superscript"/>
              </w:rPr>
              <w:t>(2)</w:t>
            </w:r>
          </w:p>
        </w:tc>
        <w:tc>
          <w:tcPr>
            <w:tcW w:w="126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7,789</w:t>
            </w:r>
          </w:p>
        </w:tc>
        <w:tc>
          <w:tcPr>
            <w:tcW w:w="94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3"/>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820" w:type="dxa"/>
            <w:vAlign w:val="bottom"/>
            <w:gridSpan w:val="11"/>
          </w:tcPr>
          <w:p>
            <w:pPr>
              <w:jc w:val="center"/>
              <w:ind w:left="30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5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80" w:type="dxa"/>
            <w:vAlign w:val="bottom"/>
            <w:gridSpan w:val="2"/>
          </w:tcPr>
          <w:p>
            <w:pPr>
              <w:jc w:val="center"/>
              <w:ind w:right="214"/>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gridSpan w:val="2"/>
          </w:tcPr>
          <w:p>
            <w:pPr>
              <w:jc w:val="center"/>
              <w:ind w:right="214"/>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center"/>
              <w:ind w:right="7"/>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80" w:type="dxa"/>
            <w:vAlign w:val="bottom"/>
            <w:gridSpan w:val="2"/>
          </w:tcPr>
          <w:p>
            <w:pPr>
              <w:jc w:val="center"/>
              <w:ind w:right="274"/>
              <w:spacing w:after="0"/>
              <w:rPr>
                <w:sz w:val="20"/>
                <w:szCs w:val="20"/>
                <w:color w:val="auto"/>
              </w:rPr>
            </w:pPr>
            <w:r>
              <w:rPr>
                <w:rFonts w:ascii="Arial" w:cs="Arial" w:eastAsia="Arial" w:hAnsi="Arial"/>
                <w:sz w:val="12"/>
                <w:szCs w:val="12"/>
                <w:b w:val="1"/>
                <w:bCs w:val="1"/>
                <w:color w:val="auto"/>
                <w:w w:val="99"/>
              </w:rPr>
              <w:t>Shares</w:t>
            </w: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126</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7"/>
                <w:szCs w:val="7"/>
                <w:color w:val="auto"/>
              </w:rPr>
            </w:pPr>
          </w:p>
        </w:tc>
        <w:tc>
          <w:tcPr>
            <w:tcW w:w="1020" w:type="dxa"/>
            <w:vAlign w:val="bottom"/>
            <w:vMerge w:val="restart"/>
          </w:tcPr>
          <w:p>
            <w:pPr>
              <w:jc w:val="right"/>
              <w:ind w:right="130"/>
              <w:spacing w:after="0" w:line="146" w:lineRule="exact"/>
              <w:rPr>
                <w:sz w:val="20"/>
                <w:szCs w:val="20"/>
                <w:color w:val="auto"/>
              </w:rPr>
            </w:pPr>
            <w:r>
              <w:rPr>
                <w:rFonts w:ascii="Arial" w:cs="Arial" w:eastAsia="Arial" w:hAnsi="Arial"/>
                <w:sz w:val="14"/>
                <w:szCs w:val="14"/>
                <w:color w:val="0000FF"/>
              </w:rPr>
              <w:t>06/30/2014</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80"/>
              <w:spacing w:after="0" w:line="146"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7"/>
                <w:szCs w:val="7"/>
                <w:color w:val="auto"/>
              </w:rPr>
            </w:pPr>
          </w:p>
        </w:tc>
        <w:tc>
          <w:tcPr>
            <w:tcW w:w="800" w:type="dxa"/>
            <w:vAlign w:val="bottom"/>
            <w:vMerge w:val="restart"/>
          </w:tcPr>
          <w:p>
            <w:pPr>
              <w:ind w:left="460"/>
              <w:spacing w:after="0" w:line="146" w:lineRule="exact"/>
              <w:rPr>
                <w:sz w:val="20"/>
                <w:szCs w:val="20"/>
                <w:color w:val="auto"/>
              </w:rPr>
            </w:pPr>
            <w:r>
              <w:rPr>
                <w:rFonts w:ascii="Arial" w:cs="Arial" w:eastAsia="Arial" w:hAnsi="Arial"/>
                <w:sz w:val="14"/>
                <w:szCs w:val="14"/>
                <w:color w:val="0000FF"/>
              </w:rPr>
              <w:t>126</w:t>
            </w: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restart"/>
          </w:tcPr>
          <w:p>
            <w:pPr>
              <w:ind w:left="380"/>
              <w:spacing w:after="0" w:line="146" w:lineRule="exact"/>
              <w:rPr>
                <w:sz w:val="20"/>
                <w:szCs w:val="20"/>
                <w:color w:val="auto"/>
              </w:rPr>
            </w:pPr>
            <w:r>
              <w:rPr>
                <w:rFonts w:ascii="Arial" w:cs="Arial" w:eastAsia="Arial" w:hAnsi="Arial"/>
                <w:sz w:val="14"/>
                <w:szCs w:val="14"/>
                <w:color w:val="0000FF"/>
              </w:rPr>
              <w:t>250</w:t>
            </w:r>
          </w:p>
        </w:tc>
        <w:tc>
          <w:tcPr>
            <w:tcW w:w="940" w:type="dxa"/>
            <w:vAlign w:val="bottom"/>
            <w:vMerge w:val="restart"/>
          </w:tcPr>
          <w:p>
            <w:pPr>
              <w:ind w:left="56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Pr>
          <w:p>
            <w:pPr>
              <w:spacing w:after="0"/>
              <w:rPr>
                <w:sz w:val="9"/>
                <w:szCs w:val="9"/>
                <w:color w:val="auto"/>
              </w:rPr>
            </w:pPr>
          </w:p>
        </w:tc>
        <w:tc>
          <w:tcPr>
            <w:tcW w:w="7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Salary</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6"/>
              </w:rPr>
              <w:t>213</w:t>
            </w:r>
          </w:p>
        </w:tc>
        <w:tc>
          <w:tcPr>
            <w:tcW w:w="220" w:type="dxa"/>
            <w:vAlign w:val="bottom"/>
          </w:tcPr>
          <w:p>
            <w:pPr>
              <w:spacing w:after="0"/>
              <w:rPr>
                <w:sz w:val="16"/>
                <w:szCs w:val="16"/>
                <w:color w:val="auto"/>
              </w:rPr>
            </w:pPr>
          </w:p>
        </w:tc>
        <w:tc>
          <w:tcPr>
            <w:tcW w:w="500" w:type="dxa"/>
            <w:vAlign w:val="bottom"/>
            <w:vMerge w:val="restart"/>
          </w:tcPr>
          <w:p>
            <w:pPr>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06/30/2014</w:t>
            </w: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5"/>
                <w:szCs w:val="5"/>
                <w:color w:val="auto"/>
              </w:rPr>
            </w:pPr>
          </w:p>
        </w:tc>
        <w:tc>
          <w:tcPr>
            <w:tcW w:w="800" w:type="dxa"/>
            <w:vAlign w:val="bottom"/>
            <w:vMerge w:val="restart"/>
          </w:tcPr>
          <w:p>
            <w:pPr>
              <w:ind w:left="460"/>
              <w:spacing w:after="0" w:line="149" w:lineRule="exact"/>
              <w:rPr>
                <w:sz w:val="20"/>
                <w:szCs w:val="20"/>
                <w:color w:val="auto"/>
              </w:rPr>
            </w:pPr>
            <w:r>
              <w:rPr>
                <w:rFonts w:ascii="Arial" w:cs="Arial" w:eastAsia="Arial" w:hAnsi="Arial"/>
                <w:sz w:val="14"/>
                <w:szCs w:val="14"/>
                <w:color w:val="0000FF"/>
              </w:rPr>
              <w:t>213</w:t>
            </w:r>
          </w:p>
        </w:tc>
        <w:tc>
          <w:tcPr>
            <w:tcW w:w="84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60" w:type="dxa"/>
            <w:vAlign w:val="bottom"/>
            <w:vMerge w:val="restart"/>
          </w:tcPr>
          <w:p>
            <w:pPr>
              <w:ind w:left="380"/>
              <w:spacing w:after="0" w:line="149" w:lineRule="exact"/>
              <w:rPr>
                <w:sz w:val="20"/>
                <w:szCs w:val="20"/>
                <w:color w:val="auto"/>
              </w:rPr>
            </w:pPr>
            <w:r>
              <w:rPr>
                <w:rFonts w:ascii="Arial" w:cs="Arial" w:eastAsia="Arial" w:hAnsi="Arial"/>
                <w:sz w:val="14"/>
                <w:szCs w:val="14"/>
                <w:color w:val="0000FF"/>
              </w:rPr>
              <w:t>212</w:t>
            </w:r>
          </w:p>
        </w:tc>
        <w:tc>
          <w:tcPr>
            <w:tcW w:w="940" w:type="dxa"/>
            <w:vAlign w:val="bottom"/>
            <w:vMerge w:val="restart"/>
          </w:tcPr>
          <w:p>
            <w:pPr>
              <w:ind w:left="56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Salary Stock Units ("SSUs) awarded on June 30, 2013 pursuant to the Company's Salary Stock Plan (the "GMSSP") and vested upon grant. The portion of this award currently payable was settled on June 30, 2014.</w:t>
      </w:r>
    </w:p>
    <w:p>
      <w:pPr>
        <w:spacing w:after="0" w:line="30" w:lineRule="exact"/>
        <w:rPr>
          <w:rFonts w:ascii="Arial" w:cs="Arial" w:eastAsia="Arial" w:hAnsi="Arial"/>
          <w:sz w:val="14"/>
          <w:szCs w:val="14"/>
          <w:color w:val="008000"/>
        </w:rPr>
      </w:pPr>
    </w:p>
    <w:p>
      <w:pPr>
        <w:ind w:left="40" w:right="180" w:firstLine="9"/>
        <w:spacing w:after="0" w:line="27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SSU is the economic equivalent of one share of the Company's common stock (the "Stock"). Grants of SSU are fully vested when made and will be settled in three equal, annual installments beginning one year after the date of grant. The GMSSP tives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which was $36.44. The employee opted to have these settlements made by delivery of cash, less a portion withheld for taxes.</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Common Stock reported in this item was issued upon the settlement of a portion of a grant of SSUs awarded on June 30, 2012.</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SSUs do not have an expiration or exercise date or carry a conversion or exercise price.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07/02/2014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Stevens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714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2019-12-18T15:47:23Z</dcterms:created>
  <dcterms:modified xsi:type="dcterms:W3CDTF">2019-12-18T15:47:23Z</dcterms:modified>
</cp:coreProperties>
</file>