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Carlisle Stephen K.</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860"/>
        <w:spacing w:after="0" w:line="309"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02/13/2021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4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gridSpan w:val="6"/>
          </w:tcPr>
          <w:p>
            <w:pPr>
              <w:jc w:val="center"/>
              <w:ind w:right="54"/>
              <w:spacing w:after="0" w:line="118" w:lineRule="exact"/>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2"/>
                <w:szCs w:val="12"/>
                <w:color w:val="auto"/>
              </w:rPr>
            </w:pPr>
          </w:p>
        </w:tc>
        <w:tc>
          <w:tcPr>
            <w:tcW w:w="3480" w:type="dxa"/>
            <w:vAlign w:val="bottom"/>
            <w:gridSpan w:val="9"/>
          </w:tcPr>
          <w:p>
            <w:pPr>
              <w:ind w:left="140"/>
              <w:spacing w:after="0" w:line="11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20" w:type="dxa"/>
            <w:vAlign w:val="bottom"/>
            <w:gridSpan w:val="8"/>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DETROIT</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48265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jc w:val="center"/>
              <w:ind w:left="68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5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6"/>
              <w:spacing w:after="0"/>
              <w:rPr>
                <w:sz w:val="20"/>
                <w:szCs w:val="20"/>
                <w:color w:val="auto"/>
              </w:rPr>
            </w:pPr>
            <w:r>
              <w:rPr>
                <w:rFonts w:ascii="Times New Roman" w:cs="Times New Roman" w:eastAsia="Times New Roman" w:hAnsi="Times New Roman"/>
                <w:sz w:val="17"/>
                <w:szCs w:val="17"/>
                <w:color w:val="0000FF"/>
              </w:rPr>
              <w:t>02/13/2021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7"/>
                <w:szCs w:val="17"/>
                <w:color w:val="0000FF"/>
              </w:rPr>
              <w:t>27,273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3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82,682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20" w:type="dxa"/>
            <w:vAlign w:val="bottom"/>
            <w:gridSpan w:val="3"/>
          </w:tcPr>
          <w:p>
            <w:pPr>
              <w:jc w:val="center"/>
              <w:ind w:left="686"/>
              <w:spacing w:after="0"/>
              <w:rPr>
                <w:sz w:val="20"/>
                <w:szCs w:val="20"/>
                <w:color w:val="auto"/>
              </w:rPr>
            </w:pPr>
            <w:r>
              <w:rPr>
                <w:rFonts w:ascii="Times New Roman" w:cs="Times New Roman" w:eastAsia="Times New Roman" w:hAnsi="Times New Roman"/>
                <w:sz w:val="17"/>
                <w:szCs w:val="17"/>
                <w:color w:val="0000FF"/>
              </w:rPr>
              <w:t>02/13/2021</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49"/>
              <w:spacing w:after="0"/>
              <w:rPr>
                <w:sz w:val="20"/>
                <w:szCs w:val="20"/>
                <w:color w:val="auto"/>
              </w:rPr>
            </w:pPr>
            <w:r>
              <w:rPr>
                <w:rFonts w:ascii="Times New Roman" w:cs="Times New Roman" w:eastAsia="Times New Roman" w:hAnsi="Times New Roman"/>
                <w:sz w:val="17"/>
                <w:szCs w:val="17"/>
                <w:color w:val="0000FF"/>
              </w:rPr>
              <w:t>7,801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23"/>
                <w:szCs w:val="23"/>
                <w:color w:val="auto"/>
              </w:rPr>
            </w:pPr>
          </w:p>
        </w:tc>
        <w:tc>
          <w:tcPr>
            <w:tcW w:w="520" w:type="dxa"/>
            <w:vAlign w:val="bottom"/>
            <w:gridSpan w:val="2"/>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53.6</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74,881</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(2)</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86"/>
              <w:spacing w:after="0"/>
              <w:rPr>
                <w:sz w:val="20"/>
                <w:szCs w:val="20"/>
                <w:color w:val="auto"/>
              </w:rPr>
            </w:pPr>
            <w:r>
              <w:rPr>
                <w:rFonts w:ascii="Times New Roman" w:cs="Times New Roman" w:eastAsia="Times New Roman" w:hAnsi="Times New Roman"/>
                <w:sz w:val="17"/>
                <w:szCs w:val="17"/>
                <w:color w:val="0000FF"/>
              </w:rPr>
              <w:t>02/13/2021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17"/>
                <w:szCs w:val="17"/>
                <w:color w:val="0000FF"/>
              </w:rPr>
              <w:t>18,643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3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93,524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20" w:type="dxa"/>
            <w:vAlign w:val="bottom"/>
            <w:gridSpan w:val="3"/>
          </w:tcPr>
          <w:p>
            <w:pPr>
              <w:jc w:val="center"/>
              <w:ind w:left="686"/>
              <w:spacing w:after="0"/>
              <w:rPr>
                <w:sz w:val="20"/>
                <w:szCs w:val="20"/>
                <w:color w:val="auto"/>
              </w:rPr>
            </w:pPr>
            <w:r>
              <w:rPr>
                <w:rFonts w:ascii="Times New Roman" w:cs="Times New Roman" w:eastAsia="Times New Roman" w:hAnsi="Times New Roman"/>
                <w:sz w:val="17"/>
                <w:szCs w:val="17"/>
                <w:color w:val="0000FF"/>
              </w:rPr>
              <w:t>02/13/2021</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49"/>
              <w:spacing w:after="0"/>
              <w:rPr>
                <w:sz w:val="20"/>
                <w:szCs w:val="20"/>
                <w:color w:val="auto"/>
              </w:rPr>
            </w:pPr>
            <w:r>
              <w:rPr>
                <w:rFonts w:ascii="Times New Roman" w:cs="Times New Roman" w:eastAsia="Times New Roman" w:hAnsi="Times New Roman"/>
                <w:sz w:val="17"/>
                <w:szCs w:val="17"/>
                <w:color w:val="0000FF"/>
              </w:rPr>
              <w:t>8,129</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23"/>
                <w:szCs w:val="23"/>
                <w:color w:val="auto"/>
              </w:rPr>
            </w:pPr>
          </w:p>
        </w:tc>
        <w:tc>
          <w:tcPr>
            <w:tcW w:w="520" w:type="dxa"/>
            <w:vAlign w:val="bottom"/>
            <w:gridSpan w:val="2"/>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53.6</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85,395</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2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-3538855</wp:posOffset>
            </wp:positionV>
            <wp:extent cx="7031355" cy="3579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5794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13, 2018, the Reporting Person received a grant of Performance Stock Units ("PSUs") under the Company's 2017 Long-Term Incentive Plan (the "2017 LTIP"). Under the grant, the PSUs could be earned based on the achievement of certain financial targets. The PSUs vested on February 13, 2021, and were awarded in shares of common stock.</w:t>
      </w:r>
    </w:p>
    <w:p>
      <w:pPr>
        <w:spacing w:after="0" w:line="7" w:lineRule="exact"/>
        <w:rPr>
          <w:rFonts w:ascii="Times New Roman" w:cs="Times New Roman" w:eastAsia="Times New Roman" w:hAnsi="Times New Roman"/>
          <w:sz w:val="13"/>
          <w:szCs w:val="13"/>
          <w:color w:val="008000"/>
        </w:rPr>
      </w:pPr>
    </w:p>
    <w:p>
      <w:pPr>
        <w:ind w:left="40" w:right="30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 2018, the Reporting Person received a grant of Performance Stock Units ("PSUs") under the Company's 2017 LTIP. Under the grant, the PSUs could be earned based on the achievement of certain financial targets. The PSUs vested on February 13, 2021, and were awarded in shares of common stock.</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Tia Y. Turk, Attorney-in-</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02/17/2021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Mr. Carlisle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779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2021-02-17T16:15:49Z</dcterms:created>
  <dcterms:modified xsi:type="dcterms:W3CDTF">2021-02-17T16:15:49Z</dcterms:modified>
</cp:coreProperties>
</file>