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5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5168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LIDDELL CHRISTOPHER P</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0"/>
        <w:spacing w:after="0"/>
        <w:rPr>
          <w:sz w:val="20"/>
          <w:szCs w:val="20"/>
          <w:color w:val="auto"/>
        </w:rPr>
      </w:pPr>
      <w:r>
        <w:rPr>
          <w:rFonts w:ascii="Arial" w:cs="Arial" w:eastAsia="Arial" w:hAnsi="Arial"/>
          <w:sz w:val="17"/>
          <w:szCs w:val="17"/>
          <w:color w:val="0000FF"/>
        </w:rPr>
        <w:t>Vice Chairman &amp; CFO</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00" w:type="dxa"/>
            <w:vAlign w:val="bottom"/>
            <w:gridSpan w:val="8"/>
          </w:tcPr>
          <w:p>
            <w:pPr>
              <w:jc w:val="center"/>
              <w:ind w:right="3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gridSpan w:val="4"/>
          </w:tcPr>
          <w:p>
            <w:pPr>
              <w:ind w:left="3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1"/>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w w:val="98"/>
              </w:rPr>
              <w:t>of 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w w:val="87"/>
              </w:rPr>
              <w:t>111,153</w:t>
            </w:r>
          </w:p>
        </w:tc>
        <w:tc>
          <w:tcPr>
            <w:tcW w:w="840" w:type="dxa"/>
            <w:vAlign w:val="bottom"/>
            <w:gridSpan w:val="3"/>
            <w:vMerge w:val="restart"/>
          </w:tcPr>
          <w:p>
            <w:pPr>
              <w:jc w:val="right"/>
              <w:ind w:right="21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100" w:type="dxa"/>
            <w:vAlign w:val="bottom"/>
          </w:tcPr>
          <w:p>
            <w:pPr>
              <w:ind w:left="280"/>
              <w:spacing w:after="0" w:line="142" w:lineRule="exact"/>
              <w:rPr>
                <w:sz w:val="20"/>
                <w:szCs w:val="20"/>
                <w:color w:val="auto"/>
              </w:rPr>
            </w:pPr>
            <w:r>
              <w:rPr>
                <w:rFonts w:ascii="Arial" w:cs="Arial" w:eastAsia="Arial" w:hAnsi="Arial"/>
                <w:sz w:val="13"/>
                <w:szCs w:val="13"/>
                <w:color w:val="0000FF"/>
              </w:rPr>
              <w:t>01/17/2011</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20" w:type="dxa"/>
            <w:vAlign w:val="bottom"/>
          </w:tcPr>
          <w:p>
            <w:pPr>
              <w:ind w:left="120"/>
              <w:spacing w:after="0" w:line="142" w:lineRule="exact"/>
              <w:rPr>
                <w:sz w:val="20"/>
                <w:szCs w:val="20"/>
                <w:color w:val="auto"/>
              </w:rPr>
            </w:pPr>
            <w:r>
              <w:rPr>
                <w:rFonts w:ascii="Arial" w:cs="Arial" w:eastAsia="Arial" w:hAnsi="Arial"/>
                <w:sz w:val="13"/>
                <w:szCs w:val="13"/>
                <w:color w:val="0000FF"/>
              </w:rPr>
              <w:t>111,153</w:t>
            </w:r>
          </w:p>
        </w:tc>
        <w:tc>
          <w:tcPr>
            <w:tcW w:w="34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00" w:type="dxa"/>
            <w:vAlign w:val="bottom"/>
            <w:gridSpan w:val="2"/>
          </w:tcPr>
          <w:p>
            <w:pPr>
              <w:ind w:left="220"/>
              <w:spacing w:after="0" w:line="142" w:lineRule="exact"/>
              <w:rPr>
                <w:sz w:val="20"/>
                <w:szCs w:val="20"/>
                <w:color w:val="auto"/>
              </w:rPr>
            </w:pPr>
            <w:r>
              <w:rPr>
                <w:rFonts w:ascii="Arial" w:cs="Arial" w:eastAsia="Arial" w:hAnsi="Arial"/>
                <w:sz w:val="13"/>
                <w:szCs w:val="13"/>
                <w:color w:val="0000FF"/>
              </w:rPr>
              <w:t>111,153</w:t>
            </w: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40" w:firstLine="6"/>
        <w:spacing w:after="0" w:line="26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June 30, 2010 under the Company's 2009 Long-Term Incentive Plan (the "GMLTIP") subject to the satisfaction of certain performance conditions during 2010. The original grant was comprised of 37,051 RSUs; on November 1, 2010 the Company amended its certificate of incorporation to effect a stock split in which each issued and outstanding share of Common Stock was converted into three shares of Common Stock. Pursuant to the terms of the GMLTIP, each issued and outstanding RSU was automatically converted into three RSUs, so that the June 30, 2010 grant was converted to 111,153 RSUs upon the effectiveness of the stock split. On January 17, 2011, the Executive Compensation Committee of the Board of Directors of the Company determined that the performance condition has been satisfied so that the rights and obligations of the Company and the reporting person became fixed on that date. The RSUs will vest on June 30, 2013,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in certain limited circumstances the RSUs may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3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01/19/2011</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fact for Mr. Liddell</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82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2019-12-17T00:27:27Z</dcterms:created>
  <dcterms:modified xsi:type="dcterms:W3CDTF">2019-12-17T00:27:27Z</dcterms:modified>
</cp:coreProperties>
</file>