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193675</wp:posOffset>
            </wp:positionH>
            <wp:positionV relativeFrom="page">
              <wp:posOffset>628015</wp:posOffset>
            </wp:positionV>
            <wp:extent cx="7161530"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13335"/>
                    </a:xfrm>
                    <a:prstGeom prst="rect">
                      <a:avLst/>
                    </a:prstGeom>
                    <a:noFill/>
                  </pic:spPr>
                </pic:pic>
              </a:graphicData>
            </a:graphic>
          </wp:anchor>
        </w:drawing>
        <w:t>UNITED STATES SECURITIES AND EXCHANGE COMMISSION</w:t>
      </w:r>
    </w:p>
    <w:p>
      <w:pPr>
        <w:spacing w:after="0" w:line="38" w:lineRule="exact"/>
        <w:rPr>
          <w:sz w:val="24"/>
          <w:szCs w:val="24"/>
          <w:color w:val="auto"/>
        </w:rPr>
      </w:pPr>
    </w:p>
    <w:p>
      <w:pPr>
        <w:jc w:val="center"/>
        <w:ind w:right="-259"/>
        <w:spacing w:after="0"/>
        <w:rPr>
          <w:sz w:val="20"/>
          <w:szCs w:val="20"/>
          <w:color w:val="auto"/>
        </w:rPr>
      </w:pPr>
      <w:r>
        <w:rPr>
          <w:rFonts w:ascii="Arial" w:cs="Arial" w:eastAsia="Arial" w:hAnsi="Arial"/>
          <w:sz w:val="17"/>
          <w:szCs w:val="17"/>
          <w:b w:val="1"/>
          <w:bCs w:val="1"/>
          <w:color w:val="auto"/>
        </w:rPr>
        <w:t>Washington, DC 20549</w:t>
      </w:r>
    </w:p>
    <w:p>
      <w:pPr>
        <w:spacing w:after="0" w:line="9" w:lineRule="exact"/>
        <w:rPr>
          <w:sz w:val="24"/>
          <w:szCs w:val="24"/>
          <w:color w:val="auto"/>
        </w:rPr>
      </w:pPr>
    </w:p>
    <w:p>
      <w:pPr>
        <w:ind w:left="4840"/>
        <w:spacing w:after="0"/>
        <w:rPr>
          <w:sz w:val="20"/>
          <w:szCs w:val="20"/>
          <w:color w:val="auto"/>
        </w:rPr>
      </w:pPr>
      <w:r>
        <w:rPr>
          <w:rFonts w:ascii="Arial" w:cs="Arial" w:eastAsia="Arial" w:hAnsi="Arial"/>
          <w:sz w:val="17"/>
          <w:szCs w:val="17"/>
          <w:color w:val="auto"/>
        </w:rPr>
        <w:t>___________________</w:t>
      </w:r>
    </w:p>
    <w:p>
      <w:pPr>
        <w:spacing w:after="0" w:line="168" w:lineRule="exact"/>
        <w:rPr>
          <w:sz w:val="24"/>
          <w:szCs w:val="24"/>
          <w:color w:val="auto"/>
        </w:rPr>
      </w:pPr>
    </w:p>
    <w:p>
      <w:pPr>
        <w:jc w:val="center"/>
        <w:ind w:right="-259"/>
        <w:spacing w:after="0"/>
        <w:rPr>
          <w:sz w:val="20"/>
          <w:szCs w:val="20"/>
          <w:color w:val="auto"/>
        </w:rPr>
      </w:pPr>
      <w:r>
        <w:rPr>
          <w:rFonts w:ascii="Arial" w:cs="Arial" w:eastAsia="Arial" w:hAnsi="Arial"/>
          <w:sz w:val="25"/>
          <w:szCs w:val="25"/>
          <w:b w:val="1"/>
          <w:bCs w:val="1"/>
          <w:color w:val="auto"/>
        </w:rPr>
        <w:t>FORM 8-K</w:t>
      </w:r>
    </w:p>
    <w:p>
      <w:pPr>
        <w:spacing w:after="0" w:line="39" w:lineRule="exact"/>
        <w:rPr>
          <w:sz w:val="24"/>
          <w:szCs w:val="24"/>
          <w:color w:val="auto"/>
        </w:rPr>
      </w:pPr>
    </w:p>
    <w:p>
      <w:pPr>
        <w:ind w:left="4840"/>
        <w:spacing w:after="0"/>
        <w:rPr>
          <w:sz w:val="20"/>
          <w:szCs w:val="20"/>
          <w:color w:val="auto"/>
        </w:rPr>
      </w:pPr>
      <w:r>
        <w:rPr>
          <w:rFonts w:ascii="Arial" w:cs="Arial" w:eastAsia="Arial" w:hAnsi="Arial"/>
          <w:sz w:val="17"/>
          <w:szCs w:val="17"/>
          <w:color w:val="auto"/>
        </w:rPr>
        <w:t>___________________</w:t>
      </w:r>
    </w:p>
    <w:p>
      <w:pPr>
        <w:spacing w:after="0" w:line="179" w:lineRule="exact"/>
        <w:rPr>
          <w:sz w:val="24"/>
          <w:szCs w:val="24"/>
          <w:color w:val="auto"/>
        </w:rPr>
      </w:pPr>
    </w:p>
    <w:p>
      <w:pPr>
        <w:jc w:val="center"/>
        <w:ind w:right="-259"/>
        <w:spacing w:after="0"/>
        <w:rPr>
          <w:sz w:val="20"/>
          <w:szCs w:val="20"/>
          <w:color w:val="auto"/>
        </w:rPr>
      </w:pPr>
      <w:r>
        <w:rPr>
          <w:rFonts w:ascii="Arial" w:cs="Arial" w:eastAsia="Arial" w:hAnsi="Arial"/>
          <w:sz w:val="17"/>
          <w:szCs w:val="17"/>
          <w:b w:val="1"/>
          <w:bCs w:val="1"/>
          <w:color w:val="auto"/>
        </w:rPr>
        <w:t>CURRENT REPORT</w:t>
      </w:r>
    </w:p>
    <w:p>
      <w:pPr>
        <w:spacing w:after="0" w:line="24" w:lineRule="exact"/>
        <w:rPr>
          <w:sz w:val="24"/>
          <w:szCs w:val="24"/>
          <w:color w:val="auto"/>
        </w:rPr>
      </w:pPr>
    </w:p>
    <w:p>
      <w:pPr>
        <w:jc w:val="center"/>
        <w:ind w:right="-259"/>
        <w:spacing w:after="0"/>
        <w:rPr>
          <w:sz w:val="20"/>
          <w:szCs w:val="20"/>
          <w:color w:val="auto"/>
        </w:rPr>
      </w:pPr>
      <w:r>
        <w:rPr>
          <w:rFonts w:ascii="Arial" w:cs="Arial" w:eastAsia="Arial" w:hAnsi="Arial"/>
          <w:sz w:val="17"/>
          <w:szCs w:val="17"/>
          <w:b w:val="1"/>
          <w:bCs w:val="1"/>
          <w:color w:val="auto"/>
        </w:rPr>
        <w:t>Pursuant to Section 13 or 15(d) of</w:t>
      </w:r>
    </w:p>
    <w:p>
      <w:pPr>
        <w:spacing w:after="0" w:line="6" w:lineRule="exact"/>
        <w:rPr>
          <w:sz w:val="24"/>
          <w:szCs w:val="24"/>
          <w:color w:val="auto"/>
        </w:rPr>
      </w:pPr>
    </w:p>
    <w:p>
      <w:pPr>
        <w:jc w:val="center"/>
        <w:ind w:right="-259"/>
        <w:spacing w:after="0"/>
        <w:rPr>
          <w:sz w:val="20"/>
          <w:szCs w:val="20"/>
          <w:color w:val="auto"/>
        </w:rPr>
      </w:pPr>
      <w:r>
        <w:rPr>
          <w:rFonts w:ascii="Arial" w:cs="Arial" w:eastAsia="Arial" w:hAnsi="Arial"/>
          <w:sz w:val="17"/>
          <w:szCs w:val="17"/>
          <w:b w:val="1"/>
          <w:bCs w:val="1"/>
          <w:color w:val="auto"/>
        </w:rPr>
        <w:t>the Securities Exchange Act of 1934</w:t>
      </w:r>
    </w:p>
    <w:p>
      <w:pPr>
        <w:spacing w:after="0" w:line="175"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Date of Report (Date of earliest event reported): May 5, 2021</w:t>
      </w:r>
    </w:p>
    <w:p>
      <w:pPr>
        <w:spacing w:after="0" w:line="23" w:lineRule="exact"/>
        <w:rPr>
          <w:sz w:val="24"/>
          <w:szCs w:val="24"/>
          <w:color w:val="auto"/>
        </w:rPr>
      </w:pPr>
    </w:p>
    <w:p>
      <w:pPr>
        <w:ind w:left="4840"/>
        <w:spacing w:after="0"/>
        <w:rPr>
          <w:sz w:val="20"/>
          <w:szCs w:val="20"/>
          <w:color w:val="auto"/>
        </w:rPr>
      </w:pPr>
      <w:r>
        <w:rPr>
          <w:rFonts w:ascii="Arial" w:cs="Arial" w:eastAsia="Arial" w:hAnsi="Arial"/>
          <w:sz w:val="17"/>
          <w:szCs w:val="17"/>
          <w:color w:val="auto"/>
        </w:rPr>
        <w:t>___________________</w:t>
      </w:r>
    </w:p>
    <w:p>
      <w:pPr>
        <w:spacing w:after="0" w:line="14" w:lineRule="exact"/>
        <w:rPr>
          <w:sz w:val="24"/>
          <w:szCs w:val="24"/>
          <w:color w:val="auto"/>
        </w:rPr>
      </w:pPr>
    </w:p>
    <w:p>
      <w:pPr>
        <w:jc w:val="center"/>
        <w:ind w:right="-259"/>
        <w:spacing w:after="0"/>
        <w:rPr>
          <w:sz w:val="20"/>
          <w:szCs w:val="20"/>
          <w:color w:val="auto"/>
        </w:rPr>
      </w:pPr>
      <w:r>
        <w:rPr>
          <w:rFonts w:ascii="Arial" w:cs="Arial" w:eastAsia="Arial" w:hAnsi="Arial"/>
          <w:sz w:val="34"/>
          <w:szCs w:val="34"/>
          <w:b w:val="1"/>
          <w:bCs w:val="1"/>
          <w:color w:val="auto"/>
        </w:rPr>
        <w:t>GENERAL MOTORS COMPANY</w:t>
      </w:r>
    </w:p>
    <w:p>
      <w:pPr>
        <w:spacing w:after="0" w:line="6" w:lineRule="exact"/>
        <w:rPr>
          <w:sz w:val="24"/>
          <w:szCs w:val="24"/>
          <w:color w:val="auto"/>
        </w:rPr>
      </w:pPr>
    </w:p>
    <w:p>
      <w:pPr>
        <w:jc w:val="center"/>
        <w:ind w:right="-259"/>
        <w:spacing w:after="0"/>
        <w:rPr>
          <w:sz w:val="20"/>
          <w:szCs w:val="20"/>
          <w:color w:val="auto"/>
        </w:rPr>
      </w:pPr>
      <w:r>
        <w:rPr>
          <w:rFonts w:ascii="Arial" w:cs="Arial" w:eastAsia="Arial" w:hAnsi="Arial"/>
          <w:sz w:val="14"/>
          <w:szCs w:val="14"/>
          <w:color w:val="auto"/>
        </w:rPr>
        <w:t>(Exact name of registrant as specified in its charter)</w:t>
      </w:r>
    </w:p>
    <w:p>
      <w:pPr>
        <w:spacing w:after="0" w:line="7" w:lineRule="exact"/>
        <w:rPr>
          <w:sz w:val="24"/>
          <w:szCs w:val="24"/>
          <w:color w:val="auto"/>
        </w:rPr>
      </w:pPr>
    </w:p>
    <w:p>
      <w:pPr>
        <w:ind w:left="4880"/>
        <w:spacing w:after="0"/>
        <w:rPr>
          <w:sz w:val="20"/>
          <w:szCs w:val="20"/>
          <w:color w:val="auto"/>
        </w:rPr>
      </w:pPr>
      <w:r>
        <w:rPr>
          <w:rFonts w:ascii="Arial" w:cs="Arial" w:eastAsia="Arial" w:hAnsi="Arial"/>
          <w:sz w:val="17"/>
          <w:szCs w:val="17"/>
          <w:color w:val="auto"/>
        </w:rPr>
        <w:t>__________________</w:t>
      </w:r>
    </w:p>
    <w:p>
      <w:pPr>
        <w:sectPr>
          <w:pgSz w:w="11900" w:h="16838" w:orient="portrait"/>
          <w:cols w:equalWidth="0" w:num="1">
            <w:col w:w="11040"/>
          </w:cols>
          <w:pgMar w:left="300" w:top="1246" w:right="559" w:bottom="1440" w:gutter="0" w:footer="0" w:header="0"/>
        </w:sectPr>
      </w:pPr>
    </w:p>
    <w:p>
      <w:pPr>
        <w:spacing w:after="0" w:line="109" w:lineRule="exact"/>
        <w:rPr>
          <w:sz w:val="24"/>
          <w:szCs w:val="24"/>
          <w:color w:val="auto"/>
        </w:rPr>
      </w:pPr>
    </w:p>
    <w:p>
      <w:pPr>
        <w:ind w:left="1760"/>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jc w:val="center"/>
        <w:ind w:right="2220"/>
        <w:spacing w:after="0"/>
        <w:rPr>
          <w:sz w:val="20"/>
          <w:szCs w:val="20"/>
          <w:color w:val="auto"/>
        </w:rPr>
      </w:pPr>
      <w:r>
        <w:rPr>
          <w:rFonts w:ascii="Arial" w:cs="Arial" w:eastAsia="Arial" w:hAnsi="Arial"/>
          <w:sz w:val="12"/>
          <w:szCs w:val="12"/>
          <w:b w:val="1"/>
          <w:bCs w:val="1"/>
          <w:color w:val="auto"/>
        </w:rPr>
        <w:t>001-34960</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27-0756180</w:t>
      </w:r>
    </w:p>
    <w:p>
      <w:pPr>
        <w:spacing w:after="0" w:line="67" w:lineRule="exact"/>
        <w:rPr>
          <w:sz w:val="24"/>
          <w:szCs w:val="24"/>
          <w:color w:val="auto"/>
        </w:rPr>
      </w:pPr>
    </w:p>
    <w:p>
      <w:pPr>
        <w:sectPr>
          <w:pgSz w:w="11900" w:h="16838" w:orient="portrait"/>
          <w:cols w:equalWidth="0" w:num="3">
            <w:col w:w="4780" w:space="720"/>
            <w:col w:w="2820" w:space="720"/>
            <w:col w:w="2000"/>
          </w:cols>
          <w:pgMar w:left="300" w:top="1246" w:right="559" w:bottom="1440" w:gutter="0" w:footer="0" w:header="0"/>
          <w:type w:val="continuous"/>
        </w:sectPr>
      </w:pPr>
    </w:p>
    <w:p>
      <w:pPr>
        <w:ind w:left="800"/>
        <w:spacing w:after="0"/>
        <w:rPr>
          <w:sz w:val="20"/>
          <w:szCs w:val="20"/>
          <w:color w:val="auto"/>
        </w:rPr>
      </w:pPr>
      <w:r>
        <w:rPr>
          <w:rFonts w:ascii="Arial" w:cs="Arial" w:eastAsia="Arial" w:hAnsi="Arial"/>
          <w:sz w:val="13"/>
          <w:szCs w:val="13"/>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Arial" w:cs="Arial" w:eastAsia="Arial" w:hAnsi="Arial"/>
          <w:sz w:val="13"/>
          <w:szCs w:val="13"/>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144" w:lineRule="exact"/>
        <w:rPr>
          <w:sz w:val="24"/>
          <w:szCs w:val="24"/>
          <w:color w:val="auto"/>
        </w:rPr>
      </w:pPr>
    </w:p>
    <w:p>
      <w:pPr>
        <w:sectPr>
          <w:pgSz w:w="11900" w:h="16838" w:orient="portrait"/>
          <w:cols w:equalWidth="0" w:num="3">
            <w:col w:w="4300" w:space="720"/>
            <w:col w:w="2620" w:space="720"/>
            <w:col w:w="2680"/>
          </w:cols>
          <w:pgMar w:left="300" w:top="1246" w:right="559" w:bottom="1440" w:gutter="0" w:footer="0" w:header="0"/>
          <w:type w:val="continuous"/>
        </w:sectPr>
      </w:pPr>
    </w:p>
    <w:p>
      <w:pPr>
        <w:jc w:val="right"/>
        <w:ind w:right="3440"/>
        <w:spacing w:after="0"/>
        <w:tabs>
          <w:tab w:leader="none" w:pos="4700" w:val="left"/>
          <w:tab w:leader="none" w:pos="4000" w:val="left"/>
        </w:tabs>
        <w:rPr>
          <w:sz w:val="20"/>
          <w:szCs w:val="20"/>
          <w:color w:val="auto"/>
        </w:rPr>
      </w:pPr>
      <w:r>
        <w:rPr>
          <w:rFonts w:ascii="Arial" w:cs="Arial" w:eastAsia="Arial" w:hAnsi="Arial"/>
          <w:sz w:val="14"/>
          <w:szCs w:val="14"/>
          <w:b w:val="1"/>
          <w:bCs w:val="1"/>
          <w:color w:val="auto"/>
        </w:rPr>
        <w:t>300 Renaissance Center,</w:t>
      </w:r>
      <w:r>
        <w:rPr>
          <w:sz w:val="20"/>
          <w:szCs w:val="20"/>
          <w:color w:val="auto"/>
        </w:rPr>
        <w:tab/>
      </w:r>
      <w:r>
        <w:rPr>
          <w:rFonts w:ascii="Arial" w:cs="Arial" w:eastAsia="Arial" w:hAnsi="Arial"/>
          <w:sz w:val="14"/>
          <w:szCs w:val="14"/>
          <w:b w:val="1"/>
          <w:bCs w:val="1"/>
          <w:color w:val="auto"/>
        </w:rPr>
        <w:t>Detroit,</w:t>
      </w:r>
      <w:r>
        <w:rPr>
          <w:sz w:val="20"/>
          <w:szCs w:val="20"/>
          <w:color w:val="auto"/>
        </w:rPr>
        <w:tab/>
      </w:r>
      <w:r>
        <w:rPr>
          <w:rFonts w:ascii="Arial" w:cs="Arial" w:eastAsia="Arial" w:hAnsi="Arial"/>
          <w:sz w:val="13"/>
          <w:szCs w:val="13"/>
          <w:b w:val="1"/>
          <w:bCs w:val="1"/>
          <w:color w:val="auto"/>
        </w:rPr>
        <w:t>Michigan</w:t>
      </w:r>
    </w:p>
    <w:p>
      <w:pPr>
        <w:spacing w:after="0" w:line="23" w:lineRule="exact"/>
        <w:rPr>
          <w:sz w:val="24"/>
          <w:szCs w:val="24"/>
          <w:color w:val="auto"/>
        </w:rPr>
      </w:pPr>
    </w:p>
    <w:p>
      <w:pPr>
        <w:jc w:val="right"/>
        <w:ind w:right="3400"/>
        <w:spacing w:after="0"/>
        <w:rPr>
          <w:sz w:val="20"/>
          <w:szCs w:val="20"/>
          <w:color w:val="auto"/>
        </w:rPr>
      </w:pPr>
      <w:r>
        <w:rPr>
          <w:rFonts w:ascii="Arial" w:cs="Arial" w:eastAsia="Arial" w:hAnsi="Arial"/>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jc w:val="right"/>
        <w:ind w:right="1980"/>
        <w:spacing w:after="0"/>
        <w:rPr>
          <w:sz w:val="20"/>
          <w:szCs w:val="20"/>
          <w:color w:val="auto"/>
        </w:rPr>
      </w:pPr>
      <w:r>
        <w:rPr>
          <w:rFonts w:ascii="Arial" w:cs="Arial" w:eastAsia="Arial" w:hAnsi="Arial"/>
          <w:sz w:val="12"/>
          <w:szCs w:val="12"/>
          <w:b w:val="1"/>
          <w:bCs w:val="1"/>
          <w:color w:val="auto"/>
        </w:rPr>
        <w:t>48265 -3000</w:t>
      </w:r>
    </w:p>
    <w:p>
      <w:pPr>
        <w:spacing w:after="0" w:line="46" w:lineRule="exact"/>
        <w:rPr>
          <w:sz w:val="24"/>
          <w:szCs w:val="24"/>
          <w:color w:val="auto"/>
        </w:rPr>
      </w:pPr>
    </w:p>
    <w:p>
      <w:pPr>
        <w:jc w:val="right"/>
        <w:ind w:right="2000"/>
        <w:spacing w:after="0"/>
        <w:rPr>
          <w:sz w:val="20"/>
          <w:szCs w:val="20"/>
          <w:color w:val="auto"/>
        </w:rPr>
      </w:pPr>
      <w:r>
        <w:rPr>
          <w:rFonts w:ascii="Arial" w:cs="Arial" w:eastAsia="Arial" w:hAnsi="Arial"/>
          <w:sz w:val="14"/>
          <w:szCs w:val="14"/>
          <w:color w:val="auto"/>
        </w:rPr>
        <w:t>(Zip Code)</w:t>
      </w:r>
    </w:p>
    <w:p>
      <w:pPr>
        <w:spacing w:after="0" w:line="200" w:lineRule="exact"/>
        <w:rPr>
          <w:sz w:val="24"/>
          <w:szCs w:val="24"/>
          <w:color w:val="auto"/>
        </w:rPr>
      </w:pPr>
    </w:p>
    <w:p>
      <w:pPr>
        <w:sectPr>
          <w:pgSz w:w="11900" w:h="16838" w:orient="portrait"/>
          <w:cols w:equalWidth="0" w:num="2">
            <w:col w:w="7640" w:space="720"/>
            <w:col w:w="2680"/>
          </w:cols>
          <w:pgMar w:left="300" w:top="1246" w:right="559" w:bottom="1440" w:gutter="0" w:footer="0" w:header="0"/>
          <w:type w:val="continuous"/>
        </w:sectPr>
      </w:pPr>
    </w:p>
    <w:p>
      <w:pPr>
        <w:spacing w:after="0" w:line="59"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(313) 667-1500</w:t>
      </w:r>
    </w:p>
    <w:p>
      <w:pPr>
        <w:spacing w:after="0" w:line="23" w:lineRule="exact"/>
        <w:rPr>
          <w:sz w:val="24"/>
          <w:szCs w:val="24"/>
          <w:color w:val="auto"/>
        </w:rPr>
      </w:pPr>
    </w:p>
    <w:p>
      <w:pPr>
        <w:jc w:val="center"/>
        <w:ind w:right="-239"/>
        <w:spacing w:after="0"/>
        <w:rPr>
          <w:sz w:val="20"/>
          <w:szCs w:val="20"/>
          <w:color w:val="auto"/>
        </w:rPr>
      </w:pPr>
      <w:r>
        <w:rPr>
          <w:rFonts w:ascii="Arial" w:cs="Arial" w:eastAsia="Arial" w:hAnsi="Arial"/>
          <w:sz w:val="14"/>
          <w:szCs w:val="14"/>
          <w:color w:val="auto"/>
        </w:rPr>
        <w:t>(Registrant's telephone number, including area code)</w:t>
      </w:r>
    </w:p>
    <w:p>
      <w:pPr>
        <w:spacing w:after="0" w:line="185"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Not Applicable</w:t>
      </w:r>
    </w:p>
    <w:p>
      <w:pPr>
        <w:spacing w:after="0" w:line="23" w:lineRule="exact"/>
        <w:rPr>
          <w:sz w:val="24"/>
          <w:szCs w:val="24"/>
          <w:color w:val="auto"/>
        </w:rPr>
      </w:pPr>
    </w:p>
    <w:p>
      <w:pPr>
        <w:jc w:val="center"/>
        <w:ind w:right="-23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9" w:lineRule="exact"/>
        <w:rPr>
          <w:sz w:val="24"/>
          <w:szCs w:val="24"/>
          <w:color w:val="auto"/>
        </w:rPr>
      </w:pPr>
    </w:p>
    <w:p>
      <w:pPr>
        <w:ind w:left="4880"/>
        <w:spacing w:after="0"/>
        <w:rPr>
          <w:sz w:val="20"/>
          <w:szCs w:val="20"/>
          <w:color w:val="auto"/>
        </w:rPr>
      </w:pPr>
      <w:r>
        <w:rPr>
          <w:rFonts w:ascii="Arial" w:cs="Arial" w:eastAsia="Arial" w:hAnsi="Arial"/>
          <w:sz w:val="17"/>
          <w:szCs w:val="17"/>
          <w:color w:val="auto"/>
        </w:rPr>
        <w:t>__________________</w:t>
      </w:r>
    </w:p>
    <w:p>
      <w:pPr>
        <w:spacing w:after="0" w:line="191" w:lineRule="exact"/>
        <w:rPr>
          <w:sz w:val="24"/>
          <w:szCs w:val="24"/>
          <w:color w:val="auto"/>
        </w:rPr>
      </w:pPr>
    </w:p>
    <w:p>
      <w:pPr>
        <w:spacing w:after="0"/>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600" w:hanging="560"/>
        <w:spacing w:after="0"/>
        <w:tabs>
          <w:tab w:leader="none" w:pos="600" w:val="left"/>
        </w:tabs>
        <w:numPr>
          <w:ilvl w:val="0"/>
          <w:numId w:val="1"/>
        </w:numPr>
        <w:rPr>
          <w:rFonts w:ascii="MS PGothic" w:cs="MS PGothic" w:eastAsia="MS PGothic" w:hAnsi="MS PGothic"/>
          <w:sz w:val="14"/>
          <w:szCs w:val="14"/>
          <w:color w:val="auto"/>
        </w:rPr>
      </w:pPr>
      <w:r>
        <w:rPr>
          <w:rFonts w:ascii="Arial" w:cs="Arial" w:eastAsia="Arial" w:hAnsi="Arial"/>
          <w:sz w:val="13"/>
          <w:szCs w:val="13"/>
          <w:color w:val="auto"/>
        </w:rPr>
        <w:t>Written communications pursuant to Rule 425 under the Securities Act (17 CFR 230.425)</w:t>
      </w:r>
    </w:p>
    <w:p>
      <w:pPr>
        <w:spacing w:after="0" w:line="211" w:lineRule="exact"/>
        <w:rPr>
          <w:rFonts w:ascii="MS PGothic" w:cs="MS PGothic" w:eastAsia="MS PGothic" w:hAnsi="MS PGothic"/>
          <w:sz w:val="14"/>
          <w:szCs w:val="14"/>
          <w:color w:val="auto"/>
        </w:rPr>
      </w:pPr>
    </w:p>
    <w:p>
      <w:pPr>
        <w:ind w:left="600" w:hanging="560"/>
        <w:spacing w:after="0"/>
        <w:tabs>
          <w:tab w:leader="none" w:pos="600" w:val="left"/>
        </w:tabs>
        <w:numPr>
          <w:ilvl w:val="0"/>
          <w:numId w:val="1"/>
        </w:numPr>
        <w:rPr>
          <w:rFonts w:ascii="MS PGothic" w:cs="MS PGothic" w:eastAsia="MS PGothic" w:hAnsi="MS PGothic"/>
          <w:sz w:val="14"/>
          <w:szCs w:val="14"/>
          <w:color w:val="auto"/>
        </w:rPr>
      </w:pPr>
      <w:r>
        <w:rPr>
          <w:rFonts w:ascii="Arial" w:cs="Arial" w:eastAsia="Arial" w:hAnsi="Arial"/>
          <w:sz w:val="13"/>
          <w:szCs w:val="13"/>
          <w:color w:val="auto"/>
        </w:rPr>
        <w:t>Soliciting material pursuant to Rule 14a-12 under the Exchange Act (17 CFR 240.14a-12)</w:t>
      </w:r>
    </w:p>
    <w:p>
      <w:pPr>
        <w:spacing w:after="0" w:line="211" w:lineRule="exact"/>
        <w:rPr>
          <w:rFonts w:ascii="MS PGothic" w:cs="MS PGothic" w:eastAsia="MS PGothic" w:hAnsi="MS PGothic"/>
          <w:sz w:val="14"/>
          <w:szCs w:val="14"/>
          <w:color w:val="auto"/>
        </w:rPr>
      </w:pPr>
    </w:p>
    <w:p>
      <w:pPr>
        <w:ind w:left="600" w:hanging="560"/>
        <w:spacing w:after="0"/>
        <w:tabs>
          <w:tab w:leader="none" w:pos="600" w:val="left"/>
        </w:tabs>
        <w:numPr>
          <w:ilvl w:val="0"/>
          <w:numId w:val="1"/>
        </w:numPr>
        <w:rPr>
          <w:rFonts w:ascii="MS PGothic" w:cs="MS PGothic" w:eastAsia="MS PGothic" w:hAnsi="MS PGothic"/>
          <w:sz w:val="14"/>
          <w:szCs w:val="14"/>
          <w:color w:val="auto"/>
        </w:rPr>
      </w:pPr>
      <w:r>
        <w:rPr>
          <w:rFonts w:ascii="Arial" w:cs="Arial" w:eastAsia="Arial" w:hAnsi="Arial"/>
          <w:sz w:val="13"/>
          <w:szCs w:val="13"/>
          <w:color w:val="auto"/>
        </w:rPr>
        <w:t>Pre-commencement communications pursuant to Rule 14d-2(b) under the Exchange Act (17 CFR 240.14d-2(b))</w:t>
      </w:r>
    </w:p>
    <w:p>
      <w:pPr>
        <w:spacing w:after="0" w:line="211" w:lineRule="exact"/>
        <w:rPr>
          <w:rFonts w:ascii="MS PGothic" w:cs="MS PGothic" w:eastAsia="MS PGothic" w:hAnsi="MS PGothic"/>
          <w:sz w:val="14"/>
          <w:szCs w:val="14"/>
          <w:color w:val="auto"/>
        </w:rPr>
      </w:pPr>
    </w:p>
    <w:p>
      <w:pPr>
        <w:ind w:left="600" w:hanging="560"/>
        <w:spacing w:after="0"/>
        <w:tabs>
          <w:tab w:leader="none" w:pos="600" w:val="left"/>
        </w:tabs>
        <w:numPr>
          <w:ilvl w:val="0"/>
          <w:numId w:val="1"/>
        </w:numPr>
        <w:rPr>
          <w:rFonts w:ascii="MS PGothic" w:cs="MS PGothic" w:eastAsia="MS PGothic" w:hAnsi="MS PGothic"/>
          <w:sz w:val="14"/>
          <w:szCs w:val="14"/>
          <w:color w:val="auto"/>
        </w:rPr>
      </w:pPr>
      <w:r>
        <w:rPr>
          <w:rFonts w:ascii="Arial" w:cs="Arial" w:eastAsia="Arial" w:hAnsi="Arial"/>
          <w:sz w:val="13"/>
          <w:szCs w:val="13"/>
          <w:color w:val="auto"/>
        </w:rPr>
        <w:t>Pre-commencement communications pursuant to Rule 13e-4(c) under the Exchange Act (17 CFR 240.13e-4(c))</w:t>
      </w:r>
    </w:p>
    <w:p>
      <w:pPr>
        <w:spacing w:after="0" w:line="84" w:lineRule="exact"/>
        <w:rPr>
          <w:sz w:val="24"/>
          <w:szCs w:val="24"/>
          <w:color w:val="auto"/>
        </w:rPr>
      </w:pPr>
    </w:p>
    <w:tbl>
      <w:tblPr>
        <w:tblLayout w:type="fixed"/>
        <w:tblInd w:w="156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740" w:type="dxa"/>
            <w:vAlign w:val="bottom"/>
            <w:gridSpan w:val="3"/>
          </w:tcPr>
          <w:p>
            <w:pPr>
              <w:jc w:val="center"/>
              <w:ind w:left="96"/>
              <w:spacing w:after="0"/>
              <w:rPr>
                <w:sz w:val="20"/>
                <w:szCs w:val="20"/>
                <w:color w:val="auto"/>
              </w:rPr>
            </w:pPr>
            <w:r>
              <w:rPr>
                <w:rFonts w:ascii="Arial" w:cs="Arial" w:eastAsia="Arial" w:hAnsi="Arial"/>
                <w:sz w:val="13"/>
                <w:szCs w:val="13"/>
                <w:color w:val="auto"/>
                <w:w w:val="89"/>
              </w:rPr>
              <w:t>Securities registered pursuant to Section 12(b) of the Act:</w:t>
            </w:r>
          </w:p>
        </w:tc>
        <w:tc>
          <w:tcPr>
            <w:tcW w:w="34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259"/>
        </w:trPr>
        <w:tc>
          <w:tcPr>
            <w:tcW w:w="360" w:type="dxa"/>
            <w:vAlign w:val="bottom"/>
          </w:tcPr>
          <w:p>
            <w:pPr>
              <w:spacing w:after="0"/>
              <w:rPr>
                <w:sz w:val="22"/>
                <w:szCs w:val="22"/>
                <w:color w:val="auto"/>
              </w:rPr>
            </w:pPr>
          </w:p>
        </w:tc>
        <w:tc>
          <w:tcPr>
            <w:tcW w:w="1780" w:type="dxa"/>
            <w:vAlign w:val="bottom"/>
            <w:gridSpan w:val="2"/>
          </w:tcPr>
          <w:p>
            <w:pPr>
              <w:jc w:val="center"/>
              <w:ind w:right="860"/>
              <w:spacing w:after="0"/>
              <w:rPr>
                <w:sz w:val="20"/>
                <w:szCs w:val="20"/>
                <w:color w:val="auto"/>
              </w:rPr>
            </w:pPr>
            <w:r>
              <w:rPr>
                <w:rFonts w:ascii="Arial" w:cs="Arial" w:eastAsia="Arial" w:hAnsi="Arial"/>
                <w:sz w:val="13"/>
                <w:szCs w:val="13"/>
                <w:color w:val="auto"/>
                <w:w w:val="88"/>
              </w:rPr>
              <w:t>Title of each class</w:t>
            </w:r>
          </w:p>
        </w:tc>
        <w:tc>
          <w:tcPr>
            <w:tcW w:w="1460" w:type="dxa"/>
            <w:vAlign w:val="bottom"/>
          </w:tcPr>
          <w:p>
            <w:pPr>
              <w:spacing w:after="0"/>
              <w:rPr>
                <w:sz w:val="22"/>
                <w:szCs w:val="22"/>
                <w:color w:val="auto"/>
              </w:rPr>
            </w:pPr>
          </w:p>
        </w:tc>
        <w:tc>
          <w:tcPr>
            <w:tcW w:w="2280" w:type="dxa"/>
            <w:vAlign w:val="bottom"/>
            <w:gridSpan w:val="2"/>
          </w:tcPr>
          <w:p>
            <w:pPr>
              <w:jc w:val="center"/>
              <w:ind w:right="1320"/>
              <w:spacing w:after="0"/>
              <w:rPr>
                <w:sz w:val="20"/>
                <w:szCs w:val="20"/>
                <w:color w:val="auto"/>
              </w:rPr>
            </w:pPr>
            <w:r>
              <w:rPr>
                <w:rFonts w:ascii="Arial" w:cs="Arial" w:eastAsia="Arial" w:hAnsi="Arial"/>
                <w:sz w:val="13"/>
                <w:szCs w:val="13"/>
                <w:color w:val="auto"/>
                <w:w w:val="90"/>
              </w:rPr>
              <w:t>Trading Symbol(s)</w:t>
            </w:r>
          </w:p>
        </w:tc>
        <w:tc>
          <w:tcPr>
            <w:tcW w:w="2600" w:type="dxa"/>
            <w:vAlign w:val="bottom"/>
            <w:gridSpan w:val="2"/>
          </w:tcPr>
          <w:p>
            <w:pPr>
              <w:jc w:val="center"/>
              <w:ind w:left="276"/>
              <w:spacing w:after="0"/>
              <w:rPr>
                <w:sz w:val="20"/>
                <w:szCs w:val="20"/>
                <w:color w:val="auto"/>
              </w:rPr>
            </w:pPr>
            <w:r>
              <w:rPr>
                <w:rFonts w:ascii="Arial" w:cs="Arial" w:eastAsia="Arial" w:hAnsi="Arial"/>
                <w:sz w:val="13"/>
                <w:szCs w:val="13"/>
                <w:color w:val="auto"/>
                <w:w w:val="87"/>
              </w:rPr>
              <w:t>Name of each exchange on which registered</w:t>
            </w:r>
          </w:p>
        </w:tc>
      </w:tr>
      <w:tr>
        <w:trPr>
          <w:trHeight w:val="20"/>
        </w:trPr>
        <w:tc>
          <w:tcPr>
            <w:tcW w:w="3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r>
      <w:tr>
        <w:trPr>
          <w:trHeight w:val="177"/>
        </w:trPr>
        <w:tc>
          <w:tcPr>
            <w:tcW w:w="2140" w:type="dxa"/>
            <w:vAlign w:val="bottom"/>
            <w:gridSpan w:val="3"/>
          </w:tcPr>
          <w:p>
            <w:pPr>
              <w:jc w:val="center"/>
              <w:ind w:right="500"/>
              <w:spacing w:after="0"/>
              <w:rPr>
                <w:sz w:val="20"/>
                <w:szCs w:val="20"/>
                <w:color w:val="auto"/>
              </w:rPr>
            </w:pPr>
            <w:r>
              <w:rPr>
                <w:rFonts w:ascii="Arial" w:cs="Arial" w:eastAsia="Arial" w:hAnsi="Arial"/>
                <w:sz w:val="13"/>
                <w:szCs w:val="13"/>
                <w:color w:val="auto"/>
                <w:w w:val="88"/>
              </w:rPr>
              <w:t>Common Stock, $0.01 par value</w:t>
            </w:r>
          </w:p>
        </w:tc>
        <w:tc>
          <w:tcPr>
            <w:tcW w:w="1460" w:type="dxa"/>
            <w:vAlign w:val="bottom"/>
          </w:tcPr>
          <w:p>
            <w:pPr>
              <w:spacing w:after="0"/>
              <w:rPr>
                <w:sz w:val="15"/>
                <w:szCs w:val="15"/>
                <w:color w:val="auto"/>
              </w:rPr>
            </w:pPr>
          </w:p>
        </w:tc>
        <w:tc>
          <w:tcPr>
            <w:tcW w:w="2280" w:type="dxa"/>
            <w:vAlign w:val="bottom"/>
            <w:gridSpan w:val="2"/>
          </w:tcPr>
          <w:p>
            <w:pPr>
              <w:jc w:val="center"/>
              <w:ind w:right="1320"/>
              <w:spacing w:after="0"/>
              <w:rPr>
                <w:sz w:val="20"/>
                <w:szCs w:val="20"/>
                <w:color w:val="auto"/>
              </w:rPr>
            </w:pPr>
            <w:r>
              <w:rPr>
                <w:rFonts w:ascii="Arial" w:cs="Arial" w:eastAsia="Arial" w:hAnsi="Arial"/>
                <w:sz w:val="13"/>
                <w:szCs w:val="13"/>
                <w:color w:val="auto"/>
                <w:w w:val="95"/>
              </w:rPr>
              <w:t>GM</w:t>
            </w:r>
          </w:p>
        </w:tc>
        <w:tc>
          <w:tcPr>
            <w:tcW w:w="340" w:type="dxa"/>
            <w:vAlign w:val="bottom"/>
          </w:tcPr>
          <w:p>
            <w:pPr>
              <w:spacing w:after="0"/>
              <w:rPr>
                <w:sz w:val="15"/>
                <w:szCs w:val="15"/>
                <w:color w:val="auto"/>
              </w:rPr>
            </w:pPr>
          </w:p>
        </w:tc>
        <w:tc>
          <w:tcPr>
            <w:tcW w:w="2260" w:type="dxa"/>
            <w:vAlign w:val="bottom"/>
          </w:tcPr>
          <w:p>
            <w:pPr>
              <w:jc w:val="center"/>
              <w:spacing w:after="0"/>
              <w:rPr>
                <w:sz w:val="20"/>
                <w:szCs w:val="20"/>
                <w:color w:val="auto"/>
              </w:rPr>
            </w:pPr>
            <w:r>
              <w:rPr>
                <w:rFonts w:ascii="Arial" w:cs="Arial" w:eastAsia="Arial" w:hAnsi="Arial"/>
                <w:sz w:val="13"/>
                <w:szCs w:val="13"/>
                <w:color w:val="auto"/>
                <w:w w:val="89"/>
              </w:rPr>
              <w:t>New York Stock Exchange</w:t>
            </w:r>
          </w:p>
        </w:tc>
      </w:tr>
    </w:tbl>
    <w:p>
      <w:pPr>
        <w:spacing w:after="0" w:line="167" w:lineRule="exact"/>
        <w:rPr>
          <w:sz w:val="24"/>
          <w:szCs w:val="24"/>
          <w:color w:val="auto"/>
        </w:rPr>
      </w:pPr>
    </w:p>
    <w:p>
      <w:pPr>
        <w:ind w:right="520"/>
        <w:spacing w:after="0" w:line="162" w:lineRule="exact"/>
        <w:rPr>
          <w:sz w:val="20"/>
          <w:szCs w:val="20"/>
          <w:color w:val="auto"/>
        </w:rPr>
      </w:pPr>
      <w:r>
        <w:rPr>
          <w:rFonts w:ascii="Arial" w:cs="Arial" w:eastAsia="Arial" w:hAnsi="Arial"/>
          <w:sz w:val="13"/>
          <w:szCs w:val="13"/>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3"/>
          <w:szCs w:val="13"/>
          <w:color w:val="auto"/>
        </w:rPr>
        <w:t>☐</w:t>
      </w:r>
    </w:p>
    <w:p>
      <w:pPr>
        <w:spacing w:after="0" w:line="143" w:lineRule="exact"/>
        <w:rPr>
          <w:sz w:val="24"/>
          <w:szCs w:val="24"/>
          <w:color w:val="auto"/>
        </w:rPr>
      </w:pPr>
    </w:p>
    <w:p>
      <w:pPr>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574040</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88265</wp:posOffset>
            </wp:positionV>
            <wp:extent cx="7161530" cy="13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040"/>
          </w:cols>
          <w:pgMar w:left="300" w:top="1246" w:right="5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b w:val="1"/>
          <w:bCs w:val="1"/>
          <w:color w:val="auto"/>
        </w:rPr>
        <w:t>ITEM 2.02 Results of Operations and Financial Condition</w:t>
      </w:r>
    </w:p>
    <w:p>
      <w:pPr>
        <w:spacing w:after="0" w:line="204" w:lineRule="exact"/>
        <w:rPr>
          <w:sz w:val="20"/>
          <w:szCs w:val="20"/>
          <w:color w:val="auto"/>
        </w:rPr>
      </w:pPr>
    </w:p>
    <w:p>
      <w:pPr>
        <w:ind w:firstLine="127"/>
        <w:spacing w:after="0" w:line="281" w:lineRule="auto"/>
        <w:rPr>
          <w:sz w:val="20"/>
          <w:szCs w:val="20"/>
          <w:color w:val="auto"/>
        </w:rPr>
      </w:pPr>
      <w:r>
        <w:rPr>
          <w:rFonts w:ascii="Arial" w:cs="Arial" w:eastAsia="Arial" w:hAnsi="Arial"/>
          <w:sz w:val="14"/>
          <w:szCs w:val="14"/>
          <w:color w:val="auto"/>
        </w:rPr>
        <w:t>On May 5, 2021 General Motors Company (GM) issued a news release and supplemental materials on the subject of its 2021 first quarter earnings. The news release and supplemental materials are attached as Exhibit 99.1 and Exhibit 99.2.</w:t>
      </w:r>
    </w:p>
    <w:p>
      <w:pPr>
        <w:spacing w:after="0" w:line="153"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Charts furnished to securities analysts in connection with GM's 2021 first quarter earnings release are available on GM's website at www.gm.com/investors/earnings-releases.html.</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9.01 Financial Statements and Exhibits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9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r>
      <w:tr>
        <w:trPr>
          <w:trHeight w:val="256"/>
        </w:trPr>
        <w:tc>
          <w:tcPr>
            <w:tcW w:w="20" w:type="dxa"/>
            <w:vAlign w:val="bottom"/>
          </w:tcPr>
          <w:p>
            <w:pPr>
              <w:spacing w:after="0"/>
              <w:rPr>
                <w:sz w:val="22"/>
                <w:szCs w:val="22"/>
                <w:color w:val="auto"/>
              </w:rPr>
            </w:pPr>
          </w:p>
        </w:tc>
        <w:tc>
          <w:tcPr>
            <w:tcW w:w="2840" w:type="dxa"/>
            <w:vAlign w:val="bottom"/>
            <w:gridSpan w:val="2"/>
          </w:tcPr>
          <w:p>
            <w:pPr>
              <w:spacing w:after="0"/>
              <w:rPr>
                <w:sz w:val="20"/>
                <w:szCs w:val="20"/>
                <w:color w:val="auto"/>
              </w:rPr>
            </w:pPr>
            <w:r>
              <w:rPr>
                <w:rFonts w:ascii="Arial" w:cs="Arial" w:eastAsia="Arial" w:hAnsi="Arial"/>
                <w:sz w:val="14"/>
                <w:szCs w:val="14"/>
                <w:color w:val="auto"/>
              </w:rPr>
              <w:t>Exhibit</w:t>
            </w:r>
          </w:p>
        </w:tc>
        <w:tc>
          <w:tcPr>
            <w:tcW w:w="2480" w:type="dxa"/>
            <w:vAlign w:val="bottom"/>
            <w:gridSpan w:val="4"/>
          </w:tcPr>
          <w:p>
            <w:pPr>
              <w:spacing w:after="0"/>
              <w:rPr>
                <w:sz w:val="20"/>
                <w:szCs w:val="20"/>
                <w:color w:val="auto"/>
              </w:rPr>
            </w:pPr>
            <w:r>
              <w:rPr>
                <w:rFonts w:ascii="Arial" w:cs="Arial" w:eastAsia="Arial" w:hAnsi="Arial"/>
                <w:sz w:val="14"/>
                <w:szCs w:val="14"/>
                <w:color w:val="auto"/>
              </w:rPr>
              <w:t>Description</w:t>
            </w:r>
          </w:p>
        </w:tc>
        <w:tc>
          <w:tcPr>
            <w:tcW w:w="600" w:type="dxa"/>
            <w:vAlign w:val="bottom"/>
            <w:tcBorders>
              <w:top w:val="single" w:sz="8" w:color="auto"/>
            </w:tcBorders>
          </w:tcPr>
          <w:p>
            <w:pPr>
              <w:spacing w:after="0"/>
              <w:rPr>
                <w:sz w:val="22"/>
                <w:szCs w:val="22"/>
                <w:color w:val="auto"/>
              </w:rPr>
            </w:pPr>
          </w:p>
        </w:tc>
        <w:tc>
          <w:tcPr>
            <w:tcW w:w="53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140" w:type="dxa"/>
            <w:vAlign w:val="bottom"/>
            <w:gridSpan w:val="3"/>
          </w:tcPr>
          <w:p>
            <w:pPr>
              <w:spacing w:after="0" w:line="20" w:lineRule="exact"/>
              <w:rPr>
                <w:sz w:val="1"/>
                <w:szCs w:val="1"/>
                <w:color w:val="auto"/>
              </w:rPr>
            </w:pPr>
          </w:p>
        </w:tc>
      </w:tr>
      <w:tr>
        <w:trPr>
          <w:trHeight w:val="373"/>
        </w:trPr>
        <w:tc>
          <w:tcPr>
            <w:tcW w:w="20" w:type="dxa"/>
            <w:vAlign w:val="bottom"/>
          </w:tcPr>
          <w:p>
            <w:pPr>
              <w:spacing w:after="0"/>
              <w:rPr>
                <w:sz w:val="24"/>
                <w:szCs w:val="24"/>
                <w:color w:val="auto"/>
              </w:rPr>
            </w:pPr>
          </w:p>
        </w:tc>
        <w:tc>
          <w:tcPr>
            <w:tcW w:w="2840" w:type="dxa"/>
            <w:vAlign w:val="bottom"/>
            <w:gridSpan w:val="2"/>
          </w:tcPr>
          <w:p>
            <w:pPr>
              <w:spacing w:after="0"/>
              <w:rPr>
                <w:sz w:val="20"/>
                <w:szCs w:val="20"/>
                <w:color w:val="auto"/>
              </w:rPr>
            </w:pPr>
            <w:r>
              <w:rPr>
                <w:rFonts w:ascii="Arial" w:cs="Arial" w:eastAsia="Arial" w:hAnsi="Arial"/>
                <w:sz w:val="14"/>
                <w:szCs w:val="14"/>
                <w:color w:val="auto"/>
              </w:rPr>
              <w:t>Exhibit 99.1</w:t>
            </w:r>
          </w:p>
        </w:tc>
        <w:tc>
          <w:tcPr>
            <w:tcW w:w="1920" w:type="dxa"/>
            <w:vAlign w:val="bottom"/>
            <w:tcBorders>
              <w:bottom w:val="single" w:sz="8" w:color="0000FF"/>
            </w:tcBorders>
            <w:gridSpan w:val="2"/>
          </w:tcPr>
          <w:p>
            <w:pPr>
              <w:spacing w:after="0"/>
              <w:rPr>
                <w:rFonts w:ascii="Arial" w:cs="Arial" w:eastAsia="Arial" w:hAnsi="Arial"/>
                <w:sz w:val="14"/>
                <w:szCs w:val="14"/>
                <w:color w:val="0000FF"/>
                <w:w w:val="89"/>
              </w:rPr>
            </w:pPr>
            <w:hyperlink w:anchor="page4">
              <w:r>
                <w:rPr>
                  <w:rFonts w:ascii="Arial" w:cs="Arial" w:eastAsia="Arial" w:hAnsi="Arial"/>
                  <w:sz w:val="14"/>
                  <w:szCs w:val="14"/>
                  <w:color w:val="0000FF"/>
                  <w:w w:val="89"/>
                </w:rPr>
                <w:t>News Release Dated May 5, 2021</w:t>
              </w:r>
            </w:hyperlink>
          </w:p>
        </w:tc>
        <w:tc>
          <w:tcPr>
            <w:tcW w:w="6500" w:type="dxa"/>
            <w:vAlign w:val="bottom"/>
            <w:gridSpan w:val="4"/>
          </w:tcPr>
          <w:p>
            <w:pPr>
              <w:spacing w:after="0"/>
              <w:rPr>
                <w:sz w:val="24"/>
                <w:szCs w:val="24"/>
                <w:color w:val="auto"/>
              </w:rPr>
            </w:pPr>
          </w:p>
        </w:tc>
      </w:tr>
      <w:tr>
        <w:trPr>
          <w:trHeight w:val="160"/>
        </w:trPr>
        <w:tc>
          <w:tcPr>
            <w:tcW w:w="20" w:type="dxa"/>
            <w:vAlign w:val="bottom"/>
          </w:tcPr>
          <w:p>
            <w:pPr>
              <w:spacing w:after="0"/>
              <w:rPr>
                <w:sz w:val="13"/>
                <w:szCs w:val="13"/>
                <w:color w:val="auto"/>
              </w:rPr>
            </w:pPr>
          </w:p>
        </w:tc>
        <w:tc>
          <w:tcPr>
            <w:tcW w:w="2840" w:type="dxa"/>
            <w:vAlign w:val="bottom"/>
            <w:gridSpan w:val="2"/>
          </w:tcPr>
          <w:p>
            <w:pPr>
              <w:spacing w:after="0"/>
              <w:rPr>
                <w:sz w:val="20"/>
                <w:szCs w:val="20"/>
                <w:color w:val="auto"/>
              </w:rPr>
            </w:pPr>
            <w:r>
              <w:rPr>
                <w:rFonts w:ascii="Arial" w:cs="Arial" w:eastAsia="Arial" w:hAnsi="Arial"/>
                <w:sz w:val="14"/>
                <w:szCs w:val="14"/>
                <w:color w:val="auto"/>
              </w:rPr>
              <w:t>Exhibit 99.2</w:t>
            </w:r>
          </w:p>
        </w:tc>
        <w:tc>
          <w:tcPr>
            <w:tcW w:w="2280" w:type="dxa"/>
            <w:vAlign w:val="bottom"/>
            <w:tcBorders>
              <w:bottom w:val="single" w:sz="8" w:color="0000FF"/>
            </w:tcBorders>
            <w:gridSpan w:val="3"/>
          </w:tcPr>
          <w:p>
            <w:pPr>
              <w:spacing w:after="0"/>
              <w:rPr>
                <w:rFonts w:ascii="Arial" w:cs="Arial" w:eastAsia="Arial" w:hAnsi="Arial"/>
                <w:sz w:val="14"/>
                <w:szCs w:val="14"/>
                <w:color w:val="0000FF"/>
                <w:w w:val="92"/>
              </w:rPr>
            </w:pPr>
            <w:hyperlink w:anchor="page10">
              <w:r>
                <w:rPr>
                  <w:rFonts w:ascii="Arial" w:cs="Arial" w:eastAsia="Arial" w:hAnsi="Arial"/>
                  <w:sz w:val="14"/>
                  <w:szCs w:val="14"/>
                  <w:color w:val="0000FF"/>
                  <w:w w:val="92"/>
                </w:rPr>
                <w:t xml:space="preserve">Financial Highlights Dated May </w:t>
              </w:r>
            </w:hyperlink>
            <w:r>
              <w:rPr>
                <w:rFonts w:ascii="Arial" w:cs="Arial" w:eastAsia="Arial" w:hAnsi="Arial"/>
                <w:sz w:val="14"/>
                <w:szCs w:val="14"/>
                <w:color w:val="0000FF"/>
                <w:w w:val="92"/>
              </w:rPr>
              <w:t xml:space="preserve">5, </w:t>
            </w:r>
            <w:hyperlink w:anchor="page10">
              <w:r>
                <w:rPr>
                  <w:rFonts w:ascii="Arial" w:cs="Arial" w:eastAsia="Arial" w:hAnsi="Arial"/>
                  <w:sz w:val="14"/>
                  <w:szCs w:val="14"/>
                  <w:color w:val="0000FF"/>
                  <w:w w:val="92"/>
                </w:rPr>
                <w:t>2021</w:t>
              </w:r>
            </w:hyperlink>
          </w:p>
        </w:tc>
        <w:tc>
          <w:tcPr>
            <w:tcW w:w="6140" w:type="dxa"/>
            <w:vAlign w:val="bottom"/>
            <w:gridSpan w:val="3"/>
          </w:tcPr>
          <w:p>
            <w:pPr>
              <w:spacing w:after="0"/>
              <w:rPr>
                <w:sz w:val="13"/>
                <w:szCs w:val="13"/>
                <w:color w:val="auto"/>
              </w:rPr>
            </w:pPr>
          </w:p>
        </w:tc>
      </w:tr>
      <w:tr>
        <w:trPr>
          <w:trHeight w:val="192"/>
        </w:trPr>
        <w:tc>
          <w:tcPr>
            <w:tcW w:w="20" w:type="dxa"/>
            <w:vAlign w:val="bottom"/>
          </w:tcPr>
          <w:p>
            <w:pPr>
              <w:spacing w:after="0"/>
              <w:rPr>
                <w:sz w:val="16"/>
                <w:szCs w:val="16"/>
                <w:color w:val="auto"/>
              </w:rPr>
            </w:pPr>
          </w:p>
        </w:tc>
        <w:tc>
          <w:tcPr>
            <w:tcW w:w="2840" w:type="dxa"/>
            <w:vAlign w:val="bottom"/>
            <w:gridSpan w:val="2"/>
          </w:tcPr>
          <w:p>
            <w:pPr>
              <w:spacing w:after="0"/>
              <w:rPr>
                <w:sz w:val="20"/>
                <w:szCs w:val="20"/>
                <w:color w:val="auto"/>
              </w:rPr>
            </w:pPr>
            <w:r>
              <w:rPr>
                <w:rFonts w:ascii="Arial" w:cs="Arial" w:eastAsia="Arial" w:hAnsi="Arial"/>
                <w:sz w:val="14"/>
                <w:szCs w:val="14"/>
                <w:color w:val="auto"/>
              </w:rPr>
              <w:t>Exhibit 104</w:t>
            </w:r>
          </w:p>
        </w:tc>
        <w:tc>
          <w:tcPr>
            <w:tcW w:w="8420" w:type="dxa"/>
            <w:vAlign w:val="bottom"/>
            <w:gridSpan w:val="6"/>
          </w:tcPr>
          <w:p>
            <w:pPr>
              <w:spacing w:after="0"/>
              <w:rPr>
                <w:sz w:val="20"/>
                <w:szCs w:val="20"/>
                <w:color w:val="auto"/>
              </w:rPr>
            </w:pPr>
            <w:r>
              <w:rPr>
                <w:rFonts w:ascii="Arial" w:cs="Arial" w:eastAsia="Arial" w:hAnsi="Arial"/>
                <w:sz w:val="14"/>
                <w:szCs w:val="14"/>
                <w:color w:val="auto"/>
              </w:rPr>
              <w:t>Cover Page Interactive Data File (embedded within the Inline XBRL document)</w:t>
            </w:r>
          </w:p>
        </w:tc>
      </w:tr>
      <w:tr>
        <w:trPr>
          <w:trHeight w:val="946"/>
        </w:trPr>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5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4"/>
          <w:szCs w:val="14"/>
          <w:b w:val="1"/>
          <w:bCs w:val="1"/>
          <w:color w:val="auto"/>
        </w:rPr>
        <w:t>SIGNATURE</w:t>
      </w:r>
    </w:p>
    <w:p>
      <w:pPr>
        <w:spacing w:after="0" w:line="200" w:lineRule="exact"/>
        <w:rPr>
          <w:sz w:val="20"/>
          <w:szCs w:val="20"/>
          <w:color w:val="auto"/>
        </w:rPr>
      </w:pPr>
    </w:p>
    <w:p>
      <w:pPr>
        <w:spacing w:after="0" w:line="386" w:lineRule="exact"/>
        <w:rPr>
          <w:sz w:val="20"/>
          <w:szCs w:val="20"/>
          <w:color w:val="auto"/>
        </w:rPr>
      </w:pPr>
    </w:p>
    <w:p>
      <w:pPr>
        <w:ind w:left="100"/>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080" w:type="dxa"/>
            <w:vAlign w:val="bottom"/>
          </w:tcPr>
          <w:p>
            <w:pPr>
              <w:spacing w:after="0"/>
              <w:rPr>
                <w:sz w:val="15"/>
                <w:szCs w:val="15"/>
                <w:color w:val="auto"/>
              </w:rPr>
            </w:pPr>
          </w:p>
        </w:tc>
        <w:tc>
          <w:tcPr>
            <w:tcW w:w="5140" w:type="dxa"/>
            <w:vAlign w:val="bottom"/>
          </w:tcPr>
          <w:p>
            <w:pPr>
              <w:ind w:left="20"/>
              <w:spacing w:after="0"/>
              <w:rPr>
                <w:sz w:val="20"/>
                <w:szCs w:val="20"/>
                <w:color w:val="auto"/>
              </w:rPr>
            </w:pPr>
            <w:r>
              <w:rPr>
                <w:rFonts w:ascii="Arial" w:cs="Arial" w:eastAsia="Arial" w:hAnsi="Arial"/>
                <w:sz w:val="14"/>
                <w:szCs w:val="14"/>
                <w:color w:val="auto"/>
              </w:rPr>
              <w:t>GENERAL MOTORS COMPANY (Registrant)</w:t>
            </w:r>
          </w:p>
        </w:tc>
      </w:tr>
      <w:tr>
        <w:trPr>
          <w:trHeight w:val="584"/>
        </w:trPr>
        <w:tc>
          <w:tcPr>
            <w:tcW w:w="6080" w:type="dxa"/>
            <w:vAlign w:val="bottom"/>
          </w:tcPr>
          <w:p>
            <w:pPr>
              <w:ind w:left="5420"/>
              <w:spacing w:after="0"/>
              <w:rPr>
                <w:sz w:val="20"/>
                <w:szCs w:val="20"/>
                <w:color w:val="auto"/>
              </w:rPr>
            </w:pPr>
            <w:r>
              <w:rPr>
                <w:rFonts w:ascii="Arial" w:cs="Arial" w:eastAsia="Arial" w:hAnsi="Arial"/>
                <w:sz w:val="14"/>
                <w:szCs w:val="14"/>
                <w:color w:val="auto"/>
              </w:rPr>
              <w:t>By:</w:t>
            </w:r>
          </w:p>
        </w:tc>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CHRISTOPHER T. HATTO</w:t>
            </w:r>
          </w:p>
        </w:tc>
      </w:tr>
      <w:tr>
        <w:trPr>
          <w:trHeight w:val="129"/>
        </w:trPr>
        <w:tc>
          <w:tcPr>
            <w:tcW w:w="6080" w:type="dxa"/>
            <w:vAlign w:val="bottom"/>
          </w:tcPr>
          <w:p>
            <w:pPr>
              <w:spacing w:after="0" w:line="129" w:lineRule="exact"/>
              <w:rPr>
                <w:sz w:val="20"/>
                <w:szCs w:val="20"/>
                <w:color w:val="auto"/>
              </w:rPr>
            </w:pPr>
            <w:r>
              <w:rPr>
                <w:rFonts w:ascii="Arial" w:cs="Arial" w:eastAsia="Arial" w:hAnsi="Arial"/>
                <w:sz w:val="14"/>
                <w:szCs w:val="14"/>
                <w:color w:val="auto"/>
              </w:rPr>
              <w:t>Date: May 5, 2021</w:t>
            </w:r>
          </w:p>
        </w:tc>
        <w:tc>
          <w:tcPr>
            <w:tcW w:w="5140" w:type="dxa"/>
            <w:vAlign w:val="bottom"/>
          </w:tcPr>
          <w:p>
            <w:pPr>
              <w:ind w:left="20"/>
              <w:spacing w:after="0" w:line="129" w:lineRule="exact"/>
              <w:rPr>
                <w:sz w:val="20"/>
                <w:szCs w:val="20"/>
                <w:color w:val="auto"/>
              </w:rPr>
            </w:pPr>
            <w:r>
              <w:rPr>
                <w:rFonts w:ascii="Arial" w:cs="Arial" w:eastAsia="Arial" w:hAnsi="Arial"/>
                <w:sz w:val="14"/>
                <w:szCs w:val="14"/>
                <w:color w:val="auto"/>
                <w:w w:val="95"/>
              </w:rPr>
              <w:t>Christopher T. Hatto, Vice President, Global Business Solutions and Chief Accounting</w:t>
            </w:r>
          </w:p>
        </w:tc>
      </w:tr>
      <w:tr>
        <w:trPr>
          <w:trHeight w:val="180"/>
        </w:trPr>
        <w:tc>
          <w:tcPr>
            <w:tcW w:w="6080" w:type="dxa"/>
            <w:vAlign w:val="bottom"/>
          </w:tcPr>
          <w:p>
            <w:pPr>
              <w:spacing w:after="0"/>
              <w:rPr>
                <w:sz w:val="15"/>
                <w:szCs w:val="15"/>
                <w:color w:val="auto"/>
              </w:rPr>
            </w:pPr>
          </w:p>
        </w:tc>
        <w:tc>
          <w:tcPr>
            <w:tcW w:w="5140" w:type="dxa"/>
            <w:vAlign w:val="bottom"/>
          </w:tcPr>
          <w:p>
            <w:pPr>
              <w:ind w:left="20"/>
              <w:spacing w:after="0"/>
              <w:rPr>
                <w:sz w:val="20"/>
                <w:szCs w:val="20"/>
                <w:color w:val="auto"/>
              </w:rPr>
            </w:pPr>
            <w:r>
              <w:rPr>
                <w:rFonts w:ascii="Arial" w:cs="Arial" w:eastAsia="Arial" w:hAnsi="Arial"/>
                <w:sz w:val="14"/>
                <w:szCs w:val="14"/>
                <w:color w:val="auto"/>
              </w:rPr>
              <w:t>Officer</w:t>
            </w:r>
          </w:p>
        </w:tc>
      </w:tr>
    </w:tbl>
    <w:p>
      <w:pPr>
        <w:sectPr>
          <w:pgSz w:w="11900" w:h="16838" w:orient="portrait"/>
          <w:cols w:equalWidth="0" w:num="1">
            <w:col w:w="11220"/>
          </w:cols>
          <w:pgMar w:left="340" w:top="921" w:right="33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 w:name="page10"/>
    <w:bookmarkEnd w:id="9"/>
    <w:p>
      <w:pPr>
        <w:jc w:val="right"/>
        <w:spacing w:after="0"/>
        <w:rPr>
          <w:sz w:val="20"/>
          <w:szCs w:val="20"/>
          <w:color w:val="auto"/>
        </w:rPr>
      </w:pPr>
      <w:r>
        <w:rPr>
          <w:rFonts w:ascii="Arial" w:cs="Arial" w:eastAsia="Arial" w:hAnsi="Arial"/>
          <w:sz w:val="16"/>
          <w:szCs w:val="16"/>
          <w:b w:val="1"/>
          <w:bCs w:val="1"/>
          <w:color w:val="auto"/>
        </w:rPr>
        <w:t>Exhibit 99.2</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jc w:val="center"/>
        <w:spacing w:after="0"/>
        <w:rPr>
          <w:sz w:val="20"/>
          <w:szCs w:val="20"/>
          <w:color w:val="auto"/>
        </w:rPr>
      </w:pPr>
      <w:r>
        <w:rPr>
          <w:rFonts w:ascii="Arial" w:cs="Arial" w:eastAsia="Arial" w:hAnsi="Arial"/>
          <w:sz w:val="13"/>
          <w:szCs w:val="13"/>
          <w:i w:val="1"/>
          <w:iCs w:val="1"/>
          <w:color w:val="auto"/>
        </w:rPr>
        <w:t>(Unaudited)</w:t>
      </w:r>
    </w:p>
    <w:p>
      <w:pPr>
        <w:spacing w:after="0" w:line="328" w:lineRule="exact"/>
        <w:rPr>
          <w:sz w:val="20"/>
          <w:szCs w:val="20"/>
          <w:color w:val="auto"/>
        </w:rPr>
      </w:pPr>
    </w:p>
    <w:p>
      <w:pPr>
        <w:jc w:val="both"/>
        <w:ind w:firstLine="127"/>
        <w:spacing w:after="0" w:line="239" w:lineRule="auto"/>
        <w:rPr>
          <w:sz w:val="20"/>
          <w:szCs w:val="20"/>
          <w:color w:val="auto"/>
        </w:rPr>
      </w:pPr>
      <w:r>
        <w:rPr>
          <w:rFonts w:ascii="Arial" w:cs="Arial" w:eastAsia="Arial" w:hAnsi="Arial"/>
          <w:sz w:val="13"/>
          <w:szCs w:val="13"/>
          <w:color w:val="auto"/>
        </w:rPr>
        <w:t>General Motors Company's (GM) non-GAAP measures include: earnings before interest and taxes (EBIT)-adjusted, presented net of noncontrolling interests; earnings before income taxes (EBT)-adjusted for our General Motors Financial Company, Inc. (GM Financial) segment; earnings per share (EPS)-diluted-adjusted; effective tax rate-adjusted (ETR-adjusted); return on invested capital-adjusted (ROIC-adjusted) and adjusted automotive free cash flow. GM's calculation of these non-GAAP measures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w:t>
      </w:r>
    </w:p>
    <w:p>
      <w:pPr>
        <w:spacing w:after="0" w:line="189" w:lineRule="exact"/>
        <w:rPr>
          <w:sz w:val="20"/>
          <w:szCs w:val="20"/>
          <w:color w:val="auto"/>
        </w:rPr>
      </w:pPr>
    </w:p>
    <w:p>
      <w:pPr>
        <w:jc w:val="both"/>
        <w:ind w:firstLine="127"/>
        <w:spacing w:after="0" w:line="239" w:lineRule="auto"/>
        <w:rPr>
          <w:sz w:val="20"/>
          <w:szCs w:val="20"/>
          <w:color w:val="auto"/>
        </w:rPr>
      </w:pPr>
      <w:r>
        <w:rPr>
          <w:rFonts w:ascii="Arial" w:cs="Arial" w:eastAsia="Arial" w:hAnsi="Arial"/>
          <w:sz w:val="13"/>
          <w:szCs w:val="13"/>
          <w:color w:val="auto"/>
        </w:rPr>
        <w:t>These non-GAAP measures allow management and investors to view operating trends, perform analytical comparisons and benchmark performance between periods and among geographic regions to understand operating performance without regard to items we do not consider a component of our core operating performance. Furthermore, these non-GAAP measures allow investors the opportunity to measure and monitor our performance against our externally communicated targets and evaluate the investment decisions being made by management to improve ROIC-adjusted. Management uses these measures in its financial, investment and operational decision-making processes, for internal reporting and as part of its forecasting and budgeting processes. Further, our Board of Directors uses certain of these and other measures as key metrics to determine management performance under our performance-based compensation plans. For these reasons, we believe these non-GAAP measures are useful for our investors.</w:t>
      </w:r>
    </w:p>
    <w:p>
      <w:pPr>
        <w:spacing w:after="0" w:line="175" w:lineRule="exact"/>
        <w:rPr>
          <w:sz w:val="20"/>
          <w:szCs w:val="20"/>
          <w:color w:val="auto"/>
        </w:rPr>
      </w:pPr>
    </w:p>
    <w:p>
      <w:pPr>
        <w:jc w:val="both"/>
        <w:ind w:firstLine="127"/>
        <w:spacing w:after="0" w:line="243" w:lineRule="auto"/>
        <w:rPr>
          <w:sz w:val="20"/>
          <w:szCs w:val="20"/>
          <w:color w:val="auto"/>
        </w:rPr>
      </w:pPr>
      <w:r>
        <w:rPr>
          <w:rFonts w:ascii="Arial" w:cs="Arial" w:eastAsia="Arial" w:hAnsi="Arial"/>
          <w:sz w:val="13"/>
          <w:szCs w:val="13"/>
          <w:b w:val="1"/>
          <w:bCs w:val="1"/>
          <w:i w:val="1"/>
          <w:iCs w:val="1"/>
          <w:color w:val="auto"/>
        </w:rPr>
        <w:t xml:space="preserve">EBIT-adjusted </w:t>
      </w:r>
      <w:r>
        <w:rPr>
          <w:rFonts w:ascii="Arial" w:cs="Arial" w:eastAsia="Arial" w:hAnsi="Arial"/>
          <w:sz w:val="13"/>
          <w:szCs w:val="13"/>
          <w:color w:val="auto"/>
        </w:rPr>
        <w:t>EBIT-adjusted is presented net of noncontrolling interests and is used by management and can be used by investors to review our consolidated operating results because it excludes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automotive interest income, automotive interest expense and income taxes as well as certain additional adjustments that are not considered part of our core operations. Examples of adjustments to EBIT include, but are not limited to, impairment charges on long-lived assets and other exit costs resulting from strategic shifts in our operations or discrete market and business conditions; costs arising from the ignition switch recall and related legal matters; and certain currency devaluations associated with hyperinflationary economies. For EBIT-adjusted and our other non-GAAP measures, once we have made an adjustment in the current period for an item, we will also adjust the related non-GAAP measure in any future periods in which there is an impact from the item. Our corresponding measure for our GM Financial segment is EBT-adjusted because interest income and interest expense are part of operating results when assessing and measuring the operational and financial performance of the segment.</w:t>
      </w:r>
    </w:p>
    <w:p>
      <w:pPr>
        <w:spacing w:after="0" w:line="171" w:lineRule="exact"/>
        <w:rPr>
          <w:sz w:val="20"/>
          <w:szCs w:val="20"/>
          <w:color w:val="auto"/>
        </w:rPr>
      </w:pPr>
    </w:p>
    <w:p>
      <w:pPr>
        <w:jc w:val="both"/>
        <w:ind w:firstLine="127"/>
        <w:spacing w:after="0" w:line="252" w:lineRule="auto"/>
        <w:rPr>
          <w:sz w:val="20"/>
          <w:szCs w:val="20"/>
          <w:color w:val="auto"/>
        </w:rPr>
      </w:pPr>
      <w:r>
        <w:rPr>
          <w:rFonts w:ascii="Arial" w:cs="Arial" w:eastAsia="Arial" w:hAnsi="Arial"/>
          <w:sz w:val="13"/>
          <w:szCs w:val="13"/>
          <w:b w:val="1"/>
          <w:bCs w:val="1"/>
          <w:i w:val="1"/>
          <w:iCs w:val="1"/>
          <w:color w:val="auto"/>
        </w:rPr>
        <w:t xml:space="preserve">EPS-diluted-adjusted </w:t>
      </w:r>
      <w:r>
        <w:rPr>
          <w:rFonts w:ascii="Arial" w:cs="Arial" w:eastAsia="Arial" w:hAnsi="Arial"/>
          <w:sz w:val="13"/>
          <w:szCs w:val="13"/>
          <w:color w:val="auto"/>
        </w:rPr>
        <w:t>EPS-diluted-adjusted is used by management and can be used by investors to review our consolidated diluted EPS results on a consistent basis. EPS-diluted-adjusted is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calculated as net income attributable to common stockholders-diluted less adjustments noted above for EBIT-adjusted and certain income tax adjustments divided by weighted-average common shares outstanding-diluted. Examples of income tax adjustments include the establishment or reversal of significant deferred tax asset valuation allowances.</w:t>
      </w:r>
    </w:p>
    <w:p>
      <w:pPr>
        <w:spacing w:after="0" w:line="166" w:lineRule="exact"/>
        <w:rPr>
          <w:sz w:val="20"/>
          <w:szCs w:val="20"/>
          <w:color w:val="auto"/>
        </w:rPr>
      </w:pPr>
    </w:p>
    <w:p>
      <w:pPr>
        <w:jc w:val="both"/>
        <w:ind w:firstLine="127"/>
        <w:spacing w:after="0" w:line="247" w:lineRule="auto"/>
        <w:rPr>
          <w:sz w:val="20"/>
          <w:szCs w:val="20"/>
          <w:color w:val="auto"/>
        </w:rPr>
      </w:pPr>
      <w:r>
        <w:rPr>
          <w:rFonts w:ascii="Arial" w:cs="Arial" w:eastAsia="Arial" w:hAnsi="Arial"/>
          <w:sz w:val="13"/>
          <w:szCs w:val="13"/>
          <w:b w:val="1"/>
          <w:bCs w:val="1"/>
          <w:i w:val="1"/>
          <w:iCs w:val="1"/>
          <w:color w:val="auto"/>
        </w:rPr>
        <w:t xml:space="preserve">ETR-adjusted </w:t>
      </w:r>
      <w:r>
        <w:rPr>
          <w:rFonts w:ascii="Arial" w:cs="Arial" w:eastAsia="Arial" w:hAnsi="Arial"/>
          <w:sz w:val="13"/>
          <w:szCs w:val="13"/>
          <w:color w:val="auto"/>
        </w:rPr>
        <w:t>ETR-adjusted is used by management and can be used by investors to review the consolidated effective tax rate for our core operations on a consistent basis. ETR-adjusted is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calculated as Income tax expense less the income tax related to the adjustments noted above for EBIT-adjusted and the income tax adjustments noted above for EPS-diluted-adjusted divided by Income before income taxes less adjustments. When we provide an expected adjusted effective tax rate, we do not provide an expected effective tax rate because the U.S. GAAP measure may include significant adjustments that are difficult to predict.</w:t>
      </w:r>
    </w:p>
    <w:p>
      <w:pPr>
        <w:spacing w:after="0" w:line="170" w:lineRule="exact"/>
        <w:rPr>
          <w:sz w:val="20"/>
          <w:szCs w:val="20"/>
          <w:color w:val="auto"/>
        </w:rPr>
      </w:pPr>
    </w:p>
    <w:p>
      <w:pPr>
        <w:jc w:val="both"/>
        <w:ind w:firstLine="127"/>
        <w:spacing w:after="0" w:line="252" w:lineRule="auto"/>
        <w:rPr>
          <w:sz w:val="20"/>
          <w:szCs w:val="20"/>
          <w:color w:val="auto"/>
        </w:rPr>
      </w:pPr>
      <w:r>
        <w:rPr>
          <w:rFonts w:ascii="Arial" w:cs="Arial" w:eastAsia="Arial" w:hAnsi="Arial"/>
          <w:sz w:val="13"/>
          <w:szCs w:val="13"/>
          <w:b w:val="1"/>
          <w:bCs w:val="1"/>
          <w:i w:val="1"/>
          <w:iCs w:val="1"/>
          <w:color w:val="auto"/>
        </w:rPr>
        <w:t xml:space="preserve">ROIC-adjusted </w:t>
      </w:r>
      <w:r>
        <w:rPr>
          <w:rFonts w:ascii="Arial" w:cs="Arial" w:eastAsia="Arial" w:hAnsi="Arial"/>
          <w:sz w:val="13"/>
          <w:szCs w:val="13"/>
          <w:color w:val="auto"/>
        </w:rPr>
        <w:t>ROIC-adjusted is used by management and can be used by investors to review our investment and capital allocation decisions. We define ROIC-adjusted as EBIT-adjusted for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trailing four quarters divided by ROIC-adjusted average net assets, which is considered to be the average equity balances adjusted for average automotive debt and interest liabilities, exclusive of finance leases; average automotive net pension and other postretirement benefits (OPEB) liabilities; and average automotive net income tax assets during the same period.</w:t>
      </w:r>
    </w:p>
    <w:p>
      <w:pPr>
        <w:spacing w:after="0" w:line="166" w:lineRule="exact"/>
        <w:rPr>
          <w:sz w:val="20"/>
          <w:szCs w:val="20"/>
          <w:color w:val="auto"/>
        </w:rPr>
      </w:pPr>
    </w:p>
    <w:p>
      <w:pPr>
        <w:jc w:val="both"/>
        <w:ind w:firstLine="127"/>
        <w:spacing w:after="0" w:line="247" w:lineRule="auto"/>
        <w:rPr>
          <w:sz w:val="20"/>
          <w:szCs w:val="20"/>
          <w:color w:val="auto"/>
        </w:rPr>
      </w:pPr>
      <w:r>
        <w:rPr>
          <w:rFonts w:ascii="Arial" w:cs="Arial" w:eastAsia="Arial" w:hAnsi="Arial"/>
          <w:sz w:val="13"/>
          <w:szCs w:val="13"/>
          <w:b w:val="1"/>
          <w:bCs w:val="1"/>
          <w:i w:val="1"/>
          <w:iCs w:val="1"/>
          <w:color w:val="auto"/>
        </w:rPr>
        <w:t xml:space="preserve">Adjusted automotive free cash flow </w:t>
      </w:r>
      <w:r>
        <w:rPr>
          <w:rFonts w:ascii="Arial" w:cs="Arial" w:eastAsia="Arial" w:hAnsi="Arial"/>
          <w:sz w:val="13"/>
          <w:szCs w:val="13"/>
          <w:color w:val="auto"/>
        </w:rPr>
        <w:t>Adjusted automotive free cash flow is used by management and can be used by investors to review the liquidity of our automotive operations and to measure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and monitor our performance against our capital allocation program and evaluate our automotive liquidity against the substantial cash requirements of our automotive operations. We measure adjusted automotive free cash flow as automotive operating cash flow from operations less capital expenditures adjusted for management actions. Management actions can include voluntary events such as discretionary contributions to employee benefit plans or nonrecurring specific events such as a closure of a facility that are considered special for EBIT-adjusted purposes.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80"/>
          </w:cols>
          <w:pgMar w:left="300" w:top="118" w:right="319" w:bottom="1440" w:gutter="0" w:footer="0" w:header="0"/>
        </w:sectPr>
      </w:pPr>
    </w:p>
    <w:bookmarkStart w:id="10" w:name="page11"/>
    <w:bookmarkEnd w:id="10"/>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26"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reconciles Net income attributable to stockholders under U.S. GAAP to segment profit (loss) (dollars in millions):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7900" w:type="dxa"/>
            <w:vAlign w:val="bottom"/>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99"/>
              </w:rPr>
              <w:t>Three Months Ended</w:t>
            </w:r>
          </w:p>
        </w:tc>
        <w:tc>
          <w:tcPr>
            <w:tcW w:w="1180" w:type="dxa"/>
            <w:vAlign w:val="bottom"/>
            <w:tcBorders>
              <w:bottom w:val="single" w:sz="8" w:color="auto"/>
            </w:tcBorders>
          </w:tcPr>
          <w:p>
            <w:pPr>
              <w:spacing w:after="0"/>
              <w:rPr>
                <w:sz w:val="11"/>
                <w:szCs w:val="11"/>
                <w:color w:val="auto"/>
              </w:rPr>
            </w:pPr>
          </w:p>
        </w:tc>
      </w:tr>
      <w:tr>
        <w:trPr>
          <w:trHeight w:val="132"/>
        </w:trPr>
        <w:tc>
          <w:tcPr>
            <w:tcW w:w="7900" w:type="dxa"/>
            <w:vAlign w:val="bottom"/>
            <w:tcBorders>
              <w:bottom w:val="single" w:sz="8" w:color="CCEEFF"/>
            </w:tcBorders>
          </w:tcPr>
          <w:p>
            <w:pPr>
              <w:spacing w:after="0"/>
              <w:rPr>
                <w:sz w:val="11"/>
                <w:szCs w:val="1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March 31, 2021</w:t>
            </w:r>
          </w:p>
        </w:tc>
        <w:tc>
          <w:tcPr>
            <w:tcW w:w="4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397"/>
              <w:spacing w:after="0"/>
              <w:rPr>
                <w:sz w:val="20"/>
                <w:szCs w:val="20"/>
                <w:color w:val="auto"/>
              </w:rPr>
            </w:pPr>
            <w:r>
              <w:rPr>
                <w:rFonts w:ascii="Arial" w:cs="Arial" w:eastAsia="Arial" w:hAnsi="Arial"/>
                <w:sz w:val="10"/>
                <w:szCs w:val="10"/>
                <w:b w:val="1"/>
                <w:bCs w:val="1"/>
                <w:color w:val="auto"/>
                <w:w w:val="98"/>
              </w:rPr>
              <w:t>March 31, 2020</w:t>
            </w:r>
          </w:p>
        </w:tc>
      </w:tr>
      <w:tr>
        <w:trPr>
          <w:trHeight w:val="165"/>
        </w:trPr>
        <w:tc>
          <w:tcPr>
            <w:tcW w:w="7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attributable to stockholders(a)</w:t>
            </w:r>
          </w:p>
        </w:tc>
        <w:tc>
          <w:tcPr>
            <w:tcW w:w="1180" w:type="dxa"/>
            <w:vAlign w:val="bottom"/>
            <w:shd w:val="clear" w:color="auto" w:fill="CCEEFF"/>
          </w:tcPr>
          <w:p>
            <w:pPr>
              <w:jc w:val="right"/>
              <w:ind w:right="1041"/>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3,022</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w:t>
            </w:r>
          </w:p>
        </w:tc>
      </w:tr>
      <w:tr>
        <w:trPr>
          <w:trHeight w:val="168"/>
        </w:trPr>
        <w:tc>
          <w:tcPr>
            <w:tcW w:w="7900" w:type="dxa"/>
            <w:vAlign w:val="bottom"/>
          </w:tcPr>
          <w:p>
            <w:pPr>
              <w:ind w:left="20"/>
              <w:spacing w:after="0"/>
              <w:rPr>
                <w:sz w:val="20"/>
                <w:szCs w:val="20"/>
                <w:color w:val="auto"/>
              </w:rPr>
            </w:pPr>
            <w:r>
              <w:rPr>
                <w:rFonts w:ascii="Arial" w:cs="Arial" w:eastAsia="Arial" w:hAnsi="Arial"/>
                <w:sz w:val="13"/>
                <w:szCs w:val="13"/>
                <w:color w:val="auto"/>
              </w:rPr>
              <w:t>Automotive interest income</w:t>
            </w:r>
          </w:p>
        </w:tc>
        <w:tc>
          <w:tcPr>
            <w:tcW w:w="11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(83)</w:t>
            </w:r>
          </w:p>
        </w:tc>
      </w:tr>
      <w:tr>
        <w:trPr>
          <w:trHeight w:val="172"/>
        </w:trPr>
        <w:tc>
          <w:tcPr>
            <w:tcW w:w="7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Automotive interest expense</w:t>
            </w:r>
          </w:p>
        </w:tc>
        <w:tc>
          <w:tcPr>
            <w:tcW w:w="11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w:t>
            </w:r>
          </w:p>
        </w:tc>
      </w:tr>
      <w:tr>
        <w:trPr>
          <w:trHeight w:val="168"/>
        </w:trPr>
        <w:tc>
          <w:tcPr>
            <w:tcW w:w="7900" w:type="dxa"/>
            <w:vAlign w:val="bottom"/>
          </w:tcPr>
          <w:p>
            <w:pPr>
              <w:ind w:left="20"/>
              <w:spacing w:after="0"/>
              <w:rPr>
                <w:sz w:val="20"/>
                <w:szCs w:val="20"/>
                <w:color w:val="auto"/>
              </w:rPr>
            </w:pPr>
            <w:r>
              <w:rPr>
                <w:rFonts w:ascii="Arial" w:cs="Arial" w:eastAsia="Arial" w:hAnsi="Arial"/>
                <w:sz w:val="13"/>
                <w:szCs w:val="13"/>
                <w:color w:val="auto"/>
              </w:rPr>
              <w:t>Income tax expense</w:t>
            </w:r>
          </w:p>
        </w:tc>
        <w:tc>
          <w:tcPr>
            <w:tcW w:w="11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1,177</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357</w:t>
            </w:r>
          </w:p>
        </w:tc>
      </w:tr>
      <w:tr>
        <w:trPr>
          <w:trHeight w:val="172"/>
        </w:trPr>
        <w:tc>
          <w:tcPr>
            <w:tcW w:w="7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w:t>
            </w:r>
          </w:p>
        </w:tc>
        <w:tc>
          <w:tcPr>
            <w:tcW w:w="11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68"/>
        </w:trPr>
        <w:tc>
          <w:tcPr>
            <w:tcW w:w="790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GMI restructuring(b)</w:t>
            </w:r>
          </w:p>
        </w:tc>
        <w:tc>
          <w:tcPr>
            <w:tcW w:w="1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489</w:t>
            </w:r>
          </w:p>
        </w:tc>
      </w:tr>
      <w:tr>
        <w:trPr>
          <w:trHeight w:val="160"/>
        </w:trPr>
        <w:tc>
          <w:tcPr>
            <w:tcW w:w="7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adjustments</w:t>
            </w:r>
          </w:p>
        </w:tc>
        <w:tc>
          <w:tcPr>
            <w:tcW w:w="11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489</w:t>
            </w:r>
          </w:p>
        </w:tc>
      </w:tr>
      <w:tr>
        <w:trPr>
          <w:trHeight w:val="160"/>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EBIT-adjusted</w:t>
            </w:r>
          </w:p>
        </w:tc>
        <w:tc>
          <w:tcPr>
            <w:tcW w:w="118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4,417</w:t>
            </w:r>
          </w:p>
        </w:tc>
        <w:tc>
          <w:tcPr>
            <w:tcW w:w="100" w:type="dxa"/>
            <w:vAlign w:val="bottom"/>
            <w:tcBorders>
              <w:bottom w:val="single" w:sz="8" w:color="CCEEFF"/>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1,250</w:t>
            </w:r>
          </w:p>
        </w:tc>
      </w:tr>
      <w:tr>
        <w:trPr>
          <w:trHeight w:val="152"/>
        </w:trPr>
        <w:tc>
          <w:tcPr>
            <w:tcW w:w="79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Operating segments</w:t>
            </w:r>
          </w:p>
        </w:tc>
        <w:tc>
          <w:tcPr>
            <w:tcW w:w="1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168"/>
        </w:trPr>
        <w:tc>
          <w:tcPr>
            <w:tcW w:w="7900" w:type="dxa"/>
            <w:vAlign w:val="bottom"/>
          </w:tcPr>
          <w:p>
            <w:pPr>
              <w:ind w:left="120"/>
              <w:spacing w:after="0"/>
              <w:rPr>
                <w:sz w:val="20"/>
                <w:szCs w:val="20"/>
                <w:color w:val="auto"/>
              </w:rPr>
            </w:pPr>
            <w:r>
              <w:rPr>
                <w:rFonts w:ascii="Arial" w:cs="Arial" w:eastAsia="Arial" w:hAnsi="Arial"/>
                <w:sz w:val="13"/>
                <w:szCs w:val="13"/>
                <w:color w:val="auto"/>
              </w:rPr>
              <w:t>GM North America (GMNA)</w:t>
            </w:r>
          </w:p>
        </w:tc>
        <w:tc>
          <w:tcPr>
            <w:tcW w:w="11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3,134</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2,194</w:t>
            </w:r>
          </w:p>
        </w:tc>
      </w:tr>
      <w:tr>
        <w:trPr>
          <w:trHeight w:val="172"/>
        </w:trPr>
        <w:tc>
          <w:tcPr>
            <w:tcW w:w="79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GM International (GMI)</w:t>
            </w:r>
          </w:p>
        </w:tc>
        <w:tc>
          <w:tcPr>
            <w:tcW w:w="11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308</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(551)</w:t>
            </w:r>
          </w:p>
        </w:tc>
      </w:tr>
      <w:tr>
        <w:trPr>
          <w:trHeight w:val="168"/>
        </w:trPr>
        <w:tc>
          <w:tcPr>
            <w:tcW w:w="7900" w:type="dxa"/>
            <w:vAlign w:val="bottom"/>
          </w:tcPr>
          <w:p>
            <w:pPr>
              <w:ind w:left="100"/>
              <w:spacing w:after="0"/>
              <w:rPr>
                <w:sz w:val="20"/>
                <w:szCs w:val="20"/>
                <w:color w:val="auto"/>
              </w:rPr>
            </w:pPr>
            <w:r>
              <w:rPr>
                <w:rFonts w:ascii="Arial" w:cs="Arial" w:eastAsia="Arial" w:hAnsi="Arial"/>
                <w:sz w:val="13"/>
                <w:szCs w:val="13"/>
                <w:color w:val="auto"/>
              </w:rPr>
              <w:t>Cruise</w:t>
            </w:r>
          </w:p>
        </w:tc>
        <w:tc>
          <w:tcPr>
            <w:tcW w:w="11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(229)</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(228)</w:t>
            </w:r>
          </w:p>
        </w:tc>
      </w:tr>
      <w:tr>
        <w:trPr>
          <w:trHeight w:val="170"/>
        </w:trPr>
        <w:tc>
          <w:tcPr>
            <w:tcW w:w="79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GM Financial(c)</w:t>
            </w:r>
          </w:p>
        </w:tc>
        <w:tc>
          <w:tcPr>
            <w:tcW w:w="118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1,182</w:t>
            </w:r>
          </w:p>
        </w:tc>
        <w:tc>
          <w:tcPr>
            <w:tcW w:w="10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230</w:t>
            </w:r>
          </w:p>
        </w:tc>
      </w:tr>
      <w:tr>
        <w:trPr>
          <w:trHeight w:val="160"/>
        </w:trPr>
        <w:tc>
          <w:tcPr>
            <w:tcW w:w="7900" w:type="dxa"/>
            <w:vAlign w:val="bottom"/>
          </w:tcPr>
          <w:p>
            <w:pPr>
              <w:ind w:left="20"/>
              <w:spacing w:after="0"/>
              <w:rPr>
                <w:sz w:val="20"/>
                <w:szCs w:val="20"/>
                <w:color w:val="auto"/>
              </w:rPr>
            </w:pPr>
            <w:r>
              <w:rPr>
                <w:rFonts w:ascii="Arial" w:cs="Arial" w:eastAsia="Arial" w:hAnsi="Arial"/>
                <w:sz w:val="13"/>
                <w:szCs w:val="13"/>
                <w:color w:val="auto"/>
              </w:rPr>
              <w:t>Total operating segments</w:t>
            </w:r>
          </w:p>
        </w:tc>
        <w:tc>
          <w:tcPr>
            <w:tcW w:w="11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4,395</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1,645</w:t>
            </w:r>
          </w:p>
        </w:tc>
      </w:tr>
      <w:tr>
        <w:trPr>
          <w:trHeight w:val="170"/>
        </w:trPr>
        <w:tc>
          <w:tcPr>
            <w:tcW w:w="7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Corporate and eliminations(d)</w:t>
            </w:r>
          </w:p>
        </w:tc>
        <w:tc>
          <w:tcPr>
            <w:tcW w:w="118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(395)</w:t>
            </w:r>
          </w:p>
        </w:tc>
      </w:tr>
      <w:tr>
        <w:trPr>
          <w:trHeight w:val="163"/>
        </w:trPr>
        <w:tc>
          <w:tcPr>
            <w:tcW w:w="7900" w:type="dxa"/>
            <w:vAlign w:val="bottom"/>
          </w:tcPr>
          <w:p>
            <w:pPr>
              <w:ind w:left="20"/>
              <w:spacing w:after="0"/>
              <w:rPr>
                <w:sz w:val="20"/>
                <w:szCs w:val="20"/>
                <w:color w:val="auto"/>
              </w:rPr>
            </w:pPr>
            <w:r>
              <w:rPr>
                <w:rFonts w:ascii="Arial" w:cs="Arial" w:eastAsia="Arial" w:hAnsi="Arial"/>
                <w:sz w:val="13"/>
                <w:szCs w:val="13"/>
                <w:color w:val="auto"/>
              </w:rPr>
              <w:t>EBIT-adjusted</w:t>
            </w:r>
          </w:p>
        </w:tc>
        <w:tc>
          <w:tcPr>
            <w:tcW w:w="1180" w:type="dxa"/>
            <w:vAlign w:val="bottom"/>
            <w:tcBorders>
              <w:bottom w:val="single" w:sz="8" w:color="auto"/>
            </w:tcBorders>
          </w:tcPr>
          <w:p>
            <w:pPr>
              <w:jc w:val="right"/>
              <w:ind w:right="1041"/>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4,417</w:t>
            </w:r>
          </w:p>
        </w:tc>
        <w:tc>
          <w:tcPr>
            <w:tcW w:w="100" w:type="dxa"/>
            <w:vAlign w:val="bottom"/>
          </w:tcPr>
          <w:p>
            <w:pPr>
              <w:spacing w:after="0"/>
              <w:rPr>
                <w:sz w:val="14"/>
                <w:szCs w:val="14"/>
                <w:color w:val="auto"/>
              </w:rPr>
            </w:pPr>
          </w:p>
        </w:tc>
        <w:tc>
          <w:tcPr>
            <w:tcW w:w="46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1,250</w:t>
            </w:r>
          </w:p>
        </w:tc>
      </w:tr>
      <w:tr>
        <w:trPr>
          <w:trHeight w:val="20"/>
        </w:trPr>
        <w:tc>
          <w:tcPr>
            <w:tcW w:w="79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1" w:lineRule="exact"/>
        <w:rPr>
          <w:sz w:val="20"/>
          <w:szCs w:val="20"/>
          <w:color w:val="auto"/>
        </w:rPr>
      </w:pPr>
    </w:p>
    <w:p>
      <w:pPr>
        <w:ind w:left="240" w:hanging="235"/>
        <w:spacing w:after="0"/>
        <w:tabs>
          <w:tab w:leader="none" w:pos="240" w:val="left"/>
        </w:tabs>
        <w:numPr>
          <w:ilvl w:val="0"/>
          <w:numId w:val="2"/>
        </w:numPr>
        <w:rPr>
          <w:rFonts w:ascii="Arial" w:cs="Arial" w:eastAsia="Arial" w:hAnsi="Arial"/>
          <w:sz w:val="11"/>
          <w:szCs w:val="11"/>
          <w:color w:val="auto"/>
        </w:rPr>
      </w:pPr>
      <w:r>
        <w:rPr>
          <w:rFonts w:ascii="Arial" w:cs="Arial" w:eastAsia="Arial" w:hAnsi="Arial"/>
          <w:sz w:val="11"/>
          <w:szCs w:val="11"/>
          <w:color w:val="auto"/>
        </w:rPr>
        <w:t>Net of Net loss attributable to noncontrolling interests.</w:t>
      </w:r>
    </w:p>
    <w:p>
      <w:pPr>
        <w:jc w:val="both"/>
        <w:ind w:left="260" w:hanging="255"/>
        <w:spacing w:after="0" w:line="241" w:lineRule="auto"/>
        <w:tabs>
          <w:tab w:leader="none" w:pos="249" w:val="left"/>
        </w:tabs>
        <w:numPr>
          <w:ilvl w:val="0"/>
          <w:numId w:val="2"/>
        </w:numPr>
        <w:rPr>
          <w:rFonts w:ascii="Arial" w:cs="Arial" w:eastAsia="Arial" w:hAnsi="Arial"/>
          <w:sz w:val="11"/>
          <w:szCs w:val="11"/>
          <w:color w:val="auto"/>
        </w:rPr>
      </w:pPr>
      <w:r>
        <w:rPr>
          <w:rFonts w:ascii="Arial" w:cs="Arial" w:eastAsia="Arial" w:hAnsi="Arial"/>
          <w:sz w:val="11"/>
          <w:szCs w:val="11"/>
          <w:color w:val="auto"/>
        </w:rPr>
        <w:t>These adjustments were excluded because of a strategic decision to rationalize our core operations by exiting or significantly reducing our presence in various international markets to focus resources on opportunities expected to deliver higher returns. The adjustments primarily consist of asset impairments, dealer restructurings, employee separation charges and sales allowances in Australia, New Zealand and Thailand in the three months ended March 31, 2020.</w:t>
      </w:r>
    </w:p>
    <w:p>
      <w:pPr>
        <w:ind w:left="260" w:hanging="255"/>
        <w:spacing w:after="0"/>
        <w:tabs>
          <w:tab w:leader="none" w:pos="260" w:val="left"/>
        </w:tabs>
        <w:numPr>
          <w:ilvl w:val="0"/>
          <w:numId w:val="2"/>
        </w:numPr>
        <w:rPr>
          <w:rFonts w:ascii="Arial" w:cs="Arial" w:eastAsia="Arial" w:hAnsi="Arial"/>
          <w:sz w:val="11"/>
          <w:szCs w:val="11"/>
          <w:color w:val="auto"/>
        </w:rPr>
      </w:pPr>
      <w:r>
        <w:rPr>
          <w:rFonts w:ascii="Arial" w:cs="Arial" w:eastAsia="Arial" w:hAnsi="Arial"/>
          <w:sz w:val="11"/>
          <w:szCs w:val="11"/>
          <w:color w:val="auto"/>
        </w:rPr>
        <w:t>GM Financial amounts represent EBT-adjusted.</w:t>
      </w:r>
    </w:p>
    <w:p>
      <w:pPr>
        <w:ind w:left="260" w:hanging="255"/>
        <w:spacing w:after="0" w:line="260" w:lineRule="auto"/>
        <w:tabs>
          <w:tab w:leader="none" w:pos="249" w:val="left"/>
        </w:tabs>
        <w:numPr>
          <w:ilvl w:val="0"/>
          <w:numId w:val="2"/>
        </w:numPr>
        <w:rPr>
          <w:rFonts w:ascii="Arial" w:cs="Arial" w:eastAsia="Arial" w:hAnsi="Arial"/>
          <w:sz w:val="11"/>
          <w:szCs w:val="11"/>
          <w:color w:val="auto"/>
        </w:rPr>
      </w:pPr>
      <w:r>
        <w:rPr>
          <w:rFonts w:ascii="Arial" w:cs="Arial" w:eastAsia="Arial" w:hAnsi="Arial"/>
          <w:sz w:val="11"/>
          <w:szCs w:val="11"/>
          <w:color w:val="auto"/>
        </w:rPr>
        <w:t>GM's automotive interest income and interest expense, legacy costs from the Opel and Vauxhall businesses and certain other assets in Europe, which are primarily pension costs, corporate expenditures and certain nonsegment-specific revenues and expenses are recorded centrally in Corporate.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280"/>
          </w:cols>
          <w:pgMar w:left="300" w:top="698" w:right="319" w:bottom="1440" w:gutter="0" w:footer="0" w:header="0"/>
        </w:sectPr>
      </w:pPr>
    </w:p>
    <w:bookmarkStart w:id="11" w:name="page12"/>
    <w:bookmarkEnd w:id="11"/>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26"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reconciles Net income (loss) attributable to stockholders under U.S. GAAP to EBIT (loss)-adjusted (dollars in millions):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45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5"/>
          </w:tcPr>
          <w:p>
            <w:pPr>
              <w:ind w:left="120"/>
              <w:spacing w:after="0"/>
              <w:rPr>
                <w:sz w:val="20"/>
                <w:szCs w:val="20"/>
                <w:color w:val="auto"/>
              </w:rPr>
            </w:pPr>
            <w:r>
              <w:rPr>
                <w:rFonts w:ascii="Arial" w:cs="Arial" w:eastAsia="Arial" w:hAnsi="Arial"/>
                <w:sz w:val="10"/>
                <w:szCs w:val="10"/>
                <w:b w:val="1"/>
                <w:bCs w:val="1"/>
                <w:color w:val="auto"/>
              </w:rPr>
              <w:t>Three Months Ended</w:t>
            </w: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3"/>
          </w:tcPr>
          <w:p>
            <w:pPr>
              <w:jc w:val="right"/>
              <w:spacing w:after="0"/>
              <w:rPr>
                <w:sz w:val="20"/>
                <w:szCs w:val="20"/>
                <w:color w:val="auto"/>
              </w:rPr>
            </w:pPr>
            <w:r>
              <w:rPr>
                <w:rFonts w:ascii="Arial" w:cs="Arial" w:eastAsia="Arial" w:hAnsi="Arial"/>
                <w:sz w:val="10"/>
                <w:szCs w:val="10"/>
                <w:b w:val="1"/>
                <w:bCs w:val="1"/>
                <w:color w:val="auto"/>
              </w:rPr>
              <w:t>March 31,</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80" w:type="dxa"/>
            <w:vAlign w:val="bottom"/>
            <w:gridSpan w:val="5"/>
          </w:tcPr>
          <w:p>
            <w:pPr>
              <w:ind w:left="280"/>
              <w:spacing w:after="0"/>
              <w:rPr>
                <w:sz w:val="20"/>
                <w:szCs w:val="20"/>
                <w:color w:val="auto"/>
              </w:rPr>
            </w:pPr>
            <w:r>
              <w:rPr>
                <w:rFonts w:ascii="Arial" w:cs="Arial" w:eastAsia="Arial" w:hAnsi="Arial"/>
                <w:sz w:val="10"/>
                <w:szCs w:val="10"/>
                <w:b w:val="1"/>
                <w:bCs w:val="1"/>
                <w:color w:val="auto"/>
              </w:rPr>
              <w:t>December 31,</w:t>
            </w:r>
          </w:p>
        </w:tc>
        <w:tc>
          <w:tcPr>
            <w:tcW w:w="160" w:type="dxa"/>
            <w:vAlign w:val="bottom"/>
          </w:tcPr>
          <w:p>
            <w:pPr>
              <w:spacing w:after="0"/>
              <w:rPr>
                <w:sz w:val="11"/>
                <w:szCs w:val="11"/>
                <w:color w:val="auto"/>
              </w:rPr>
            </w:pPr>
          </w:p>
        </w:tc>
        <w:tc>
          <w:tcPr>
            <w:tcW w:w="1460" w:type="dxa"/>
            <w:vAlign w:val="bottom"/>
            <w:gridSpan w:val="5"/>
          </w:tcPr>
          <w:p>
            <w:pPr>
              <w:ind w:left="260"/>
              <w:spacing w:after="0"/>
              <w:rPr>
                <w:sz w:val="20"/>
                <w:szCs w:val="20"/>
                <w:color w:val="auto"/>
              </w:rPr>
            </w:pPr>
            <w:r>
              <w:rPr>
                <w:rFonts w:ascii="Arial" w:cs="Arial" w:eastAsia="Arial" w:hAnsi="Arial"/>
                <w:sz w:val="10"/>
                <w:szCs w:val="10"/>
                <w:b w:val="1"/>
                <w:bCs w:val="1"/>
                <w:color w:val="auto"/>
              </w:rPr>
              <w:t>September 30,</w:t>
            </w:r>
          </w:p>
        </w:tc>
        <w:tc>
          <w:tcPr>
            <w:tcW w:w="180" w:type="dxa"/>
            <w:vAlign w:val="bottom"/>
          </w:tcPr>
          <w:p>
            <w:pPr>
              <w:spacing w:after="0"/>
              <w:rPr>
                <w:sz w:val="11"/>
                <w:szCs w:val="11"/>
                <w:color w:val="auto"/>
              </w:rPr>
            </w:pPr>
          </w:p>
        </w:tc>
        <w:tc>
          <w:tcPr>
            <w:tcW w:w="840" w:type="dxa"/>
            <w:vAlign w:val="bottom"/>
            <w:gridSpan w:val="3"/>
          </w:tcPr>
          <w:p>
            <w:pPr>
              <w:jc w:val="right"/>
              <w:spacing w:after="0"/>
              <w:rPr>
                <w:sz w:val="20"/>
                <w:szCs w:val="20"/>
                <w:color w:val="auto"/>
              </w:rPr>
            </w:pPr>
            <w:r>
              <w:rPr>
                <w:rFonts w:ascii="Arial" w:cs="Arial" w:eastAsia="Arial" w:hAnsi="Arial"/>
                <w:sz w:val="10"/>
                <w:szCs w:val="10"/>
                <w:b w:val="1"/>
                <w:bCs w:val="1"/>
                <w:color w:val="auto"/>
              </w:rPr>
              <w:t>June 30,</w:t>
            </w: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54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2021</w:t>
            </w:r>
          </w:p>
        </w:tc>
        <w:tc>
          <w:tcPr>
            <w:tcW w:w="100" w:type="dxa"/>
            <w:vAlign w:val="bottom"/>
            <w:tcBorders>
              <w:top w:val="single" w:sz="8" w:color="auto"/>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2020</w:t>
            </w:r>
          </w:p>
        </w:tc>
        <w:tc>
          <w:tcPr>
            <w:tcW w:w="10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2020</w:t>
            </w:r>
          </w:p>
        </w:tc>
        <w:tc>
          <w:tcPr>
            <w:tcW w:w="100" w:type="dxa"/>
            <w:vAlign w:val="bottom"/>
            <w:tcBorders>
              <w:top w:val="single" w:sz="8" w:color="auto"/>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98"/>
              <w:spacing w:after="0"/>
              <w:rPr>
                <w:sz w:val="20"/>
                <w:szCs w:val="20"/>
                <w:color w:val="auto"/>
              </w:rPr>
            </w:pPr>
            <w:r>
              <w:rPr>
                <w:rFonts w:ascii="Arial" w:cs="Arial" w:eastAsia="Arial" w:hAnsi="Arial"/>
                <w:sz w:val="10"/>
                <w:szCs w:val="10"/>
                <w:b w:val="1"/>
                <w:bCs w:val="1"/>
                <w:color w:val="auto"/>
              </w:rPr>
              <w:t>2019</w:t>
            </w:r>
          </w:p>
        </w:tc>
        <w:tc>
          <w:tcPr>
            <w:tcW w:w="10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98"/>
              <w:spacing w:after="0"/>
              <w:rPr>
                <w:sz w:val="20"/>
                <w:szCs w:val="20"/>
                <w:color w:val="auto"/>
              </w:rPr>
            </w:pPr>
            <w:r>
              <w:rPr>
                <w:rFonts w:ascii="Arial" w:cs="Arial" w:eastAsia="Arial" w:hAnsi="Arial"/>
                <w:sz w:val="10"/>
                <w:szCs w:val="10"/>
                <w:b w:val="1"/>
                <w:bCs w:val="1"/>
                <w:color w:val="auto"/>
              </w:rPr>
              <w:t>2020</w:t>
            </w:r>
          </w:p>
        </w:tc>
        <w:tc>
          <w:tcPr>
            <w:tcW w:w="100" w:type="dxa"/>
            <w:vAlign w:val="bottom"/>
            <w:tcBorders>
              <w:top w:val="single" w:sz="8" w:color="auto"/>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0"/>
                <w:szCs w:val="10"/>
                <w:b w:val="1"/>
                <w:bCs w:val="1"/>
                <w:color w:val="auto"/>
              </w:rPr>
              <w:t>2019</w:t>
            </w:r>
          </w:p>
        </w:tc>
        <w:tc>
          <w:tcPr>
            <w:tcW w:w="8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2020</w:t>
            </w:r>
          </w:p>
        </w:tc>
        <w:tc>
          <w:tcPr>
            <w:tcW w:w="100" w:type="dxa"/>
            <w:vAlign w:val="bottom"/>
            <w:tcBorders>
              <w:top w:val="single" w:sz="8" w:color="auto"/>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2019</w:t>
            </w:r>
          </w:p>
        </w:tc>
        <w:tc>
          <w:tcPr>
            <w:tcW w:w="0" w:type="dxa"/>
            <w:vAlign w:val="bottom"/>
          </w:tcPr>
          <w:p>
            <w:pPr>
              <w:spacing w:after="0"/>
              <w:rPr>
                <w:sz w:val="1"/>
                <w:szCs w:val="1"/>
                <w:color w:val="auto"/>
              </w:rPr>
            </w:pPr>
          </w:p>
        </w:tc>
      </w:tr>
      <w:tr>
        <w:trPr>
          <w:trHeight w:val="165"/>
        </w:trPr>
        <w:tc>
          <w:tcPr>
            <w:tcW w:w="4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(loss) attributable to stockholders</w:t>
            </w:r>
          </w:p>
        </w:tc>
        <w:tc>
          <w:tcPr>
            <w:tcW w:w="1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3,022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4,045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2,418</w:t>
            </w:r>
          </w:p>
        </w:tc>
        <w:tc>
          <w:tcPr>
            <w:tcW w:w="0" w:type="dxa"/>
            <w:vAlign w:val="bottom"/>
          </w:tcPr>
          <w:p>
            <w:pPr>
              <w:spacing w:after="0"/>
              <w:rPr>
                <w:sz w:val="1"/>
                <w:szCs w:val="1"/>
                <w:color w:val="auto"/>
              </w:rPr>
            </w:pPr>
          </w:p>
        </w:tc>
      </w:tr>
      <w:tr>
        <w:trPr>
          <w:trHeight w:val="168"/>
        </w:trPr>
        <w:tc>
          <w:tcPr>
            <w:tcW w:w="4540" w:type="dxa"/>
            <w:vAlign w:val="bottom"/>
          </w:tcPr>
          <w:p>
            <w:pPr>
              <w:ind w:left="20"/>
              <w:spacing w:after="0"/>
              <w:rPr>
                <w:sz w:val="20"/>
                <w:szCs w:val="20"/>
                <w:color w:val="auto"/>
              </w:rPr>
            </w:pPr>
            <w:r>
              <w:rPr>
                <w:rFonts w:ascii="Arial" w:cs="Arial" w:eastAsia="Arial" w:hAnsi="Arial"/>
                <w:sz w:val="13"/>
                <w:szCs w:val="13"/>
                <w:color w:val="auto"/>
              </w:rPr>
              <w:t>Income tax expense (benefit)</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1,177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357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642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(163)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887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271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(112)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524</w:t>
            </w:r>
          </w:p>
        </w:tc>
        <w:tc>
          <w:tcPr>
            <w:tcW w:w="0" w:type="dxa"/>
            <w:vAlign w:val="bottom"/>
          </w:tcPr>
          <w:p>
            <w:pPr>
              <w:spacing w:after="0"/>
              <w:rPr>
                <w:sz w:val="1"/>
                <w:szCs w:val="1"/>
                <w:color w:val="auto"/>
              </w:rPr>
            </w:pPr>
          </w:p>
        </w:tc>
      </w:tr>
      <w:tr>
        <w:trPr>
          <w:trHeight w:val="172"/>
        </w:trPr>
        <w:tc>
          <w:tcPr>
            <w:tcW w:w="4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Automotive interest expense</w:t>
            </w: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w:t>
            </w:r>
          </w:p>
        </w:tc>
        <w:tc>
          <w:tcPr>
            <w:tcW w:w="0" w:type="dxa"/>
            <w:vAlign w:val="bottom"/>
          </w:tcPr>
          <w:p>
            <w:pPr>
              <w:spacing w:after="0"/>
              <w:rPr>
                <w:sz w:val="1"/>
                <w:szCs w:val="1"/>
                <w:color w:val="auto"/>
              </w:rPr>
            </w:pPr>
          </w:p>
        </w:tc>
      </w:tr>
      <w:tr>
        <w:trPr>
          <w:trHeight w:val="168"/>
        </w:trPr>
        <w:tc>
          <w:tcPr>
            <w:tcW w:w="4540" w:type="dxa"/>
            <w:vAlign w:val="bottom"/>
          </w:tcPr>
          <w:p>
            <w:pPr>
              <w:ind w:left="20"/>
              <w:spacing w:after="0"/>
              <w:rPr>
                <w:sz w:val="20"/>
                <w:szCs w:val="20"/>
                <w:color w:val="auto"/>
              </w:rPr>
            </w:pPr>
            <w:r>
              <w:rPr>
                <w:rFonts w:ascii="Arial" w:cs="Arial" w:eastAsia="Arial" w:hAnsi="Arial"/>
                <w:sz w:val="13"/>
                <w:szCs w:val="13"/>
                <w:color w:val="auto"/>
              </w:rPr>
              <w:t>Automotive interest income</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(83)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(129)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(106)</w:t>
            </w:r>
          </w:p>
        </w:tc>
        <w:tc>
          <w:tcPr>
            <w:tcW w:w="0" w:type="dxa"/>
            <w:vAlign w:val="bottom"/>
          </w:tcPr>
          <w:p>
            <w:pPr>
              <w:spacing w:after="0"/>
              <w:rPr>
                <w:sz w:val="1"/>
                <w:szCs w:val="1"/>
                <w:color w:val="auto"/>
              </w:rPr>
            </w:pPr>
          </w:p>
        </w:tc>
      </w:tr>
      <w:tr>
        <w:trPr>
          <w:trHeight w:val="172"/>
        </w:trPr>
        <w:tc>
          <w:tcPr>
            <w:tcW w:w="4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w:t>
            </w: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40" w:type="dxa"/>
            <w:vAlign w:val="bottom"/>
          </w:tcPr>
          <w:p>
            <w:pPr>
              <w:ind w:left="100"/>
              <w:spacing w:after="0"/>
              <w:rPr>
                <w:sz w:val="20"/>
                <w:szCs w:val="20"/>
                <w:color w:val="auto"/>
              </w:rPr>
            </w:pPr>
            <w:r>
              <w:rPr>
                <w:rFonts w:ascii="Arial" w:cs="Arial" w:eastAsia="Arial" w:hAnsi="Arial"/>
                <w:sz w:val="13"/>
                <w:szCs w:val="13"/>
                <w:color w:val="auto"/>
              </w:rPr>
              <w:t>GMI restructuring(a)</w:t>
            </w:r>
          </w:p>
        </w:tc>
        <w:tc>
          <w:tcPr>
            <w:tcW w:w="1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489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45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Cadillac dealer strategy(b)</w:t>
            </w:r>
          </w:p>
        </w:tc>
        <w:tc>
          <w:tcPr>
            <w:tcW w:w="1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4540" w:type="dxa"/>
            <w:vAlign w:val="bottom"/>
          </w:tcPr>
          <w:p>
            <w:pPr>
              <w:ind w:left="100"/>
              <w:spacing w:after="0"/>
              <w:rPr>
                <w:sz w:val="20"/>
                <w:szCs w:val="20"/>
                <w:color w:val="auto"/>
              </w:rPr>
            </w:pPr>
            <w:r>
              <w:rPr>
                <w:rFonts w:ascii="Arial" w:cs="Arial" w:eastAsia="Arial" w:hAnsi="Arial"/>
                <w:sz w:val="13"/>
                <w:szCs w:val="13"/>
                <w:color w:val="auto"/>
              </w:rPr>
              <w:t>Ignition switch recall and other related matters (c)</w:t>
            </w:r>
          </w:p>
        </w:tc>
        <w:tc>
          <w:tcPr>
            <w:tcW w:w="1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(130)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45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Transformation activities(d)</w:t>
            </w:r>
          </w:p>
        </w:tc>
        <w:tc>
          <w:tcPr>
            <w:tcW w:w="1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361</w:t>
            </w:r>
          </w:p>
        </w:tc>
        <w:tc>
          <w:tcPr>
            <w:tcW w:w="0" w:type="dxa"/>
            <w:vAlign w:val="bottom"/>
          </w:tcPr>
          <w:p>
            <w:pPr>
              <w:spacing w:after="0"/>
              <w:rPr>
                <w:sz w:val="1"/>
                <w:szCs w:val="1"/>
                <w:color w:val="auto"/>
              </w:rPr>
            </w:pPr>
          </w:p>
        </w:tc>
      </w:tr>
      <w:tr>
        <w:trPr>
          <w:trHeight w:val="168"/>
        </w:trPr>
        <w:tc>
          <w:tcPr>
            <w:tcW w:w="4540" w:type="dxa"/>
            <w:vAlign w:val="bottom"/>
          </w:tcPr>
          <w:p>
            <w:pPr>
              <w:ind w:left="100"/>
              <w:spacing w:after="0"/>
              <w:rPr>
                <w:sz w:val="20"/>
                <w:szCs w:val="20"/>
                <w:color w:val="auto"/>
              </w:rPr>
            </w:pPr>
            <w:r>
              <w:rPr>
                <w:rFonts w:ascii="Arial" w:cs="Arial" w:eastAsia="Arial" w:hAnsi="Arial"/>
                <w:sz w:val="13"/>
                <w:szCs w:val="13"/>
                <w:color w:val="auto"/>
              </w:rPr>
              <w:t>GM Brazil indirect tax recoveries(e)</w:t>
            </w:r>
          </w:p>
        </w:tc>
        <w:tc>
          <w:tcPr>
            <w:tcW w:w="1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(123)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(380)</w:t>
            </w:r>
          </w:p>
        </w:tc>
        <w:tc>
          <w:tcPr>
            <w:tcW w:w="0" w:type="dxa"/>
            <w:vAlign w:val="bottom"/>
          </w:tcPr>
          <w:p>
            <w:pPr>
              <w:spacing w:after="0"/>
              <w:rPr>
                <w:sz w:val="1"/>
                <w:szCs w:val="1"/>
                <w:color w:val="auto"/>
              </w:rPr>
            </w:pPr>
          </w:p>
        </w:tc>
      </w:tr>
      <w:tr>
        <w:trPr>
          <w:trHeight w:val="170"/>
        </w:trPr>
        <w:tc>
          <w:tcPr>
            <w:tcW w:w="45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FAW-GM divestiture(f)</w:t>
            </w:r>
          </w:p>
        </w:tc>
        <w:tc>
          <w:tcPr>
            <w:tcW w:w="1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164</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4540" w:type="dxa"/>
            <w:vAlign w:val="bottom"/>
          </w:tcPr>
          <w:p>
            <w:pPr>
              <w:ind w:left="20"/>
              <w:spacing w:after="0"/>
              <w:rPr>
                <w:sz w:val="20"/>
                <w:szCs w:val="20"/>
                <w:color w:val="auto"/>
              </w:rPr>
            </w:pPr>
            <w:r>
              <w:rPr>
                <w:rFonts w:ascii="Arial" w:cs="Arial" w:eastAsia="Arial" w:hAnsi="Arial"/>
                <w:sz w:val="13"/>
                <w:szCs w:val="13"/>
                <w:color w:val="auto"/>
              </w:rPr>
              <w:t>Total adjustments</w:t>
            </w:r>
          </w:p>
        </w:tc>
        <w:tc>
          <w:tcPr>
            <w:tcW w:w="1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489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358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267</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88"/>
        </w:trPr>
        <w:tc>
          <w:tcPr>
            <w:tcW w:w="4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EBIT (loss)-adjusted</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4,417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1,250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3,712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5,284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2,966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3,012</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1"/>
                <w:szCs w:val="11"/>
                <w:color w:val="auto"/>
              </w:rPr>
              <w:t>________</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45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bl>
    <w:p>
      <w:pPr>
        <w:jc w:val="both"/>
        <w:ind w:left="260" w:hanging="255"/>
        <w:spacing w:after="0" w:line="242" w:lineRule="auto"/>
        <w:tabs>
          <w:tab w:leader="none" w:pos="249" w:val="left"/>
        </w:tabs>
        <w:numPr>
          <w:ilvl w:val="0"/>
          <w:numId w:val="3"/>
        </w:numPr>
        <w:rPr>
          <w:rFonts w:ascii="Arial" w:cs="Arial" w:eastAsia="Arial" w:hAnsi="Arial"/>
          <w:sz w:val="11"/>
          <w:szCs w:val="11"/>
          <w:color w:val="auto"/>
        </w:rPr>
      </w:pPr>
      <w:r>
        <w:rPr>
          <w:rFonts w:ascii="Arial" w:cs="Arial" w:eastAsia="Arial" w:hAnsi="Arial"/>
          <w:sz w:val="11"/>
          <w:szCs w:val="11"/>
          <w:color w:val="auto"/>
        </w:rPr>
        <w:t>These adjustments were excluded because of a strategic decision to rationalize our core operations by exiting or significantly reducing our presence in various international markets to focus resources on opportunities expected to deliver higher returns. These adjustments primarily consist of asset impairments, dealer restructurings, employee separation charges and sales allowances in Australia, New Zealand and Thailand in the three months ended March 31, 2020, employee separation charges in the three months ended December 31, 2020, supplier claims in the three months ended September 30, 2020 and inventory provisions in the three months ended June 30, 2020.</w:t>
      </w:r>
    </w:p>
    <w:p>
      <w:pPr>
        <w:spacing w:after="0" w:line="126" w:lineRule="exact"/>
        <w:rPr>
          <w:rFonts w:ascii="Arial" w:cs="Arial" w:eastAsia="Arial" w:hAnsi="Arial"/>
          <w:sz w:val="11"/>
          <w:szCs w:val="11"/>
          <w:color w:val="auto"/>
        </w:rPr>
      </w:pPr>
    </w:p>
    <w:p>
      <w:pPr>
        <w:ind w:left="240" w:hanging="235"/>
        <w:spacing w:after="0"/>
        <w:tabs>
          <w:tab w:leader="none" w:pos="24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This adjustment was excluded because it relates to strategic activities to transition certain Cadillac dealers from the network as part of Cadillac's electric vehicle strategy.</w:t>
      </w:r>
    </w:p>
    <w:p>
      <w:pPr>
        <w:ind w:left="260" w:hanging="255"/>
        <w:spacing w:after="0"/>
        <w:tabs>
          <w:tab w:leader="none" w:pos="26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This adjustment was excluded because of the unique events associated with the ignition switch recall, which included various investigations, inquiries and complaints from constituents.</w:t>
      </w:r>
    </w:p>
    <w:p>
      <w:pPr>
        <w:jc w:val="both"/>
        <w:ind w:left="260" w:hanging="255"/>
        <w:spacing w:after="0" w:line="241" w:lineRule="auto"/>
        <w:tabs>
          <w:tab w:leader="none" w:pos="249" w:val="left"/>
        </w:tabs>
        <w:numPr>
          <w:ilvl w:val="0"/>
          <w:numId w:val="3"/>
        </w:numPr>
        <w:rPr>
          <w:rFonts w:ascii="Arial" w:cs="Arial" w:eastAsia="Arial" w:hAnsi="Arial"/>
          <w:sz w:val="11"/>
          <w:szCs w:val="11"/>
          <w:color w:val="auto"/>
        </w:rPr>
      </w:pPr>
      <w:r>
        <w:rPr>
          <w:rFonts w:ascii="Arial" w:cs="Arial" w:eastAsia="Arial" w:hAnsi="Arial"/>
          <w:sz w:val="11"/>
          <w:szCs w:val="11"/>
          <w:color w:val="auto"/>
        </w:rPr>
        <w:t>These adjustments were excluded because of a strategic decision to accelerate our transformation for the future to strengthen our core business, capitalize on the future of personal mobility and drive significant cost efficiencies. The adjustments primarily consist of accelerated depreciation and employee separation charges in the three months ended December 31, 2019, supplier-related charges and pension curtailment and other charges in the three months ended September 30, 2019 and supplier-related charges and accelerated depreciation in the three months ended June 30, 2019.</w:t>
      </w:r>
    </w:p>
    <w:p>
      <w:pPr>
        <w:ind w:left="240" w:hanging="235"/>
        <w:spacing w:after="0"/>
        <w:tabs>
          <w:tab w:leader="none" w:pos="24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These adjustments were excluded because of the unique events associated with decisions rendered by the Superior Judicial Court of Brazil resulting in retrospective recoveries of indirect taxes.</w:t>
      </w:r>
    </w:p>
    <w:p>
      <w:pPr>
        <w:ind w:left="260" w:hanging="255"/>
        <w:spacing w:after="0" w:line="260" w:lineRule="auto"/>
        <w:tabs>
          <w:tab w:leader="none" w:pos="25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This adjustment was excluded because we divested our joint venture FAW-GM Light Duty Commercial Vehicle Co., Ltd. (FAW-GM), as a result of a strategic decision by both shareholders, allowing us to focus our resources on opportunities expected to deliver higher returns.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80"/>
          </w:cols>
          <w:pgMar w:left="300" w:top="698" w:right="319" w:bottom="1440" w:gutter="0" w:footer="0" w:header="0"/>
        </w:sectPr>
      </w:pPr>
    </w:p>
    <w:bookmarkStart w:id="12" w:name="page13"/>
    <w:bookmarkEnd w:id="12"/>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reconciles diluted earnings per common share under U.S. GAAP to EPS-diluted-adjusted (dollars in millions, except per share amounts):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526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120" w:type="dxa"/>
            <w:vAlign w:val="bottom"/>
            <w:tcBorders>
              <w:bottom w:val="single" w:sz="8" w:color="auto"/>
            </w:tcBorders>
            <w:gridSpan w:val="3"/>
          </w:tcPr>
          <w:p>
            <w:pPr>
              <w:jc w:val="right"/>
              <w:ind w:right="503"/>
              <w:spacing w:after="0"/>
              <w:rPr>
                <w:sz w:val="20"/>
                <w:szCs w:val="20"/>
                <w:color w:val="auto"/>
              </w:rPr>
            </w:pPr>
            <w:r>
              <w:rPr>
                <w:rFonts w:ascii="Arial" w:cs="Arial" w:eastAsia="Arial" w:hAnsi="Arial"/>
                <w:sz w:val="10"/>
                <w:szCs w:val="10"/>
                <w:b w:val="1"/>
                <w:bCs w:val="1"/>
                <w:color w:val="auto"/>
              </w:rPr>
              <w:t>Three Months Ended</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r>
      <w:tr>
        <w:trPr>
          <w:trHeight w:val="132"/>
        </w:trPr>
        <w:tc>
          <w:tcPr>
            <w:tcW w:w="526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0"/>
                <w:szCs w:val="10"/>
                <w:b w:val="1"/>
                <w:bCs w:val="1"/>
                <w:color w:val="auto"/>
              </w:rPr>
              <w:t>March 31, 2021</w:t>
            </w:r>
          </w:p>
        </w:tc>
        <w:tc>
          <w:tcPr>
            <w:tcW w:w="10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0"/>
                <w:szCs w:val="10"/>
                <w:b w:val="1"/>
                <w:bCs w:val="1"/>
                <w:color w:val="auto"/>
              </w:rPr>
              <w:t>March 31, 2020</w:t>
            </w:r>
          </w:p>
        </w:tc>
        <w:tc>
          <w:tcPr>
            <w:tcW w:w="1020" w:type="dxa"/>
            <w:vAlign w:val="bottom"/>
            <w:tcBorders>
              <w:bottom w:val="single" w:sz="8" w:color="auto"/>
            </w:tcBorders>
          </w:tcPr>
          <w:p>
            <w:pPr>
              <w:spacing w:after="0"/>
              <w:rPr>
                <w:sz w:val="11"/>
                <w:szCs w:val="11"/>
                <w:color w:val="auto"/>
              </w:rPr>
            </w:pPr>
          </w:p>
        </w:tc>
      </w:tr>
      <w:tr>
        <w:trPr>
          <w:trHeight w:val="114"/>
        </w:trPr>
        <w:tc>
          <w:tcPr>
            <w:tcW w:w="5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20" w:type="dxa"/>
            <w:vAlign w:val="bottom"/>
            <w:gridSpan w:val="2"/>
          </w:tcPr>
          <w:p>
            <w:pPr>
              <w:ind w:left="240"/>
              <w:spacing w:after="0"/>
              <w:rPr>
                <w:sz w:val="20"/>
                <w:szCs w:val="20"/>
                <w:color w:val="auto"/>
              </w:rPr>
            </w:pPr>
            <w:r>
              <w:rPr>
                <w:rFonts w:ascii="Arial" w:cs="Arial" w:eastAsia="Arial" w:hAnsi="Arial"/>
                <w:sz w:val="8"/>
                <w:szCs w:val="8"/>
                <w:b w:val="1"/>
                <w:bCs w:val="1"/>
                <w:color w:val="auto"/>
              </w:rPr>
              <w:t>Amount</w:t>
            </w:r>
          </w:p>
        </w:tc>
        <w:tc>
          <w:tcPr>
            <w:tcW w:w="400" w:type="dxa"/>
            <w:vAlign w:val="bottom"/>
          </w:tcPr>
          <w:p>
            <w:pPr>
              <w:spacing w:after="0"/>
              <w:rPr>
                <w:sz w:val="9"/>
                <w:szCs w:val="9"/>
                <w:color w:val="auto"/>
              </w:rPr>
            </w:pPr>
          </w:p>
        </w:tc>
        <w:tc>
          <w:tcPr>
            <w:tcW w:w="1020" w:type="dxa"/>
            <w:vAlign w:val="bottom"/>
          </w:tcPr>
          <w:p>
            <w:pPr>
              <w:jc w:val="right"/>
              <w:ind w:right="461"/>
              <w:spacing w:after="0"/>
              <w:rPr>
                <w:sz w:val="20"/>
                <w:szCs w:val="20"/>
                <w:color w:val="auto"/>
              </w:rPr>
            </w:pPr>
            <w:r>
              <w:rPr>
                <w:rFonts w:ascii="Arial" w:cs="Arial" w:eastAsia="Arial" w:hAnsi="Arial"/>
                <w:sz w:val="8"/>
                <w:szCs w:val="8"/>
                <w:b w:val="1"/>
                <w:bCs w:val="1"/>
                <w:color w:val="auto"/>
              </w:rPr>
              <w:t>Per Share</w:t>
            </w:r>
          </w:p>
        </w:tc>
        <w:tc>
          <w:tcPr>
            <w:tcW w:w="100" w:type="dxa"/>
            <w:vAlign w:val="bottom"/>
          </w:tcPr>
          <w:p>
            <w:pPr>
              <w:spacing w:after="0"/>
              <w:rPr>
                <w:sz w:val="9"/>
                <w:szCs w:val="9"/>
                <w:color w:val="auto"/>
              </w:rPr>
            </w:pPr>
          </w:p>
        </w:tc>
        <w:tc>
          <w:tcPr>
            <w:tcW w:w="1000" w:type="dxa"/>
            <w:vAlign w:val="bottom"/>
          </w:tcPr>
          <w:p>
            <w:pPr>
              <w:jc w:val="right"/>
              <w:ind w:right="63"/>
              <w:spacing w:after="0"/>
              <w:rPr>
                <w:sz w:val="20"/>
                <w:szCs w:val="20"/>
                <w:color w:val="auto"/>
              </w:rPr>
            </w:pPr>
            <w:r>
              <w:rPr>
                <w:rFonts w:ascii="Arial" w:cs="Arial" w:eastAsia="Arial" w:hAnsi="Arial"/>
                <w:sz w:val="8"/>
                <w:szCs w:val="8"/>
                <w:b w:val="1"/>
                <w:bCs w:val="1"/>
                <w:color w:val="auto"/>
              </w:rPr>
              <w:t>Amount</w:t>
            </w: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20" w:type="dxa"/>
            <w:vAlign w:val="bottom"/>
          </w:tcPr>
          <w:p>
            <w:pPr>
              <w:ind w:left="100"/>
              <w:spacing w:after="0"/>
              <w:rPr>
                <w:sz w:val="20"/>
                <w:szCs w:val="20"/>
                <w:color w:val="auto"/>
              </w:rPr>
            </w:pPr>
            <w:r>
              <w:rPr>
                <w:rFonts w:ascii="Arial" w:cs="Arial" w:eastAsia="Arial" w:hAnsi="Arial"/>
                <w:sz w:val="8"/>
                <w:szCs w:val="8"/>
                <w:b w:val="1"/>
                <w:bCs w:val="1"/>
                <w:color w:val="auto"/>
              </w:rPr>
              <w:t>Per Share</w:t>
            </w:r>
          </w:p>
        </w:tc>
      </w:tr>
      <w:tr>
        <w:trPr>
          <w:trHeight w:val="169"/>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Diluted earnings per common share</w:t>
            </w: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11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3"/>
                <w:szCs w:val="13"/>
                <w:color w:val="auto"/>
              </w:rPr>
              <w:t>2,976</w:t>
            </w:r>
          </w:p>
        </w:tc>
        <w:tc>
          <w:tcPr>
            <w:tcW w:w="10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2.03</w:t>
            </w:r>
          </w:p>
        </w:tc>
        <w:tc>
          <w:tcPr>
            <w:tcW w:w="10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ind w:right="863"/>
              <w:spacing w:after="0"/>
              <w:rPr>
                <w:sz w:val="20"/>
                <w:szCs w:val="20"/>
                <w:color w:val="auto"/>
              </w:rPr>
            </w:pPr>
            <w:r>
              <w:rPr>
                <w:rFonts w:ascii="Arial" w:cs="Arial" w:eastAsia="Arial" w:hAnsi="Arial"/>
                <w:sz w:val="13"/>
                <w:szCs w:val="13"/>
                <w:color w:val="auto"/>
                <w:w w:val="82"/>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247</w:t>
            </w:r>
          </w:p>
        </w:tc>
        <w:tc>
          <w:tcPr>
            <w:tcW w:w="10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tcBorders>
            <w:shd w:val="clear" w:color="auto" w:fill="CCEEFF"/>
          </w:tcPr>
          <w:p>
            <w:pPr>
              <w:jc w:val="center"/>
              <w:ind w:left="600"/>
              <w:spacing w:after="0"/>
              <w:rPr>
                <w:sz w:val="20"/>
                <w:szCs w:val="20"/>
                <w:color w:val="auto"/>
              </w:rPr>
            </w:pPr>
            <w:r>
              <w:rPr>
                <w:rFonts w:ascii="Arial" w:cs="Arial" w:eastAsia="Arial" w:hAnsi="Arial"/>
                <w:sz w:val="13"/>
                <w:szCs w:val="13"/>
                <w:color w:val="auto"/>
                <w:w w:val="94"/>
              </w:rPr>
              <w:t>0.17</w:t>
            </w:r>
          </w:p>
        </w:tc>
      </w:tr>
      <w:tr>
        <w:trPr>
          <w:trHeight w:val="168"/>
        </w:trPr>
        <w:tc>
          <w:tcPr>
            <w:tcW w:w="5260" w:type="dxa"/>
            <w:vAlign w:val="bottom"/>
          </w:tcPr>
          <w:p>
            <w:pPr>
              <w:ind w:left="20"/>
              <w:spacing w:after="0"/>
              <w:rPr>
                <w:sz w:val="20"/>
                <w:szCs w:val="20"/>
                <w:color w:val="auto"/>
              </w:rPr>
            </w:pPr>
            <w:r>
              <w:rPr>
                <w:rFonts w:ascii="Arial" w:cs="Arial" w:eastAsia="Arial" w:hAnsi="Arial"/>
                <w:sz w:val="13"/>
                <w:szCs w:val="13"/>
                <w:color w:val="auto"/>
              </w:rPr>
              <w:t>Adjustments(a)</w:t>
            </w:r>
          </w:p>
        </w:tc>
        <w:tc>
          <w:tcPr>
            <w:tcW w:w="32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489</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jc w:val="center"/>
              <w:ind w:left="600"/>
              <w:spacing w:after="0"/>
              <w:rPr>
                <w:sz w:val="20"/>
                <w:szCs w:val="20"/>
                <w:color w:val="auto"/>
              </w:rPr>
            </w:pPr>
            <w:r>
              <w:rPr>
                <w:rFonts w:ascii="Arial" w:cs="Arial" w:eastAsia="Arial" w:hAnsi="Arial"/>
                <w:sz w:val="13"/>
                <w:szCs w:val="13"/>
                <w:color w:val="auto"/>
                <w:w w:val="94"/>
              </w:rPr>
              <w:t>0.34</w:t>
            </w:r>
          </w:p>
        </w:tc>
      </w:tr>
      <w:tr>
        <w:trPr>
          <w:trHeight w:val="172"/>
        </w:trPr>
        <w:tc>
          <w:tcPr>
            <w:tcW w:w="5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Tax effect on adjustment(b)</w:t>
            </w:r>
          </w:p>
        </w:tc>
        <w:tc>
          <w:tcPr>
            <w:tcW w:w="3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20" w:type="dxa"/>
            <w:vAlign w:val="bottom"/>
            <w:shd w:val="clear" w:color="auto" w:fill="CCEEFF"/>
          </w:tcPr>
          <w:p>
            <w:pPr>
              <w:jc w:val="center"/>
              <w:ind w:left="580"/>
              <w:spacing w:after="0"/>
              <w:rPr>
                <w:sz w:val="20"/>
                <w:szCs w:val="20"/>
                <w:color w:val="auto"/>
              </w:rPr>
            </w:pPr>
            <w:r>
              <w:rPr>
                <w:rFonts w:ascii="Arial" w:cs="Arial" w:eastAsia="Arial" w:hAnsi="Arial"/>
                <w:sz w:val="13"/>
                <w:szCs w:val="13"/>
                <w:color w:val="auto"/>
                <w:w w:val="99"/>
              </w:rPr>
              <w:t>(0.05)</w:t>
            </w:r>
          </w:p>
        </w:tc>
      </w:tr>
      <w:tr>
        <w:trPr>
          <w:trHeight w:val="168"/>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Tax adjustment(c)</w:t>
            </w: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color w:val="auto"/>
              </w:rPr>
              <w:t>316</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0.22</w:t>
            </w: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236</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left="600"/>
              <w:spacing w:after="0"/>
              <w:rPr>
                <w:sz w:val="20"/>
                <w:szCs w:val="20"/>
                <w:color w:val="auto"/>
              </w:rPr>
            </w:pPr>
            <w:r>
              <w:rPr>
                <w:rFonts w:ascii="Arial" w:cs="Arial" w:eastAsia="Arial" w:hAnsi="Arial"/>
                <w:sz w:val="13"/>
                <w:szCs w:val="13"/>
                <w:color w:val="auto"/>
                <w:w w:val="94"/>
              </w:rPr>
              <w:t>0.16</w:t>
            </w:r>
          </w:p>
        </w:tc>
      </w:tr>
      <w:tr>
        <w:trPr>
          <w:trHeight w:val="188"/>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EPS-diluted-adjusted</w:t>
            </w: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3"/>
                <w:szCs w:val="13"/>
                <w:color w:val="auto"/>
              </w:rPr>
              <w:t>3,292</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2.25</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863"/>
              <w:spacing w:after="0"/>
              <w:rPr>
                <w:sz w:val="20"/>
                <w:szCs w:val="20"/>
                <w:color w:val="auto"/>
              </w:rPr>
            </w:pPr>
            <w:r>
              <w:rPr>
                <w:rFonts w:ascii="Arial" w:cs="Arial" w:eastAsia="Arial" w:hAnsi="Arial"/>
                <w:sz w:val="13"/>
                <w:szCs w:val="13"/>
                <w:color w:val="auto"/>
                <w:w w:val="82"/>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899</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center"/>
              <w:ind w:left="600"/>
              <w:spacing w:after="0"/>
              <w:rPr>
                <w:sz w:val="20"/>
                <w:szCs w:val="20"/>
                <w:color w:val="auto"/>
              </w:rPr>
            </w:pPr>
            <w:r>
              <w:rPr>
                <w:rFonts w:ascii="Arial" w:cs="Arial" w:eastAsia="Arial" w:hAnsi="Arial"/>
                <w:sz w:val="13"/>
                <w:szCs w:val="13"/>
                <w:color w:val="auto"/>
                <w:w w:val="94"/>
              </w:rPr>
              <w:t>0.62</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1"/>
          <w:szCs w:val="11"/>
          <w:color w:val="auto"/>
        </w:rPr>
        <w:t>________</w:t>
      </w:r>
    </w:p>
    <w:p>
      <w:pPr>
        <w:spacing w:after="0" w:line="1" w:lineRule="exact"/>
        <w:rPr>
          <w:sz w:val="20"/>
          <w:szCs w:val="20"/>
          <w:color w:val="auto"/>
        </w:rPr>
      </w:pPr>
    </w:p>
    <w:p>
      <w:pPr>
        <w:ind w:left="240" w:hanging="235"/>
        <w:spacing w:after="0"/>
        <w:tabs>
          <w:tab w:leader="none" w:pos="240" w:val="left"/>
        </w:tabs>
        <w:numPr>
          <w:ilvl w:val="0"/>
          <w:numId w:val="4"/>
        </w:numPr>
        <w:rPr>
          <w:rFonts w:ascii="Arial" w:cs="Arial" w:eastAsia="Arial" w:hAnsi="Arial"/>
          <w:sz w:val="11"/>
          <w:szCs w:val="11"/>
          <w:color w:val="auto"/>
        </w:rPr>
      </w:pPr>
      <w:r>
        <w:rPr>
          <w:rFonts w:ascii="Arial" w:cs="Arial" w:eastAsia="Arial" w:hAnsi="Arial"/>
          <w:sz w:val="11"/>
          <w:szCs w:val="11"/>
          <w:color w:val="auto"/>
        </w:rPr>
        <w:t>Refer to the reconciliation of Net income attributable to stockholders under U.S. GAAP to segment profit (loss) for adjustment details.</w:t>
      </w:r>
    </w:p>
    <w:p>
      <w:pPr>
        <w:ind w:left="240" w:hanging="235"/>
        <w:spacing w:after="0"/>
        <w:tabs>
          <w:tab w:leader="none" w:pos="240" w:val="left"/>
        </w:tabs>
        <w:numPr>
          <w:ilvl w:val="0"/>
          <w:numId w:val="4"/>
        </w:numPr>
        <w:rPr>
          <w:rFonts w:ascii="Arial" w:cs="Arial" w:eastAsia="Arial" w:hAnsi="Arial"/>
          <w:sz w:val="11"/>
          <w:szCs w:val="11"/>
          <w:color w:val="auto"/>
        </w:rPr>
      </w:pPr>
      <w:r>
        <w:rPr>
          <w:rFonts w:ascii="Arial" w:cs="Arial" w:eastAsia="Arial" w:hAnsi="Arial"/>
          <w:sz w:val="11"/>
          <w:szCs w:val="11"/>
          <w:color w:val="auto"/>
        </w:rPr>
        <w:t>The tax effect of each adjustment is determined based on the tax laws and valuation allowance status of the jurisdiction to which the adjustment relates.</w:t>
      </w:r>
    </w:p>
    <w:p>
      <w:pPr>
        <w:jc w:val="both"/>
        <w:ind w:left="260" w:hanging="255"/>
        <w:spacing w:after="0" w:line="254" w:lineRule="auto"/>
        <w:tabs>
          <w:tab w:leader="none" w:pos="254" w:val="left"/>
        </w:tabs>
        <w:numPr>
          <w:ilvl w:val="0"/>
          <w:numId w:val="4"/>
        </w:numPr>
        <w:rPr>
          <w:rFonts w:ascii="Arial" w:cs="Arial" w:eastAsia="Arial" w:hAnsi="Arial"/>
          <w:sz w:val="11"/>
          <w:szCs w:val="11"/>
          <w:color w:val="auto"/>
        </w:rPr>
      </w:pPr>
      <w:r>
        <w:rPr>
          <w:rFonts w:ascii="Arial" w:cs="Arial" w:eastAsia="Arial" w:hAnsi="Arial"/>
          <w:sz w:val="11"/>
          <w:szCs w:val="11"/>
          <w:color w:val="auto"/>
        </w:rPr>
        <w:t>These adjustments consist of tax expense related to the establishment of a valuation allowance against deferred tax assets that are considered no longer realizable for Cruise in the three months ended March 31, 2021 and for GM in Australia and New Zealand for the three months ended March 31, 2020. These adjustments were excluded because significant impacts of valuation allowances are not considered part of our core operations.</w:t>
      </w:r>
    </w:p>
    <w:p>
      <w:pPr>
        <w:spacing w:after="0" w:line="303"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reconciles our effective tax rate under U.S. GAAP to ETR-adjusted (dollars in millions):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48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0" w:type="dxa"/>
            <w:vAlign w:val="bottom"/>
            <w:tcBorders>
              <w:bottom w:val="single" w:sz="8" w:color="auto"/>
            </w:tcBorders>
            <w:gridSpan w:val="5"/>
          </w:tcPr>
          <w:p>
            <w:pPr>
              <w:ind w:left="620"/>
              <w:spacing w:after="0"/>
              <w:rPr>
                <w:sz w:val="20"/>
                <w:szCs w:val="20"/>
                <w:color w:val="auto"/>
              </w:rPr>
            </w:pPr>
            <w:r>
              <w:rPr>
                <w:rFonts w:ascii="Arial" w:cs="Arial" w:eastAsia="Arial" w:hAnsi="Arial"/>
                <w:sz w:val="10"/>
                <w:szCs w:val="10"/>
                <w:b w:val="1"/>
                <w:bCs w:val="1"/>
                <w:color w:val="auto"/>
              </w:rPr>
              <w:t>Three Months Ended</w:t>
            </w: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8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22"/>
              <w:spacing w:after="0"/>
              <w:rPr>
                <w:sz w:val="20"/>
                <w:szCs w:val="20"/>
                <w:color w:val="auto"/>
              </w:rPr>
            </w:pPr>
            <w:r>
              <w:rPr>
                <w:rFonts w:ascii="Arial" w:cs="Arial" w:eastAsia="Arial" w:hAnsi="Arial"/>
                <w:sz w:val="10"/>
                <w:szCs w:val="10"/>
                <w:b w:val="1"/>
                <w:bCs w:val="1"/>
                <w:color w:val="auto"/>
              </w:rPr>
              <w:t>March 31, 2021</w:t>
            </w:r>
          </w:p>
        </w:tc>
        <w:tc>
          <w:tcPr>
            <w:tcW w:w="1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22"/>
              <w:spacing w:after="0"/>
              <w:rPr>
                <w:sz w:val="20"/>
                <w:szCs w:val="20"/>
                <w:color w:val="auto"/>
              </w:rPr>
            </w:pPr>
            <w:r>
              <w:rPr>
                <w:rFonts w:ascii="Arial" w:cs="Arial" w:eastAsia="Arial" w:hAnsi="Arial"/>
                <w:sz w:val="10"/>
                <w:szCs w:val="10"/>
                <w:b w:val="1"/>
                <w:bCs w:val="1"/>
                <w:color w:val="auto"/>
              </w:rPr>
              <w:t>March 31, 2020</w:t>
            </w:r>
          </w:p>
        </w:tc>
        <w:tc>
          <w:tcPr>
            <w:tcW w:w="1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4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gridSpan w:val="2"/>
          </w:tcPr>
          <w:p>
            <w:pPr>
              <w:ind w:left="40"/>
              <w:spacing w:after="0" w:line="91" w:lineRule="exact"/>
              <w:rPr>
                <w:sz w:val="20"/>
                <w:szCs w:val="20"/>
                <w:color w:val="auto"/>
              </w:rPr>
            </w:pPr>
            <w:r>
              <w:rPr>
                <w:rFonts w:ascii="Arial" w:cs="Arial" w:eastAsia="Arial" w:hAnsi="Arial"/>
                <w:sz w:val="10"/>
                <w:szCs w:val="10"/>
                <w:b w:val="1"/>
                <w:bCs w:val="1"/>
                <w:color w:val="auto"/>
              </w:rPr>
              <w:t>Income before</w:t>
            </w:r>
          </w:p>
        </w:tc>
        <w:tc>
          <w:tcPr>
            <w:tcW w:w="140" w:type="dxa"/>
            <w:vAlign w:val="bottom"/>
          </w:tcPr>
          <w:p>
            <w:pPr>
              <w:spacing w:after="0"/>
              <w:rPr>
                <w:sz w:val="7"/>
                <w:szCs w:val="7"/>
                <w:color w:val="auto"/>
              </w:rPr>
            </w:pPr>
          </w:p>
        </w:tc>
        <w:tc>
          <w:tcPr>
            <w:tcW w:w="820" w:type="dxa"/>
            <w:vAlign w:val="bottom"/>
          </w:tcPr>
          <w:p>
            <w:pPr>
              <w:jc w:val="right"/>
              <w:ind w:right="162"/>
              <w:spacing w:after="0" w:line="91" w:lineRule="exact"/>
              <w:rPr>
                <w:sz w:val="20"/>
                <w:szCs w:val="20"/>
                <w:color w:val="auto"/>
              </w:rPr>
            </w:pPr>
            <w:r>
              <w:rPr>
                <w:rFonts w:ascii="Arial" w:cs="Arial" w:eastAsia="Arial" w:hAnsi="Arial"/>
                <w:sz w:val="10"/>
                <w:szCs w:val="10"/>
                <w:b w:val="1"/>
                <w:bCs w:val="1"/>
                <w:color w:val="auto"/>
              </w:rPr>
              <w:t>Income tax</w:t>
            </w:r>
          </w:p>
        </w:tc>
        <w:tc>
          <w:tcPr>
            <w:tcW w:w="100" w:type="dxa"/>
            <w:vAlign w:val="bottom"/>
          </w:tcPr>
          <w:p>
            <w:pPr>
              <w:spacing w:after="0"/>
              <w:rPr>
                <w:sz w:val="7"/>
                <w:szCs w:val="7"/>
                <w:color w:val="auto"/>
              </w:rPr>
            </w:pPr>
          </w:p>
        </w:tc>
        <w:tc>
          <w:tcPr>
            <w:tcW w:w="1060" w:type="dxa"/>
            <w:vAlign w:val="bottom"/>
            <w:vMerge w:val="restart"/>
          </w:tcPr>
          <w:p>
            <w:pPr>
              <w:jc w:val="right"/>
              <w:ind w:right="91"/>
              <w:spacing w:after="0"/>
              <w:rPr>
                <w:sz w:val="20"/>
                <w:szCs w:val="20"/>
                <w:color w:val="auto"/>
              </w:rPr>
            </w:pPr>
            <w:r>
              <w:rPr>
                <w:rFonts w:ascii="Arial" w:cs="Arial" w:eastAsia="Arial" w:hAnsi="Arial"/>
                <w:sz w:val="10"/>
                <w:szCs w:val="10"/>
                <w:b w:val="1"/>
                <w:bCs w:val="1"/>
                <w:color w:val="auto"/>
              </w:rPr>
              <w:t>Effective tax rate</w:t>
            </w:r>
          </w:p>
        </w:tc>
        <w:tc>
          <w:tcPr>
            <w:tcW w:w="100" w:type="dxa"/>
            <w:vAlign w:val="bottom"/>
            <w:vMerge w:val="restart"/>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gridSpan w:val="2"/>
          </w:tcPr>
          <w:p>
            <w:pPr>
              <w:ind w:left="40"/>
              <w:spacing w:after="0" w:line="91" w:lineRule="exact"/>
              <w:rPr>
                <w:sz w:val="20"/>
                <w:szCs w:val="20"/>
                <w:color w:val="auto"/>
              </w:rPr>
            </w:pPr>
            <w:r>
              <w:rPr>
                <w:rFonts w:ascii="Arial" w:cs="Arial" w:eastAsia="Arial" w:hAnsi="Arial"/>
                <w:sz w:val="10"/>
                <w:szCs w:val="10"/>
                <w:b w:val="1"/>
                <w:bCs w:val="1"/>
                <w:color w:val="auto"/>
              </w:rPr>
              <w:t>Income before</w:t>
            </w:r>
          </w:p>
        </w:tc>
        <w:tc>
          <w:tcPr>
            <w:tcW w:w="140" w:type="dxa"/>
            <w:vAlign w:val="bottom"/>
          </w:tcPr>
          <w:p>
            <w:pPr>
              <w:spacing w:after="0"/>
              <w:rPr>
                <w:sz w:val="7"/>
                <w:szCs w:val="7"/>
                <w:color w:val="auto"/>
              </w:rPr>
            </w:pPr>
          </w:p>
        </w:tc>
        <w:tc>
          <w:tcPr>
            <w:tcW w:w="820" w:type="dxa"/>
            <w:vAlign w:val="bottom"/>
          </w:tcPr>
          <w:p>
            <w:pPr>
              <w:jc w:val="right"/>
              <w:ind w:right="162"/>
              <w:spacing w:after="0" w:line="91" w:lineRule="exact"/>
              <w:rPr>
                <w:sz w:val="20"/>
                <w:szCs w:val="20"/>
                <w:color w:val="auto"/>
              </w:rPr>
            </w:pPr>
            <w:r>
              <w:rPr>
                <w:rFonts w:ascii="Arial" w:cs="Arial" w:eastAsia="Arial" w:hAnsi="Arial"/>
                <w:sz w:val="10"/>
                <w:szCs w:val="10"/>
                <w:b w:val="1"/>
                <w:bCs w:val="1"/>
                <w:color w:val="auto"/>
              </w:rPr>
              <w:t>Income tax</w:t>
            </w:r>
          </w:p>
        </w:tc>
        <w:tc>
          <w:tcPr>
            <w:tcW w:w="100" w:type="dxa"/>
            <w:vAlign w:val="bottom"/>
          </w:tcPr>
          <w:p>
            <w:pPr>
              <w:spacing w:after="0"/>
              <w:rPr>
                <w:sz w:val="7"/>
                <w:szCs w:val="7"/>
                <w:color w:val="auto"/>
              </w:rPr>
            </w:pPr>
          </w:p>
        </w:tc>
        <w:tc>
          <w:tcPr>
            <w:tcW w:w="1060" w:type="dxa"/>
            <w:vAlign w:val="bottom"/>
            <w:vMerge w:val="restart"/>
          </w:tcPr>
          <w:p>
            <w:pPr>
              <w:jc w:val="right"/>
              <w:ind w:right="91"/>
              <w:spacing w:after="0"/>
              <w:rPr>
                <w:sz w:val="20"/>
                <w:szCs w:val="20"/>
                <w:color w:val="auto"/>
              </w:rPr>
            </w:pPr>
            <w:r>
              <w:rPr>
                <w:rFonts w:ascii="Arial" w:cs="Arial" w:eastAsia="Arial" w:hAnsi="Arial"/>
                <w:sz w:val="10"/>
                <w:szCs w:val="10"/>
                <w:b w:val="1"/>
                <w:bCs w:val="1"/>
                <w:color w:val="auto"/>
              </w:rPr>
              <w:t>Effective tax rate</w:t>
            </w:r>
          </w:p>
        </w:tc>
        <w:tc>
          <w:tcPr>
            <w:tcW w:w="0" w:type="dxa"/>
            <w:vAlign w:val="bottom"/>
          </w:tcPr>
          <w:p>
            <w:pPr>
              <w:spacing w:after="0"/>
              <w:rPr>
                <w:sz w:val="1"/>
                <w:szCs w:val="1"/>
                <w:color w:val="auto"/>
              </w:rPr>
            </w:pPr>
          </w:p>
        </w:tc>
      </w:tr>
      <w:tr>
        <w:trPr>
          <w:trHeight w:val="134"/>
        </w:trPr>
        <w:tc>
          <w:tcPr>
            <w:tcW w:w="48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102"/>
              <w:spacing w:after="0"/>
              <w:rPr>
                <w:sz w:val="20"/>
                <w:szCs w:val="20"/>
                <w:color w:val="auto"/>
              </w:rPr>
            </w:pPr>
            <w:r>
              <w:rPr>
                <w:rFonts w:ascii="Arial" w:cs="Arial" w:eastAsia="Arial" w:hAnsi="Arial"/>
                <w:sz w:val="10"/>
                <w:szCs w:val="10"/>
                <w:b w:val="1"/>
                <w:bCs w:val="1"/>
                <w:color w:val="auto"/>
              </w:rPr>
              <w:t>income taxes</w:t>
            </w: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222"/>
              <w:spacing w:after="0"/>
              <w:rPr>
                <w:sz w:val="20"/>
                <w:szCs w:val="20"/>
                <w:color w:val="auto"/>
              </w:rPr>
            </w:pPr>
            <w:r>
              <w:rPr>
                <w:rFonts w:ascii="Arial" w:cs="Arial" w:eastAsia="Arial" w:hAnsi="Arial"/>
                <w:sz w:val="10"/>
                <w:szCs w:val="10"/>
                <w:b w:val="1"/>
                <w:bCs w:val="1"/>
                <w:color w:val="auto"/>
              </w:rPr>
              <w:t>expense</w:t>
            </w:r>
          </w:p>
        </w:tc>
        <w:tc>
          <w:tcPr>
            <w:tcW w:w="100" w:type="dxa"/>
            <w:vAlign w:val="bottom"/>
            <w:tcBorders>
              <w:bottom w:val="single" w:sz="8" w:color="CCEEFF"/>
            </w:tcBorders>
          </w:tcPr>
          <w:p>
            <w:pPr>
              <w:spacing w:after="0"/>
              <w:rPr>
                <w:sz w:val="11"/>
                <w:szCs w:val="11"/>
                <w:color w:val="auto"/>
              </w:rPr>
            </w:pPr>
          </w:p>
        </w:tc>
        <w:tc>
          <w:tcPr>
            <w:tcW w:w="106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102"/>
              <w:spacing w:after="0"/>
              <w:rPr>
                <w:sz w:val="20"/>
                <w:szCs w:val="20"/>
                <w:color w:val="auto"/>
              </w:rPr>
            </w:pPr>
            <w:r>
              <w:rPr>
                <w:rFonts w:ascii="Arial" w:cs="Arial" w:eastAsia="Arial" w:hAnsi="Arial"/>
                <w:sz w:val="10"/>
                <w:szCs w:val="10"/>
                <w:b w:val="1"/>
                <w:bCs w:val="1"/>
                <w:color w:val="auto"/>
              </w:rPr>
              <w:t>income taxes</w:t>
            </w: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222"/>
              <w:spacing w:after="0"/>
              <w:rPr>
                <w:sz w:val="20"/>
                <w:szCs w:val="20"/>
                <w:color w:val="auto"/>
              </w:rPr>
            </w:pPr>
            <w:r>
              <w:rPr>
                <w:rFonts w:ascii="Arial" w:cs="Arial" w:eastAsia="Arial" w:hAnsi="Arial"/>
                <w:sz w:val="10"/>
                <w:szCs w:val="10"/>
                <w:b w:val="1"/>
                <w:bCs w:val="1"/>
                <w:color w:val="auto"/>
              </w:rPr>
              <w:t>expense</w:t>
            </w:r>
          </w:p>
        </w:tc>
        <w:tc>
          <w:tcPr>
            <w:tcW w:w="100" w:type="dxa"/>
            <w:vAlign w:val="bottom"/>
            <w:tcBorders>
              <w:bottom w:val="single" w:sz="8" w:color="CCEEFF"/>
            </w:tcBorders>
          </w:tcPr>
          <w:p>
            <w:pPr>
              <w:spacing w:after="0"/>
              <w:rPr>
                <w:sz w:val="11"/>
                <w:szCs w:val="11"/>
                <w:color w:val="auto"/>
              </w:rPr>
            </w:pPr>
          </w:p>
        </w:tc>
        <w:tc>
          <w:tcPr>
            <w:tcW w:w="106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4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Effective tax rate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4,191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3"/>
                <w:szCs w:val="13"/>
                <w:color w:val="auto"/>
              </w:rPr>
              <w:t>1,177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28.1 %</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3"/>
                <w:szCs w:val="13"/>
                <w:color w:val="auto"/>
              </w:rPr>
              <w:t>643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3"/>
                <w:szCs w:val="13"/>
                <w:color w:val="auto"/>
              </w:rPr>
              <w:t>357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55.5 %</w:t>
            </w:r>
          </w:p>
        </w:tc>
        <w:tc>
          <w:tcPr>
            <w:tcW w:w="0" w:type="dxa"/>
            <w:vAlign w:val="bottom"/>
          </w:tcPr>
          <w:p>
            <w:pPr>
              <w:spacing w:after="0"/>
              <w:rPr>
                <w:sz w:val="1"/>
                <w:szCs w:val="1"/>
                <w:color w:val="auto"/>
              </w:rPr>
            </w:pPr>
          </w:p>
        </w:tc>
      </w:tr>
      <w:tr>
        <w:trPr>
          <w:trHeight w:val="168"/>
        </w:trPr>
        <w:tc>
          <w:tcPr>
            <w:tcW w:w="4860" w:type="dxa"/>
            <w:vAlign w:val="bottom"/>
          </w:tcPr>
          <w:p>
            <w:pPr>
              <w:ind w:left="20"/>
              <w:spacing w:after="0"/>
              <w:rPr>
                <w:sz w:val="20"/>
                <w:szCs w:val="20"/>
                <w:color w:val="auto"/>
              </w:rPr>
            </w:pPr>
            <w:r>
              <w:rPr>
                <w:rFonts w:ascii="Arial" w:cs="Arial" w:eastAsia="Arial" w:hAnsi="Arial"/>
                <w:sz w:val="13"/>
                <w:szCs w:val="13"/>
                <w:color w:val="auto"/>
              </w:rPr>
              <w:t>Adjustments(a)</w:t>
            </w:r>
          </w:p>
        </w:tc>
        <w:tc>
          <w:tcPr>
            <w:tcW w:w="1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20" w:type="dxa"/>
            <w:vAlign w:val="bottom"/>
          </w:tcPr>
          <w:p>
            <w:pPr>
              <w:jc w:val="right"/>
              <w:ind w:right="2"/>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2"/>
              <w:spacing w:after="0"/>
              <w:rPr>
                <w:sz w:val="20"/>
                <w:szCs w:val="20"/>
                <w:color w:val="auto"/>
              </w:rPr>
            </w:pPr>
            <w:r>
              <w:rPr>
                <w:rFonts w:ascii="Arial" w:cs="Arial" w:eastAsia="Arial" w:hAnsi="Arial"/>
                <w:sz w:val="13"/>
                <w:szCs w:val="13"/>
                <w:color w:val="auto"/>
              </w:rPr>
              <w:t>489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2"/>
              <w:spacing w:after="0"/>
              <w:rPr>
                <w:sz w:val="20"/>
                <w:szCs w:val="20"/>
                <w:color w:val="auto"/>
              </w:rPr>
            </w:pPr>
            <w:r>
              <w:rPr>
                <w:rFonts w:ascii="Arial" w:cs="Arial" w:eastAsia="Arial" w:hAnsi="Arial"/>
                <w:sz w:val="13"/>
                <w:szCs w:val="13"/>
                <w:color w:val="auto"/>
              </w:rPr>
              <w:t>73</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Tax adjustment(b)</w:t>
            </w:r>
          </w:p>
        </w:tc>
        <w:tc>
          <w:tcPr>
            <w:tcW w:w="1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(316)</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(236)</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860" w:type="dxa"/>
            <w:vAlign w:val="bottom"/>
          </w:tcPr>
          <w:p>
            <w:pPr>
              <w:ind w:left="20"/>
              <w:spacing w:after="0"/>
              <w:rPr>
                <w:sz w:val="20"/>
                <w:szCs w:val="20"/>
                <w:color w:val="auto"/>
              </w:rPr>
            </w:pPr>
            <w:r>
              <w:rPr>
                <w:rFonts w:ascii="Arial" w:cs="Arial" w:eastAsia="Arial" w:hAnsi="Arial"/>
                <w:sz w:val="13"/>
                <w:szCs w:val="13"/>
                <w:color w:val="auto"/>
              </w:rPr>
              <w:t>ETR-adjusted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4,191</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color w:val="auto"/>
              </w:rPr>
              <w:t>861</w:t>
            </w: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20.5 %</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color w:val="auto"/>
              </w:rPr>
              <w:t>1,132</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color w:val="auto"/>
              </w:rPr>
              <w:t>194</w:t>
            </w: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17.1 %</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1"/>
          <w:szCs w:val="11"/>
          <w:color w:val="auto"/>
        </w:rPr>
        <w:t>________</w:t>
      </w:r>
    </w:p>
    <w:p>
      <w:pPr>
        <w:spacing w:after="0" w:line="1" w:lineRule="exact"/>
        <w:rPr>
          <w:sz w:val="20"/>
          <w:szCs w:val="20"/>
          <w:color w:val="auto"/>
        </w:rPr>
      </w:pPr>
    </w:p>
    <w:p>
      <w:pPr>
        <w:ind w:left="260" w:hanging="255"/>
        <w:spacing w:after="0" w:line="241" w:lineRule="auto"/>
        <w:tabs>
          <w:tab w:leader="none" w:pos="249" w:val="left"/>
        </w:tabs>
        <w:numPr>
          <w:ilvl w:val="0"/>
          <w:numId w:val="5"/>
        </w:numPr>
        <w:rPr>
          <w:rFonts w:ascii="Arial" w:cs="Arial" w:eastAsia="Arial" w:hAnsi="Arial"/>
          <w:sz w:val="11"/>
          <w:szCs w:val="11"/>
          <w:color w:val="auto"/>
        </w:rPr>
      </w:pPr>
      <w:r>
        <w:rPr>
          <w:rFonts w:ascii="Arial" w:cs="Arial" w:eastAsia="Arial" w:hAnsi="Arial"/>
          <w:sz w:val="11"/>
          <w:szCs w:val="11"/>
          <w:color w:val="auto"/>
        </w:rPr>
        <w:t>Refer to the reconciliation of Net income attributable to stockholders under U.S. GAAP to segment profit (loss) for adjustment details. The tax effect of each adjustment is determined based on the tax laws and valuation allowance status of the jurisdiction to which the adjustment relates.</w:t>
      </w:r>
    </w:p>
    <w:p>
      <w:pPr>
        <w:ind w:left="240" w:hanging="235"/>
        <w:spacing w:after="0"/>
        <w:tabs>
          <w:tab w:leader="none" w:pos="240" w:val="left"/>
        </w:tabs>
        <w:numPr>
          <w:ilvl w:val="0"/>
          <w:numId w:val="5"/>
        </w:numPr>
        <w:rPr>
          <w:rFonts w:ascii="Arial" w:cs="Arial" w:eastAsia="Arial" w:hAnsi="Arial"/>
          <w:sz w:val="11"/>
          <w:szCs w:val="11"/>
          <w:color w:val="auto"/>
        </w:rPr>
      </w:pPr>
      <w:r>
        <w:rPr>
          <w:rFonts w:ascii="Arial" w:cs="Arial" w:eastAsia="Arial" w:hAnsi="Arial"/>
          <w:sz w:val="11"/>
          <w:szCs w:val="11"/>
          <w:color w:val="auto"/>
        </w:rPr>
        <w:t>Refer to the reconciliation of diluted earnings per common share under U.S. GAAP to EPS-diluted-adjusted within the previous section for adjustment details.</w:t>
      </w:r>
    </w:p>
    <w:p>
      <w:pPr>
        <w:spacing w:after="0" w:line="190" w:lineRule="exact"/>
        <w:rPr>
          <w:sz w:val="20"/>
          <w:szCs w:val="20"/>
          <w:color w:val="auto"/>
        </w:rPr>
      </w:pPr>
    </w:p>
    <w:p>
      <w:pPr>
        <w:ind w:firstLine="127"/>
        <w:spacing w:after="0" w:line="244" w:lineRule="auto"/>
        <w:rPr>
          <w:sz w:val="20"/>
          <w:szCs w:val="20"/>
          <w:color w:val="auto"/>
        </w:rPr>
      </w:pPr>
      <w:r>
        <w:rPr>
          <w:rFonts w:ascii="Arial" w:cs="Arial" w:eastAsia="Arial" w:hAnsi="Arial"/>
          <w:sz w:val="13"/>
          <w:szCs w:val="13"/>
          <w:color w:val="auto"/>
        </w:rPr>
        <w:t>We define return on equity (ROE) as Net income (loss) attributable to stockholders for the trailing four quarters divided by average equity for the same period. Management uses average equity to provide comparable amounts in the calculation of ROE. The following table summarizes the calculation of ROE (dollars in billions):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77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99"/>
              </w:rPr>
              <w:t>Four Quarters Ended</w:t>
            </w:r>
          </w:p>
        </w:tc>
        <w:tc>
          <w:tcPr>
            <w:tcW w:w="1240" w:type="dxa"/>
            <w:vAlign w:val="bottom"/>
            <w:tcBorders>
              <w:bottom w:val="single" w:sz="8" w:color="auto"/>
            </w:tcBorders>
          </w:tcPr>
          <w:p>
            <w:pPr>
              <w:spacing w:after="0"/>
              <w:rPr>
                <w:sz w:val="11"/>
                <w:szCs w:val="11"/>
                <w:color w:val="auto"/>
              </w:rPr>
            </w:pPr>
          </w:p>
        </w:tc>
      </w:tr>
      <w:tr>
        <w:trPr>
          <w:trHeight w:val="132"/>
        </w:trPr>
        <w:tc>
          <w:tcPr>
            <w:tcW w:w="7720" w:type="dxa"/>
            <w:vAlign w:val="bottom"/>
            <w:tcBorders>
              <w:bottom w:val="single" w:sz="8" w:color="CCEEFF"/>
            </w:tcBorders>
          </w:tcPr>
          <w:p>
            <w:pPr>
              <w:spacing w:after="0"/>
              <w:rPr>
                <w:sz w:val="11"/>
                <w:szCs w:val="1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March 31, 2021</w:t>
            </w: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440"/>
              <w:spacing w:after="0"/>
              <w:rPr>
                <w:sz w:val="20"/>
                <w:szCs w:val="20"/>
                <w:color w:val="auto"/>
              </w:rPr>
            </w:pPr>
            <w:r>
              <w:rPr>
                <w:rFonts w:ascii="Arial" w:cs="Arial" w:eastAsia="Arial" w:hAnsi="Arial"/>
                <w:sz w:val="10"/>
                <w:szCs w:val="10"/>
                <w:b w:val="1"/>
                <w:bCs w:val="1"/>
                <w:color w:val="auto"/>
              </w:rPr>
              <w:t>March 31, 2020</w:t>
            </w:r>
          </w:p>
        </w:tc>
      </w:tr>
      <w:tr>
        <w:trPr>
          <w:trHeight w:val="165"/>
        </w:trPr>
        <w:tc>
          <w:tcPr>
            <w:tcW w:w="7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(loss) attributable to stockholders</w:t>
            </w:r>
          </w:p>
        </w:tc>
        <w:tc>
          <w:tcPr>
            <w:tcW w:w="1260" w:type="dxa"/>
            <w:vAlign w:val="bottom"/>
            <w:shd w:val="clear" w:color="auto" w:fill="CCEEFF"/>
          </w:tcPr>
          <w:p>
            <w:pPr>
              <w:jc w:val="right"/>
              <w:ind w:right="1101"/>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ind w:right="100"/>
              <w:spacing w:after="0"/>
              <w:rPr>
                <w:sz w:val="20"/>
                <w:szCs w:val="20"/>
                <w:color w:val="auto"/>
              </w:rPr>
            </w:pPr>
            <w:r>
              <w:rPr>
                <w:rFonts w:ascii="Arial" w:cs="Arial" w:eastAsia="Arial" w:hAnsi="Arial"/>
                <w:sz w:val="13"/>
                <w:szCs w:val="13"/>
                <w:color w:val="auto"/>
              </w:rPr>
              <w:t>9.2</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w w:val="82"/>
              </w:rPr>
              <w:t>$</w:t>
            </w:r>
          </w:p>
        </w:tc>
        <w:tc>
          <w:tcPr>
            <w:tcW w:w="1240" w:type="dxa"/>
            <w:vAlign w:val="bottom"/>
            <w:shd w:val="clear" w:color="auto" w:fill="CCEEFF"/>
          </w:tcPr>
          <w:p>
            <w:pPr>
              <w:jc w:val="right"/>
              <w:ind w:right="100"/>
              <w:spacing w:after="0"/>
              <w:rPr>
                <w:sz w:val="20"/>
                <w:szCs w:val="20"/>
                <w:color w:val="auto"/>
              </w:rPr>
            </w:pPr>
            <w:r>
              <w:rPr>
                <w:rFonts w:ascii="Arial" w:cs="Arial" w:eastAsia="Arial" w:hAnsi="Arial"/>
                <w:sz w:val="13"/>
                <w:szCs w:val="13"/>
                <w:color w:val="auto"/>
              </w:rPr>
              <w:t>4.9</w:t>
            </w:r>
          </w:p>
        </w:tc>
      </w:tr>
      <w:tr>
        <w:trPr>
          <w:trHeight w:val="168"/>
        </w:trPr>
        <w:tc>
          <w:tcPr>
            <w:tcW w:w="7720" w:type="dxa"/>
            <w:vAlign w:val="bottom"/>
          </w:tcPr>
          <w:p>
            <w:pPr>
              <w:ind w:left="20"/>
              <w:spacing w:after="0"/>
              <w:rPr>
                <w:sz w:val="20"/>
                <w:szCs w:val="20"/>
                <w:color w:val="auto"/>
              </w:rPr>
            </w:pPr>
            <w:r>
              <w:rPr>
                <w:rFonts w:ascii="Arial" w:cs="Arial" w:eastAsia="Arial" w:hAnsi="Arial"/>
                <w:sz w:val="13"/>
                <w:szCs w:val="13"/>
                <w:color w:val="auto"/>
              </w:rPr>
              <w:t>Average equity(a)</w:t>
            </w:r>
          </w:p>
        </w:tc>
        <w:tc>
          <w:tcPr>
            <w:tcW w:w="1260" w:type="dxa"/>
            <w:vAlign w:val="bottom"/>
          </w:tcPr>
          <w:p>
            <w:pPr>
              <w:jc w:val="right"/>
              <w:ind w:right="1101"/>
              <w:spacing w:after="0"/>
              <w:rPr>
                <w:sz w:val="20"/>
                <w:szCs w:val="20"/>
                <w:color w:val="auto"/>
              </w:rPr>
            </w:pPr>
            <w:r>
              <w:rPr>
                <w:rFonts w:ascii="Arial" w:cs="Arial" w:eastAsia="Arial" w:hAnsi="Arial"/>
                <w:sz w:val="13"/>
                <w:szCs w:val="13"/>
                <w:color w:val="auto"/>
              </w:rPr>
              <w:t>$</w:t>
            </w:r>
          </w:p>
        </w:tc>
        <w:tc>
          <w:tcPr>
            <w:tcW w:w="480" w:type="dxa"/>
            <w:vAlign w:val="bottom"/>
          </w:tcPr>
          <w:p>
            <w:pPr>
              <w:jc w:val="right"/>
              <w:ind w:right="100"/>
              <w:spacing w:after="0"/>
              <w:rPr>
                <w:sz w:val="20"/>
                <w:szCs w:val="20"/>
                <w:color w:val="auto"/>
              </w:rPr>
            </w:pPr>
            <w:r>
              <w:rPr>
                <w:rFonts w:ascii="Arial" w:cs="Arial" w:eastAsia="Arial" w:hAnsi="Arial"/>
                <w:sz w:val="13"/>
                <w:szCs w:val="13"/>
                <w:color w:val="auto"/>
              </w:rPr>
              <w:t>45.7</w:t>
            </w:r>
          </w:p>
        </w:tc>
        <w:tc>
          <w:tcPr>
            <w:tcW w:w="100" w:type="dxa"/>
            <w:vAlign w:val="bottom"/>
          </w:tcPr>
          <w:p>
            <w:pPr>
              <w:spacing w:after="0"/>
              <w:rPr>
                <w:sz w:val="14"/>
                <w:szCs w:val="14"/>
                <w:color w:val="auto"/>
              </w:rPr>
            </w:pPr>
          </w:p>
        </w:tc>
        <w:tc>
          <w:tcPr>
            <w:tcW w:w="480" w:type="dxa"/>
            <w:vAlign w:val="bottom"/>
          </w:tcPr>
          <w:p>
            <w:pPr>
              <w:jc w:val="right"/>
              <w:ind w:right="336"/>
              <w:spacing w:after="0"/>
              <w:rPr>
                <w:sz w:val="20"/>
                <w:szCs w:val="20"/>
                <w:color w:val="auto"/>
              </w:rPr>
            </w:pPr>
            <w:r>
              <w:rPr>
                <w:rFonts w:ascii="Arial" w:cs="Arial" w:eastAsia="Arial" w:hAnsi="Arial"/>
                <w:sz w:val="13"/>
                <w:szCs w:val="13"/>
                <w:color w:val="auto"/>
                <w:w w:val="82"/>
              </w:rPr>
              <w:t>$</w:t>
            </w:r>
          </w:p>
        </w:tc>
        <w:tc>
          <w:tcPr>
            <w:tcW w:w="1240" w:type="dxa"/>
            <w:vAlign w:val="bottom"/>
          </w:tcPr>
          <w:p>
            <w:pPr>
              <w:jc w:val="right"/>
              <w:ind w:right="100"/>
              <w:spacing w:after="0"/>
              <w:rPr>
                <w:sz w:val="20"/>
                <w:szCs w:val="20"/>
                <w:color w:val="auto"/>
              </w:rPr>
            </w:pPr>
            <w:r>
              <w:rPr>
                <w:rFonts w:ascii="Arial" w:cs="Arial" w:eastAsia="Arial" w:hAnsi="Arial"/>
                <w:sz w:val="13"/>
                <w:szCs w:val="13"/>
                <w:color w:val="auto"/>
              </w:rPr>
              <w:t>43.6</w:t>
            </w:r>
          </w:p>
        </w:tc>
      </w:tr>
      <w:tr>
        <w:trPr>
          <w:trHeight w:val="172"/>
        </w:trPr>
        <w:tc>
          <w:tcPr>
            <w:tcW w:w="7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ROE</w:t>
            </w:r>
          </w:p>
        </w:tc>
        <w:tc>
          <w:tcPr>
            <w:tcW w:w="12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20.0 %</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11.2 %</w:t>
            </w:r>
          </w:p>
        </w:tc>
      </w:tr>
    </w:tbl>
    <w:p>
      <w:pPr>
        <w:spacing w:after="0" w:line="78" w:lineRule="exact"/>
        <w:rPr>
          <w:sz w:val="20"/>
          <w:szCs w:val="20"/>
          <w:color w:val="auto"/>
        </w:rPr>
      </w:pPr>
    </w:p>
    <w:p>
      <w:pPr>
        <w:spacing w:after="0"/>
        <w:rPr>
          <w:sz w:val="20"/>
          <w:szCs w:val="20"/>
          <w:color w:val="auto"/>
        </w:rPr>
      </w:pPr>
      <w:r>
        <w:rPr>
          <w:rFonts w:ascii="Arial" w:cs="Arial" w:eastAsia="Arial" w:hAnsi="Arial"/>
          <w:sz w:val="11"/>
          <w:szCs w:val="11"/>
          <w:color w:val="auto"/>
        </w:rPr>
        <w:t>________</w:t>
      </w:r>
    </w:p>
    <w:p>
      <w:pPr>
        <w:spacing w:after="0" w:line="1"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color w:val="auto"/>
        </w:rPr>
        <w:t>(a)</w:t>
        <w:tab/>
        <w:t>Includes equity of noncontrolling interests where the corresponding earnings (loss) are included in Net income (loss) attributable to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80"/>
          </w:cols>
          <w:pgMar w:left="300" w:top="698" w:right="319" w:bottom="1440" w:gutter="0" w:footer="0" w:header="0"/>
        </w:sectPr>
      </w:pPr>
    </w:p>
    <w:bookmarkStart w:id="13" w:name="page14"/>
    <w:bookmarkEnd w:id="13"/>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jc w:val="center"/>
        <w:spacing w:after="0"/>
        <w:rPr>
          <w:sz w:val="20"/>
          <w:szCs w:val="20"/>
          <w:color w:val="auto"/>
        </w:rPr>
      </w:pPr>
      <w:r>
        <w:rPr>
          <w:rFonts w:ascii="Arial" w:cs="Arial" w:eastAsia="Arial" w:hAnsi="Arial"/>
          <w:sz w:val="13"/>
          <w:szCs w:val="13"/>
          <w:i w:val="1"/>
          <w:iCs w:val="1"/>
          <w:color w:val="auto"/>
        </w:rPr>
        <w:t>(Unaudited)</w:t>
      </w:r>
    </w:p>
    <w:p>
      <w:pPr>
        <w:spacing w:after="0" w:line="317"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summarizes the calculation of ROIC-adjusted (dollars in billions):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77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gridSpan w:val="3"/>
          </w:tcPr>
          <w:p>
            <w:pPr>
              <w:ind w:left="40"/>
              <w:spacing w:after="0"/>
              <w:rPr>
                <w:sz w:val="20"/>
                <w:szCs w:val="20"/>
                <w:color w:val="auto"/>
              </w:rPr>
            </w:pPr>
            <w:r>
              <w:rPr>
                <w:rFonts w:ascii="Arial" w:cs="Arial" w:eastAsia="Arial" w:hAnsi="Arial"/>
                <w:sz w:val="10"/>
                <w:szCs w:val="10"/>
                <w:b w:val="1"/>
                <w:bCs w:val="1"/>
                <w:color w:val="auto"/>
                <w:w w:val="99"/>
              </w:rPr>
              <w:t>Four Quarters Ended</w:t>
            </w:r>
          </w:p>
        </w:tc>
        <w:tc>
          <w:tcPr>
            <w:tcW w:w="1240" w:type="dxa"/>
            <w:vAlign w:val="bottom"/>
            <w:tcBorders>
              <w:bottom w:val="single" w:sz="8" w:color="auto"/>
            </w:tcBorders>
          </w:tcPr>
          <w:p>
            <w:pPr>
              <w:spacing w:after="0"/>
              <w:rPr>
                <w:sz w:val="11"/>
                <w:szCs w:val="11"/>
                <w:color w:val="auto"/>
              </w:rPr>
            </w:pPr>
          </w:p>
        </w:tc>
      </w:tr>
      <w:tr>
        <w:trPr>
          <w:trHeight w:val="132"/>
        </w:trPr>
        <w:tc>
          <w:tcPr>
            <w:tcW w:w="7720" w:type="dxa"/>
            <w:vAlign w:val="bottom"/>
            <w:tcBorders>
              <w:bottom w:val="single" w:sz="8" w:color="CCEEFF"/>
            </w:tcBorders>
          </w:tcPr>
          <w:p>
            <w:pPr>
              <w:spacing w:after="0"/>
              <w:rPr>
                <w:sz w:val="11"/>
                <w:szCs w:val="1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March 31, 2021</w:t>
            </w: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438"/>
              <w:spacing w:after="0"/>
              <w:rPr>
                <w:sz w:val="20"/>
                <w:szCs w:val="20"/>
                <w:color w:val="auto"/>
              </w:rPr>
            </w:pPr>
            <w:r>
              <w:rPr>
                <w:rFonts w:ascii="Arial" w:cs="Arial" w:eastAsia="Arial" w:hAnsi="Arial"/>
                <w:sz w:val="10"/>
                <w:szCs w:val="10"/>
                <w:b w:val="1"/>
                <w:bCs w:val="1"/>
                <w:color w:val="auto"/>
              </w:rPr>
              <w:t>March 31, 2020</w:t>
            </w:r>
          </w:p>
        </w:tc>
      </w:tr>
      <w:tr>
        <w:trPr>
          <w:trHeight w:val="165"/>
        </w:trPr>
        <w:tc>
          <w:tcPr>
            <w:tcW w:w="7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EBIT (loss)-adjusted(a)</w:t>
            </w:r>
          </w:p>
        </w:tc>
        <w:tc>
          <w:tcPr>
            <w:tcW w:w="1260" w:type="dxa"/>
            <w:vAlign w:val="bottom"/>
            <w:shd w:val="clear" w:color="auto" w:fill="CCEEFF"/>
          </w:tcPr>
          <w:p>
            <w:pPr>
              <w:jc w:val="right"/>
              <w:ind w:right="110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ind w:left="60"/>
              <w:spacing w:after="0"/>
              <w:rPr>
                <w:sz w:val="20"/>
                <w:szCs w:val="20"/>
                <w:color w:val="auto"/>
              </w:rPr>
            </w:pPr>
            <w:r>
              <w:rPr>
                <w:rFonts w:ascii="Arial" w:cs="Arial" w:eastAsia="Arial" w:hAnsi="Arial"/>
                <w:sz w:val="13"/>
                <w:szCs w:val="13"/>
                <w:color w:val="auto"/>
              </w:rPr>
              <w:t>12.9</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w w:val="82"/>
              </w:rPr>
              <w:t>$</w:t>
            </w:r>
          </w:p>
        </w:tc>
        <w:tc>
          <w:tcPr>
            <w:tcW w:w="124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7.3</w:t>
            </w:r>
          </w:p>
        </w:tc>
      </w:tr>
      <w:tr>
        <w:trPr>
          <w:trHeight w:val="168"/>
        </w:trPr>
        <w:tc>
          <w:tcPr>
            <w:tcW w:w="7720" w:type="dxa"/>
            <w:vAlign w:val="bottom"/>
          </w:tcPr>
          <w:p>
            <w:pPr>
              <w:ind w:left="20"/>
              <w:spacing w:after="0"/>
              <w:rPr>
                <w:sz w:val="20"/>
                <w:szCs w:val="20"/>
                <w:color w:val="auto"/>
              </w:rPr>
            </w:pPr>
            <w:r>
              <w:rPr>
                <w:rFonts w:ascii="Arial" w:cs="Arial" w:eastAsia="Arial" w:hAnsi="Arial"/>
                <w:sz w:val="13"/>
                <w:szCs w:val="13"/>
                <w:color w:val="auto"/>
              </w:rPr>
              <w:t>Average equity(b)</w:t>
            </w:r>
          </w:p>
        </w:tc>
        <w:tc>
          <w:tcPr>
            <w:tcW w:w="1260" w:type="dxa"/>
            <w:vAlign w:val="bottom"/>
          </w:tcPr>
          <w:p>
            <w:pPr>
              <w:jc w:val="right"/>
              <w:ind w:right="1100"/>
              <w:spacing w:after="0"/>
              <w:rPr>
                <w:sz w:val="20"/>
                <w:szCs w:val="20"/>
                <w:color w:val="auto"/>
              </w:rPr>
            </w:pPr>
            <w:r>
              <w:rPr>
                <w:rFonts w:ascii="Arial" w:cs="Arial" w:eastAsia="Arial" w:hAnsi="Arial"/>
                <w:sz w:val="13"/>
                <w:szCs w:val="13"/>
                <w:color w:val="auto"/>
              </w:rPr>
              <w:t>$</w:t>
            </w:r>
          </w:p>
        </w:tc>
        <w:tc>
          <w:tcPr>
            <w:tcW w:w="480" w:type="dxa"/>
            <w:vAlign w:val="bottom"/>
          </w:tcPr>
          <w:p>
            <w:pPr>
              <w:ind w:left="60"/>
              <w:spacing w:after="0"/>
              <w:rPr>
                <w:sz w:val="20"/>
                <w:szCs w:val="20"/>
                <w:color w:val="auto"/>
              </w:rPr>
            </w:pPr>
            <w:r>
              <w:rPr>
                <w:rFonts w:ascii="Arial" w:cs="Arial" w:eastAsia="Arial" w:hAnsi="Arial"/>
                <w:sz w:val="13"/>
                <w:szCs w:val="13"/>
                <w:color w:val="auto"/>
              </w:rPr>
              <w:t>45.7</w:t>
            </w:r>
          </w:p>
        </w:tc>
        <w:tc>
          <w:tcPr>
            <w:tcW w:w="100" w:type="dxa"/>
            <w:vAlign w:val="bottom"/>
          </w:tcPr>
          <w:p>
            <w:pPr>
              <w:spacing w:after="0"/>
              <w:rPr>
                <w:sz w:val="14"/>
                <w:szCs w:val="14"/>
                <w:color w:val="auto"/>
              </w:rPr>
            </w:pPr>
          </w:p>
        </w:tc>
        <w:tc>
          <w:tcPr>
            <w:tcW w:w="480" w:type="dxa"/>
            <w:vAlign w:val="bottom"/>
          </w:tcPr>
          <w:p>
            <w:pPr>
              <w:jc w:val="right"/>
              <w:ind w:right="336"/>
              <w:spacing w:after="0"/>
              <w:rPr>
                <w:sz w:val="20"/>
                <w:szCs w:val="20"/>
                <w:color w:val="auto"/>
              </w:rPr>
            </w:pPr>
            <w:r>
              <w:rPr>
                <w:rFonts w:ascii="Arial" w:cs="Arial" w:eastAsia="Arial" w:hAnsi="Arial"/>
                <w:sz w:val="13"/>
                <w:szCs w:val="13"/>
                <w:color w:val="auto"/>
                <w:w w:val="82"/>
              </w:rPr>
              <w:t>$</w:t>
            </w:r>
          </w:p>
        </w:tc>
        <w:tc>
          <w:tcPr>
            <w:tcW w:w="1240" w:type="dxa"/>
            <w:vAlign w:val="bottom"/>
          </w:tcPr>
          <w:p>
            <w:pPr>
              <w:jc w:val="right"/>
              <w:ind w:right="98"/>
              <w:spacing w:after="0"/>
              <w:rPr>
                <w:sz w:val="20"/>
                <w:szCs w:val="20"/>
                <w:color w:val="auto"/>
              </w:rPr>
            </w:pPr>
            <w:r>
              <w:rPr>
                <w:rFonts w:ascii="Arial" w:cs="Arial" w:eastAsia="Arial" w:hAnsi="Arial"/>
                <w:sz w:val="13"/>
                <w:szCs w:val="13"/>
                <w:color w:val="auto"/>
              </w:rPr>
              <w:t>43.6</w:t>
            </w:r>
          </w:p>
        </w:tc>
      </w:tr>
      <w:tr>
        <w:trPr>
          <w:trHeight w:val="172"/>
        </w:trPr>
        <w:tc>
          <w:tcPr>
            <w:tcW w:w="7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 Average automotive debt and interest liabilities (excluding finance leases)</w:t>
            </w:r>
          </w:p>
        </w:tc>
        <w:tc>
          <w:tcPr>
            <w:tcW w:w="1260" w:type="dxa"/>
            <w:vAlign w:val="bottom"/>
            <w:shd w:val="clear" w:color="auto" w:fill="CCEEFF"/>
          </w:tcPr>
          <w:p>
            <w:pPr>
              <w:spacing w:after="0"/>
              <w:rPr>
                <w:sz w:val="14"/>
                <w:szCs w:val="14"/>
                <w:color w:val="auto"/>
              </w:rPr>
            </w:pPr>
          </w:p>
        </w:tc>
        <w:tc>
          <w:tcPr>
            <w:tcW w:w="480" w:type="dxa"/>
            <w:vAlign w:val="bottom"/>
            <w:shd w:val="clear" w:color="auto" w:fill="CCEEFF"/>
          </w:tcPr>
          <w:p>
            <w:pPr>
              <w:ind w:left="60"/>
              <w:spacing w:after="0"/>
              <w:rPr>
                <w:sz w:val="20"/>
                <w:szCs w:val="20"/>
                <w:color w:val="auto"/>
              </w:rPr>
            </w:pPr>
            <w:r>
              <w:rPr>
                <w:rFonts w:ascii="Arial" w:cs="Arial" w:eastAsia="Arial" w:hAnsi="Arial"/>
                <w:sz w:val="13"/>
                <w:szCs w:val="13"/>
                <w:color w:val="auto"/>
              </w:rPr>
              <w:t>24.7</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18.8</w:t>
            </w:r>
          </w:p>
        </w:tc>
      </w:tr>
      <w:tr>
        <w:trPr>
          <w:trHeight w:val="168"/>
        </w:trPr>
        <w:tc>
          <w:tcPr>
            <w:tcW w:w="7720" w:type="dxa"/>
            <w:vAlign w:val="bottom"/>
          </w:tcPr>
          <w:p>
            <w:pPr>
              <w:ind w:left="20"/>
              <w:spacing w:after="0"/>
              <w:rPr>
                <w:sz w:val="20"/>
                <w:szCs w:val="20"/>
                <w:color w:val="auto"/>
              </w:rPr>
            </w:pPr>
            <w:r>
              <w:rPr>
                <w:rFonts w:ascii="Arial" w:cs="Arial" w:eastAsia="Arial" w:hAnsi="Arial"/>
                <w:sz w:val="13"/>
                <w:szCs w:val="13"/>
                <w:color w:val="auto"/>
              </w:rPr>
              <w:t>Add: Average automotive net pension &amp; OPEB liability</w:t>
            </w:r>
          </w:p>
        </w:tc>
        <w:tc>
          <w:tcPr>
            <w:tcW w:w="126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3"/>
                <w:szCs w:val="13"/>
                <w:color w:val="auto"/>
              </w:rPr>
              <w:t>17.8</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jc w:val="right"/>
              <w:ind w:right="98"/>
              <w:spacing w:after="0"/>
              <w:rPr>
                <w:sz w:val="20"/>
                <w:szCs w:val="20"/>
                <w:color w:val="auto"/>
              </w:rPr>
            </w:pPr>
            <w:r>
              <w:rPr>
                <w:rFonts w:ascii="Arial" w:cs="Arial" w:eastAsia="Arial" w:hAnsi="Arial"/>
                <w:sz w:val="13"/>
                <w:szCs w:val="13"/>
                <w:color w:val="auto"/>
              </w:rPr>
              <w:t>16.9</w:t>
            </w:r>
          </w:p>
        </w:tc>
      </w:tr>
      <w:tr>
        <w:trPr>
          <w:trHeight w:val="170"/>
        </w:trPr>
        <w:tc>
          <w:tcPr>
            <w:tcW w:w="7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Average automotive and other net income tax asset</w:t>
            </w:r>
          </w:p>
        </w:tc>
        <w:tc>
          <w:tcPr>
            <w:tcW w:w="126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(23.8)</w:t>
            </w:r>
          </w:p>
        </w:tc>
        <w:tc>
          <w:tcPr>
            <w:tcW w:w="1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(23.7)</w:t>
            </w:r>
          </w:p>
        </w:tc>
      </w:tr>
      <w:tr>
        <w:trPr>
          <w:trHeight w:val="163"/>
        </w:trPr>
        <w:tc>
          <w:tcPr>
            <w:tcW w:w="7720" w:type="dxa"/>
            <w:vAlign w:val="bottom"/>
          </w:tcPr>
          <w:p>
            <w:pPr>
              <w:ind w:left="20"/>
              <w:spacing w:after="0"/>
              <w:rPr>
                <w:sz w:val="20"/>
                <w:szCs w:val="20"/>
                <w:color w:val="auto"/>
              </w:rPr>
            </w:pPr>
            <w:r>
              <w:rPr>
                <w:rFonts w:ascii="Arial" w:cs="Arial" w:eastAsia="Arial" w:hAnsi="Arial"/>
                <w:sz w:val="13"/>
                <w:szCs w:val="13"/>
                <w:color w:val="auto"/>
              </w:rPr>
              <w:t>ROIC-adjusted average net assets</w:t>
            </w:r>
          </w:p>
        </w:tc>
        <w:tc>
          <w:tcPr>
            <w:tcW w:w="1260" w:type="dxa"/>
            <w:vAlign w:val="bottom"/>
            <w:tcBorders>
              <w:bottom w:val="single" w:sz="8" w:color="auto"/>
            </w:tcBorders>
          </w:tcPr>
          <w:p>
            <w:pPr>
              <w:jc w:val="right"/>
              <w:ind w:right="1100"/>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64.4</w:t>
            </w:r>
          </w:p>
        </w:tc>
        <w:tc>
          <w:tcPr>
            <w:tcW w:w="100" w:type="dxa"/>
            <w:vAlign w:val="bottom"/>
          </w:tcPr>
          <w:p>
            <w:pPr>
              <w:spacing w:after="0"/>
              <w:rPr>
                <w:sz w:val="14"/>
                <w:szCs w:val="14"/>
                <w:color w:val="auto"/>
              </w:rPr>
            </w:pPr>
          </w:p>
        </w:tc>
        <w:tc>
          <w:tcPr>
            <w:tcW w:w="48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color w:val="auto"/>
                <w:w w:val="82"/>
              </w:rPr>
              <w:t>$</w:t>
            </w:r>
          </w:p>
        </w:tc>
        <w:tc>
          <w:tcPr>
            <w:tcW w:w="1240" w:type="dxa"/>
            <w:vAlign w:val="bottom"/>
            <w:tcBorders>
              <w:bottom w:val="single" w:sz="8" w:color="auto"/>
            </w:tcBorders>
          </w:tcPr>
          <w:p>
            <w:pPr>
              <w:jc w:val="right"/>
              <w:ind w:right="98"/>
              <w:spacing w:after="0"/>
              <w:rPr>
                <w:sz w:val="20"/>
                <w:szCs w:val="20"/>
                <w:color w:val="auto"/>
              </w:rPr>
            </w:pPr>
            <w:r>
              <w:rPr>
                <w:rFonts w:ascii="Arial" w:cs="Arial" w:eastAsia="Arial" w:hAnsi="Arial"/>
                <w:sz w:val="13"/>
                <w:szCs w:val="13"/>
                <w:color w:val="auto"/>
              </w:rPr>
              <w:t>55.6</w:t>
            </w: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52"/>
        </w:trPr>
        <w:tc>
          <w:tcPr>
            <w:tcW w:w="7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ROIC-adjusted</w:t>
            </w:r>
          </w:p>
        </w:tc>
        <w:tc>
          <w:tcPr>
            <w:tcW w:w="1260" w:type="dxa"/>
            <w:vAlign w:val="bottom"/>
            <w:shd w:val="clear" w:color="auto" w:fill="CCEEFF"/>
          </w:tcPr>
          <w:p>
            <w:pPr>
              <w:spacing w:after="0"/>
              <w:rPr>
                <w:sz w:val="13"/>
                <w:szCs w:val="13"/>
                <w:color w:val="auto"/>
              </w:rPr>
            </w:pPr>
          </w:p>
        </w:tc>
        <w:tc>
          <w:tcPr>
            <w:tcW w:w="480" w:type="dxa"/>
            <w:vAlign w:val="bottom"/>
            <w:shd w:val="clear" w:color="auto" w:fill="CCEEFF"/>
          </w:tcPr>
          <w:p>
            <w:pPr>
              <w:ind w:left="60"/>
              <w:spacing w:after="0"/>
              <w:rPr>
                <w:sz w:val="20"/>
                <w:szCs w:val="20"/>
                <w:color w:val="auto"/>
              </w:rPr>
            </w:pPr>
            <w:r>
              <w:rPr>
                <w:rFonts w:ascii="Arial" w:cs="Arial" w:eastAsia="Arial" w:hAnsi="Arial"/>
                <w:sz w:val="13"/>
                <w:szCs w:val="13"/>
                <w:color w:val="auto"/>
                <w:w w:val="98"/>
              </w:rPr>
              <w:t>20.0 %</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13.2 %</w:t>
            </w:r>
          </w:p>
        </w:tc>
      </w:tr>
    </w:tbl>
    <w:p>
      <w:pPr>
        <w:spacing w:after="0" w:line="67" w:lineRule="exact"/>
        <w:rPr>
          <w:sz w:val="20"/>
          <w:szCs w:val="20"/>
          <w:color w:val="auto"/>
        </w:rPr>
      </w:pPr>
    </w:p>
    <w:p>
      <w:pPr>
        <w:spacing w:after="0"/>
        <w:rPr>
          <w:sz w:val="20"/>
          <w:szCs w:val="20"/>
          <w:color w:val="auto"/>
        </w:rPr>
      </w:pPr>
      <w:r>
        <w:rPr>
          <w:rFonts w:ascii="Arial" w:cs="Arial" w:eastAsia="Arial" w:hAnsi="Arial"/>
          <w:sz w:val="11"/>
          <w:szCs w:val="11"/>
          <w:color w:val="auto"/>
        </w:rPr>
        <w:t>________</w:t>
      </w:r>
    </w:p>
    <w:p>
      <w:pPr>
        <w:spacing w:after="0" w:line="1" w:lineRule="exact"/>
        <w:rPr>
          <w:sz w:val="20"/>
          <w:szCs w:val="20"/>
          <w:color w:val="auto"/>
        </w:rPr>
      </w:pPr>
    </w:p>
    <w:p>
      <w:pPr>
        <w:ind w:left="240" w:hanging="235"/>
        <w:spacing w:after="0"/>
        <w:tabs>
          <w:tab w:leader="none" w:pos="240" w:val="left"/>
        </w:tabs>
        <w:numPr>
          <w:ilvl w:val="0"/>
          <w:numId w:val="6"/>
        </w:numPr>
        <w:rPr>
          <w:rFonts w:ascii="Arial" w:cs="Arial" w:eastAsia="Arial" w:hAnsi="Arial"/>
          <w:sz w:val="11"/>
          <w:szCs w:val="11"/>
          <w:color w:val="auto"/>
        </w:rPr>
      </w:pPr>
      <w:r>
        <w:rPr>
          <w:rFonts w:ascii="Arial" w:cs="Arial" w:eastAsia="Arial" w:hAnsi="Arial"/>
          <w:sz w:val="11"/>
          <w:szCs w:val="11"/>
          <w:color w:val="auto"/>
        </w:rPr>
        <w:t>Refer to the reconciliation of Net income (loss) attributable to stockholders under U.S. GAAP to EBIT (loss)-adjusted for adjustment details.</w:t>
      </w:r>
    </w:p>
    <w:p>
      <w:pPr>
        <w:ind w:left="240" w:hanging="235"/>
        <w:spacing w:after="0"/>
        <w:tabs>
          <w:tab w:leader="none" w:pos="240" w:val="left"/>
        </w:tabs>
        <w:numPr>
          <w:ilvl w:val="0"/>
          <w:numId w:val="6"/>
        </w:numPr>
        <w:rPr>
          <w:rFonts w:ascii="Arial" w:cs="Arial" w:eastAsia="Arial" w:hAnsi="Arial"/>
          <w:sz w:val="11"/>
          <w:szCs w:val="11"/>
          <w:color w:val="auto"/>
        </w:rPr>
      </w:pPr>
      <w:r>
        <w:rPr>
          <w:rFonts w:ascii="Arial" w:cs="Arial" w:eastAsia="Arial" w:hAnsi="Arial"/>
          <w:sz w:val="11"/>
          <w:szCs w:val="11"/>
          <w:color w:val="auto"/>
        </w:rPr>
        <w:t>Includes equity of noncontrolling interests where the corresponding earnings (loss) are included in EBIT (loss)-adjusted.</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80"/>
          </w:cols>
          <w:pgMar w:left="300" w:top="698" w:right="319" w:bottom="1440" w:gutter="0" w:footer="0" w:header="0"/>
        </w:sectPr>
      </w:pPr>
    </w:p>
    <w:bookmarkStart w:id="14" w:name="page15"/>
    <w:bookmarkEnd w:id="14"/>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26"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reconciles Net automotive cash provided by (used in) operating activities under U.S. GAAP to adjusted automotive free cash flow (dollars in millions):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7900" w:type="dxa"/>
            <w:vAlign w:val="bottom"/>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99"/>
              </w:rPr>
              <w:t>Three Months Ended</w:t>
            </w:r>
          </w:p>
        </w:tc>
        <w:tc>
          <w:tcPr>
            <w:tcW w:w="1180" w:type="dxa"/>
            <w:vAlign w:val="bottom"/>
            <w:tcBorders>
              <w:bottom w:val="single" w:sz="8" w:color="auto"/>
            </w:tcBorders>
          </w:tcPr>
          <w:p>
            <w:pPr>
              <w:spacing w:after="0"/>
              <w:rPr>
                <w:sz w:val="11"/>
                <w:szCs w:val="11"/>
                <w:color w:val="auto"/>
              </w:rPr>
            </w:pPr>
          </w:p>
        </w:tc>
      </w:tr>
      <w:tr>
        <w:trPr>
          <w:trHeight w:val="132"/>
        </w:trPr>
        <w:tc>
          <w:tcPr>
            <w:tcW w:w="7900" w:type="dxa"/>
            <w:vAlign w:val="bottom"/>
            <w:tcBorders>
              <w:bottom w:val="single" w:sz="8" w:color="CCEEFF"/>
            </w:tcBorders>
          </w:tcPr>
          <w:p>
            <w:pPr>
              <w:spacing w:after="0"/>
              <w:rPr>
                <w:sz w:val="11"/>
                <w:szCs w:val="1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March 31, 2021</w:t>
            </w:r>
          </w:p>
        </w:tc>
        <w:tc>
          <w:tcPr>
            <w:tcW w:w="4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399"/>
              <w:spacing w:after="0"/>
              <w:rPr>
                <w:sz w:val="20"/>
                <w:szCs w:val="20"/>
                <w:color w:val="auto"/>
              </w:rPr>
            </w:pPr>
            <w:r>
              <w:rPr>
                <w:rFonts w:ascii="Arial" w:cs="Arial" w:eastAsia="Arial" w:hAnsi="Arial"/>
                <w:sz w:val="10"/>
                <w:szCs w:val="10"/>
                <w:b w:val="1"/>
                <w:bCs w:val="1"/>
                <w:color w:val="auto"/>
                <w:w w:val="98"/>
              </w:rPr>
              <w:t>March 31, 2020</w:t>
            </w:r>
          </w:p>
        </w:tc>
      </w:tr>
      <w:tr>
        <w:trPr>
          <w:trHeight w:val="165"/>
        </w:trPr>
        <w:tc>
          <w:tcPr>
            <w:tcW w:w="7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automotive cash provided by (used in) operating activities</w:t>
            </w:r>
          </w:p>
        </w:tc>
        <w:tc>
          <w:tcPr>
            <w:tcW w:w="1180" w:type="dxa"/>
            <w:vAlign w:val="bottom"/>
            <w:shd w:val="clear" w:color="auto" w:fill="CCEEFF"/>
          </w:tcPr>
          <w:p>
            <w:pPr>
              <w:jc w:val="right"/>
              <w:ind w:right="1041"/>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(1,096)</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337</w:t>
            </w:r>
          </w:p>
        </w:tc>
      </w:tr>
      <w:tr>
        <w:trPr>
          <w:trHeight w:val="168"/>
        </w:trPr>
        <w:tc>
          <w:tcPr>
            <w:tcW w:w="7900" w:type="dxa"/>
            <w:vAlign w:val="bottom"/>
          </w:tcPr>
          <w:p>
            <w:pPr>
              <w:ind w:left="20"/>
              <w:spacing w:after="0"/>
              <w:rPr>
                <w:sz w:val="20"/>
                <w:szCs w:val="20"/>
                <w:color w:val="auto"/>
              </w:rPr>
            </w:pPr>
            <w:r>
              <w:rPr>
                <w:rFonts w:ascii="Arial" w:cs="Arial" w:eastAsia="Arial" w:hAnsi="Arial"/>
                <w:sz w:val="13"/>
                <w:szCs w:val="13"/>
                <w:color w:val="auto"/>
              </w:rPr>
              <w:t>Less: Capital expenditures</w:t>
            </w:r>
          </w:p>
        </w:tc>
        <w:tc>
          <w:tcPr>
            <w:tcW w:w="11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(860)</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(1,205)</w:t>
            </w:r>
          </w:p>
        </w:tc>
      </w:tr>
      <w:tr>
        <w:trPr>
          <w:trHeight w:val="172"/>
        </w:trPr>
        <w:tc>
          <w:tcPr>
            <w:tcW w:w="7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 GMI restructuring</w:t>
            </w:r>
          </w:p>
        </w:tc>
        <w:tc>
          <w:tcPr>
            <w:tcW w:w="11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r>
      <w:tr>
        <w:trPr>
          <w:trHeight w:val="168"/>
        </w:trPr>
        <w:tc>
          <w:tcPr>
            <w:tcW w:w="7900" w:type="dxa"/>
            <w:vAlign w:val="bottom"/>
          </w:tcPr>
          <w:p>
            <w:pPr>
              <w:ind w:left="20"/>
              <w:spacing w:after="0"/>
              <w:rPr>
                <w:sz w:val="20"/>
                <w:szCs w:val="20"/>
                <w:color w:val="auto"/>
              </w:rPr>
            </w:pPr>
            <w:r>
              <w:rPr>
                <w:rFonts w:ascii="Arial" w:cs="Arial" w:eastAsia="Arial" w:hAnsi="Arial"/>
                <w:sz w:val="13"/>
                <w:szCs w:val="13"/>
                <w:color w:val="auto"/>
              </w:rPr>
              <w:t>Less: GM Brazil indirect tax recoveries</w:t>
            </w:r>
          </w:p>
        </w:tc>
        <w:tc>
          <w:tcPr>
            <w:tcW w:w="118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(58)</w:t>
            </w:r>
          </w:p>
        </w:tc>
      </w:tr>
      <w:tr>
        <w:trPr>
          <w:trHeight w:val="188"/>
        </w:trPr>
        <w:tc>
          <w:tcPr>
            <w:tcW w:w="7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Adjusted automotive free cash flow</w:t>
            </w:r>
          </w:p>
        </w:tc>
        <w:tc>
          <w:tcPr>
            <w:tcW w:w="1180" w:type="dxa"/>
            <w:vAlign w:val="bottom"/>
            <w:tcBorders>
              <w:top w:val="single" w:sz="8" w:color="auto"/>
              <w:bottom w:val="single" w:sz="8" w:color="auto"/>
            </w:tcBorders>
            <w:shd w:val="clear" w:color="auto" w:fill="CCEEFF"/>
          </w:tcPr>
          <w:p>
            <w:pPr>
              <w:jc w:val="right"/>
              <w:ind w:right="1041"/>
              <w:spacing w:after="0"/>
              <w:rPr>
                <w:sz w:val="20"/>
                <w:szCs w:val="20"/>
                <w:color w:val="auto"/>
              </w:rPr>
            </w:pPr>
            <w:r>
              <w:rPr>
                <w:rFonts w:ascii="Arial" w:cs="Arial" w:eastAsia="Arial" w:hAnsi="Arial"/>
                <w:sz w:val="13"/>
                <w:szCs w:val="13"/>
                <w:color w:val="auto"/>
                <w:w w:val="82"/>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(1,932)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(903)</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tables summarize key financial information by segment (dollars in millions):</w:t>
      </w:r>
    </w:p>
    <w:p>
      <w:pPr>
        <w:spacing w:after="0" w:line="86" w:lineRule="exact"/>
        <w:rPr>
          <w:sz w:val="20"/>
          <w:szCs w:val="20"/>
          <w:color w:val="auto"/>
        </w:rPr>
      </w:pPr>
    </w:p>
    <w:tbl>
      <w:tblPr>
        <w:tblLayout w:type="fixed"/>
        <w:tblInd w:w="40" w:type="dxa"/>
        <w:tblCellMar>
          <w:top w:w="0" w:type="dxa"/>
          <w:left w:w="0" w:type="dxa"/>
          <w:bottom w:w="0" w:type="dxa"/>
          <w:right w:w="0" w:type="dxa"/>
        </w:tblCellMar>
      </w:tblPr>
      <w:tr>
        <w:trPr>
          <w:trHeight w:val="92"/>
        </w:trPr>
        <w:tc>
          <w:tcPr>
            <w:tcW w:w="2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gridSpan w:val="2"/>
            <w:vMerge w:val="restart"/>
          </w:tcPr>
          <w:p>
            <w:pPr>
              <w:ind w:left="80"/>
              <w:spacing w:after="0"/>
              <w:rPr>
                <w:sz w:val="20"/>
                <w:szCs w:val="20"/>
                <w:color w:val="auto"/>
              </w:rPr>
            </w:pPr>
            <w:r>
              <w:rPr>
                <w:rFonts w:ascii="Arial" w:cs="Arial" w:eastAsia="Arial" w:hAnsi="Arial"/>
                <w:sz w:val="8"/>
                <w:szCs w:val="8"/>
                <w:b w:val="1"/>
                <w:bCs w:val="1"/>
                <w:color w:val="auto"/>
              </w:rPr>
              <w:t>GMNA</w:t>
            </w:r>
          </w:p>
        </w:tc>
        <w:tc>
          <w:tcPr>
            <w:tcW w:w="160" w:type="dxa"/>
            <w:vAlign w:val="bottom"/>
          </w:tcPr>
          <w:p>
            <w:pPr>
              <w:spacing w:after="0"/>
              <w:rPr>
                <w:sz w:val="7"/>
                <w:szCs w:val="7"/>
                <w:color w:val="auto"/>
              </w:rPr>
            </w:pPr>
          </w:p>
        </w:tc>
        <w:tc>
          <w:tcPr>
            <w:tcW w:w="660" w:type="dxa"/>
            <w:vAlign w:val="bottom"/>
            <w:gridSpan w:val="2"/>
            <w:vMerge w:val="restart"/>
          </w:tcPr>
          <w:p>
            <w:pPr>
              <w:ind w:left="120"/>
              <w:spacing w:after="0"/>
              <w:rPr>
                <w:sz w:val="20"/>
                <w:szCs w:val="20"/>
                <w:color w:val="auto"/>
              </w:rPr>
            </w:pPr>
            <w:r>
              <w:rPr>
                <w:rFonts w:ascii="Arial" w:cs="Arial" w:eastAsia="Arial" w:hAnsi="Arial"/>
                <w:sz w:val="8"/>
                <w:szCs w:val="8"/>
                <w:b w:val="1"/>
                <w:bCs w:val="1"/>
                <w:color w:val="auto"/>
              </w:rPr>
              <w:t>GMI</w:t>
            </w:r>
          </w:p>
        </w:tc>
        <w:tc>
          <w:tcPr>
            <w:tcW w:w="120" w:type="dxa"/>
            <w:vAlign w:val="bottom"/>
          </w:tcPr>
          <w:p>
            <w:pPr>
              <w:spacing w:after="0"/>
              <w:rPr>
                <w:sz w:val="7"/>
                <w:szCs w:val="7"/>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Corporate</w:t>
            </w:r>
          </w:p>
        </w:tc>
        <w:tc>
          <w:tcPr>
            <w:tcW w:w="140" w:type="dxa"/>
            <w:vAlign w:val="bottom"/>
          </w:tcPr>
          <w:p>
            <w:pPr>
              <w:spacing w:after="0"/>
              <w:rPr>
                <w:sz w:val="7"/>
                <w:szCs w:val="7"/>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8"/>
                <w:szCs w:val="8"/>
                <w:b w:val="1"/>
                <w:bCs w:val="1"/>
                <w:color w:val="auto"/>
              </w:rPr>
              <w:t>Eliminations</w:t>
            </w:r>
          </w:p>
        </w:tc>
        <w:tc>
          <w:tcPr>
            <w:tcW w:w="160" w:type="dxa"/>
            <w:vAlign w:val="bottom"/>
          </w:tcPr>
          <w:p>
            <w:pPr>
              <w:spacing w:after="0"/>
              <w:rPr>
                <w:sz w:val="7"/>
                <w:szCs w:val="7"/>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8"/>
                <w:szCs w:val="8"/>
                <w:b w:val="1"/>
                <w:bCs w:val="1"/>
                <w:color w:val="auto"/>
              </w:rPr>
              <w:t>Total</w:t>
            </w:r>
          </w:p>
        </w:tc>
        <w:tc>
          <w:tcPr>
            <w:tcW w:w="120" w:type="dxa"/>
            <w:vAlign w:val="bottom"/>
          </w:tcPr>
          <w:p>
            <w:pPr>
              <w:spacing w:after="0"/>
              <w:rPr>
                <w:sz w:val="7"/>
                <w:szCs w:val="7"/>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Cruise</w:t>
            </w:r>
          </w:p>
        </w:tc>
        <w:tc>
          <w:tcPr>
            <w:tcW w:w="140" w:type="dxa"/>
            <w:vAlign w:val="bottom"/>
          </w:tcPr>
          <w:p>
            <w:pPr>
              <w:spacing w:after="0"/>
              <w:rPr>
                <w:sz w:val="7"/>
                <w:szCs w:val="7"/>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rPr>
              <w:t>GM</w:t>
            </w:r>
          </w:p>
        </w:tc>
        <w:tc>
          <w:tcPr>
            <w:tcW w:w="1380" w:type="dxa"/>
            <w:vAlign w:val="bottom"/>
            <w:gridSpan w:val="3"/>
            <w:vMerge w:val="restart"/>
          </w:tcPr>
          <w:p>
            <w:pPr>
              <w:ind w:left="20"/>
              <w:spacing w:after="0"/>
              <w:rPr>
                <w:sz w:val="20"/>
                <w:szCs w:val="20"/>
                <w:color w:val="auto"/>
              </w:rPr>
            </w:pPr>
            <w:r>
              <w:rPr>
                <w:rFonts w:ascii="Arial" w:cs="Arial" w:eastAsia="Arial" w:hAnsi="Arial"/>
                <w:sz w:val="8"/>
                <w:szCs w:val="8"/>
                <w:b w:val="1"/>
                <w:bCs w:val="1"/>
                <w:color w:val="auto"/>
              </w:rPr>
              <w:t>Reclassifications/Eliminations</w:t>
            </w:r>
          </w:p>
        </w:tc>
        <w:tc>
          <w:tcPr>
            <w:tcW w:w="180" w:type="dxa"/>
            <w:vAlign w:val="bottom"/>
          </w:tcPr>
          <w:p>
            <w:pPr>
              <w:spacing w:after="0"/>
              <w:rPr>
                <w:sz w:val="7"/>
                <w:szCs w:val="7"/>
                <w:color w:val="auto"/>
              </w:rPr>
            </w:pPr>
          </w:p>
        </w:tc>
        <w:tc>
          <w:tcPr>
            <w:tcW w:w="620" w:type="dxa"/>
            <w:vAlign w:val="bottom"/>
            <w:vMerge w:val="restart"/>
          </w:tcPr>
          <w:p>
            <w:pPr>
              <w:jc w:val="right"/>
              <w:ind w:right="252"/>
              <w:spacing w:after="0"/>
              <w:rPr>
                <w:sz w:val="20"/>
                <w:szCs w:val="20"/>
                <w:color w:val="auto"/>
              </w:rPr>
            </w:pPr>
            <w:r>
              <w:rPr>
                <w:rFonts w:ascii="Arial" w:cs="Arial" w:eastAsia="Arial" w:hAnsi="Arial"/>
                <w:sz w:val="8"/>
                <w:szCs w:val="8"/>
                <w:b w:val="1"/>
                <w:bCs w:val="1"/>
                <w:color w:val="auto"/>
              </w:rPr>
              <w:t>Total</w:t>
            </w:r>
          </w:p>
        </w:tc>
        <w:tc>
          <w:tcPr>
            <w:tcW w:w="0" w:type="dxa"/>
            <w:vAlign w:val="bottom"/>
          </w:tcPr>
          <w:p>
            <w:pPr>
              <w:spacing w:after="0"/>
              <w:rPr>
                <w:sz w:val="1"/>
                <w:szCs w:val="1"/>
                <w:color w:val="auto"/>
              </w:rPr>
            </w:pPr>
          </w:p>
        </w:tc>
      </w:tr>
      <w:tr>
        <w:trPr>
          <w:trHeight w:val="118"/>
        </w:trPr>
        <w:tc>
          <w:tcPr>
            <w:tcW w:w="2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8"/>
                <w:szCs w:val="8"/>
                <w:b w:val="1"/>
                <w:bCs w:val="1"/>
                <w:color w:val="auto"/>
              </w:rPr>
              <w:t>Automotive</w:t>
            </w:r>
          </w:p>
        </w:tc>
        <w:tc>
          <w:tcPr>
            <w:tcW w:w="12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rPr>
              <w:t>Financial</w:t>
            </w:r>
          </w:p>
        </w:tc>
        <w:tc>
          <w:tcPr>
            <w:tcW w:w="138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880" w:type="dxa"/>
            <w:vAlign w:val="bottom"/>
          </w:tcPr>
          <w:p>
            <w:pPr>
              <w:spacing w:after="0"/>
              <w:rPr>
                <w:sz w:val="20"/>
                <w:szCs w:val="20"/>
                <w:color w:val="auto"/>
              </w:rPr>
            </w:pPr>
            <w:r>
              <w:rPr>
                <w:rFonts w:ascii="Arial" w:cs="Arial" w:eastAsia="Arial" w:hAnsi="Arial"/>
                <w:sz w:val="8"/>
                <w:szCs w:val="8"/>
                <w:b w:val="1"/>
                <w:bCs w:val="1"/>
                <w:color w:val="auto"/>
              </w:rPr>
              <w:t>Three Months Ended March 31, 2021</w:t>
            </w:r>
          </w:p>
        </w:tc>
        <w:tc>
          <w:tcPr>
            <w:tcW w:w="16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2880" w:type="dxa"/>
            <w:vAlign w:val="bottom"/>
            <w:shd w:val="clear" w:color="auto" w:fill="CCEEFF"/>
          </w:tcPr>
          <w:p>
            <w:pPr>
              <w:spacing w:after="0"/>
              <w:rPr>
                <w:sz w:val="20"/>
                <w:szCs w:val="20"/>
                <w:color w:val="auto"/>
              </w:rPr>
            </w:pPr>
            <w:r>
              <w:rPr>
                <w:rFonts w:ascii="Arial" w:cs="Arial" w:eastAsia="Arial" w:hAnsi="Arial"/>
                <w:sz w:val="10"/>
                <w:szCs w:val="10"/>
                <w:color w:val="auto"/>
              </w:rPr>
              <w:t>Net sales and revenue</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25,957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3,086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29,062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3,407</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center"/>
              <w:ind w:left="431"/>
              <w:spacing w:after="0"/>
              <w:rPr>
                <w:sz w:val="20"/>
                <w:szCs w:val="20"/>
                <w:color w:val="auto"/>
              </w:rPr>
            </w:pPr>
            <w:r>
              <w:rPr>
                <w:rFonts w:ascii="Arial" w:cs="Arial" w:eastAsia="Arial" w:hAnsi="Arial"/>
                <w:sz w:val="10"/>
                <w:szCs w:val="10"/>
                <w:color w:val="auto"/>
              </w:rPr>
              <w:t>(25)</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32,474</w:t>
            </w:r>
          </w:p>
        </w:tc>
        <w:tc>
          <w:tcPr>
            <w:tcW w:w="0" w:type="dxa"/>
            <w:vAlign w:val="bottom"/>
          </w:tcPr>
          <w:p>
            <w:pPr>
              <w:spacing w:after="0"/>
              <w:rPr>
                <w:sz w:val="1"/>
                <w:szCs w:val="1"/>
                <w:color w:val="auto"/>
              </w:rPr>
            </w:pPr>
          </w:p>
        </w:tc>
      </w:tr>
      <w:tr>
        <w:trPr>
          <w:trHeight w:val="131"/>
        </w:trPr>
        <w:tc>
          <w:tcPr>
            <w:tcW w:w="2880" w:type="dxa"/>
            <w:vAlign w:val="bottom"/>
          </w:tcPr>
          <w:p>
            <w:pPr>
              <w:spacing w:after="0"/>
              <w:rPr>
                <w:sz w:val="20"/>
                <w:szCs w:val="20"/>
                <w:color w:val="auto"/>
              </w:rPr>
            </w:pPr>
            <w:r>
              <w:rPr>
                <w:rFonts w:ascii="Arial" w:cs="Arial" w:eastAsia="Arial" w:hAnsi="Arial"/>
                <w:sz w:val="10"/>
                <w:szCs w:val="10"/>
                <w:color w:val="auto"/>
              </w:rPr>
              <w:t>Expenditures for property</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12"/>
              <w:spacing w:after="0"/>
              <w:rPr>
                <w:sz w:val="20"/>
                <w:szCs w:val="20"/>
                <w:color w:val="auto"/>
              </w:rPr>
            </w:pPr>
            <w:r>
              <w:rPr>
                <w:rFonts w:ascii="Arial" w:cs="Arial" w:eastAsia="Arial" w:hAnsi="Arial"/>
                <w:sz w:val="10"/>
                <w:szCs w:val="10"/>
                <w:color w:val="auto"/>
              </w:rPr>
              <w:t>764</w:t>
            </w:r>
          </w:p>
        </w:tc>
        <w:tc>
          <w:tcPr>
            <w:tcW w:w="100" w:type="dxa"/>
            <w:vAlign w:val="bottom"/>
          </w:tcPr>
          <w:p>
            <w:pPr>
              <w:spacing w:after="0"/>
              <w:rPr>
                <w:sz w:val="11"/>
                <w:szCs w:val="11"/>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12"/>
              <w:spacing w:after="0"/>
              <w:rPr>
                <w:sz w:val="20"/>
                <w:szCs w:val="20"/>
                <w:color w:val="auto"/>
              </w:rPr>
            </w:pPr>
            <w:r>
              <w:rPr>
                <w:rFonts w:ascii="Arial" w:cs="Arial" w:eastAsia="Arial" w:hAnsi="Arial"/>
                <w:sz w:val="10"/>
                <w:szCs w:val="10"/>
                <w:color w:val="auto"/>
              </w:rPr>
              <w:t>94</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12"/>
              <w:spacing w:after="0"/>
              <w:rPr>
                <w:sz w:val="20"/>
                <w:szCs w:val="20"/>
                <w:color w:val="auto"/>
              </w:rPr>
            </w:pPr>
            <w:r>
              <w:rPr>
                <w:rFonts w:ascii="Arial" w:cs="Arial" w:eastAsia="Arial" w:hAnsi="Arial"/>
                <w:sz w:val="10"/>
                <w:szCs w:val="10"/>
                <w:color w:val="auto"/>
              </w:rPr>
              <w:t>2</w:t>
            </w:r>
          </w:p>
        </w:tc>
        <w:tc>
          <w:tcPr>
            <w:tcW w:w="80" w:type="dxa"/>
            <w:vAlign w:val="bottom"/>
          </w:tcPr>
          <w:p>
            <w:pPr>
              <w:spacing w:after="0"/>
              <w:rPr>
                <w:sz w:val="11"/>
                <w:szCs w:val="11"/>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880" w:type="dxa"/>
            <w:vAlign w:val="bottom"/>
            <w:gridSpan w:val="2"/>
          </w:tcPr>
          <w:p>
            <w:pPr>
              <w:ind w:left="640"/>
              <w:spacing w:after="0"/>
              <w:rPr>
                <w:sz w:val="20"/>
                <w:szCs w:val="20"/>
                <w:color w:val="auto"/>
              </w:rPr>
            </w:pPr>
            <w:r>
              <w:rPr>
                <w:rFonts w:ascii="Arial" w:cs="Arial" w:eastAsia="Arial" w:hAnsi="Arial"/>
                <w:sz w:val="10"/>
                <w:szCs w:val="10"/>
                <w:color w:val="auto"/>
              </w:rPr>
              <w:t>—</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13"/>
              <w:spacing w:after="0"/>
              <w:rPr>
                <w:sz w:val="20"/>
                <w:szCs w:val="20"/>
                <w:color w:val="auto"/>
              </w:rPr>
            </w:pPr>
            <w:r>
              <w:rPr>
                <w:rFonts w:ascii="Arial" w:cs="Arial" w:eastAsia="Arial" w:hAnsi="Arial"/>
                <w:sz w:val="10"/>
                <w:szCs w:val="10"/>
                <w:color w:val="auto"/>
              </w:rPr>
              <w:t>860</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13</w:t>
            </w:r>
          </w:p>
        </w:tc>
        <w:tc>
          <w:tcPr>
            <w:tcW w:w="80" w:type="dxa"/>
            <w:vAlign w:val="bottom"/>
          </w:tcPr>
          <w:p>
            <w:pPr>
              <w:spacing w:after="0"/>
              <w:rPr>
                <w:sz w:val="11"/>
                <w:szCs w:val="11"/>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13"/>
              <w:spacing w:after="0"/>
              <w:rPr>
                <w:sz w:val="20"/>
                <w:szCs w:val="20"/>
                <w:color w:val="auto"/>
              </w:rPr>
            </w:pPr>
            <w:r>
              <w:rPr>
                <w:rFonts w:ascii="Arial" w:cs="Arial" w:eastAsia="Arial" w:hAnsi="Arial"/>
                <w:sz w:val="10"/>
                <w:szCs w:val="10"/>
                <w:color w:val="auto"/>
              </w:rPr>
              <w:t>5</w:t>
            </w:r>
          </w:p>
        </w:tc>
        <w:tc>
          <w:tcPr>
            <w:tcW w:w="8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0"/>
                <w:szCs w:val="10"/>
                <w:color w:val="auto"/>
              </w:rPr>
              <w:t>$</w:t>
            </w:r>
          </w:p>
        </w:tc>
        <w:tc>
          <w:tcPr>
            <w:tcW w:w="820" w:type="dxa"/>
            <w:vAlign w:val="bottom"/>
            <w:gridSpan w:val="2"/>
          </w:tcPr>
          <w:p>
            <w:pPr>
              <w:jc w:val="center"/>
              <w:ind w:left="311"/>
              <w:spacing w:after="0"/>
              <w:rPr>
                <w:sz w:val="20"/>
                <w:szCs w:val="20"/>
                <w:color w:val="auto"/>
              </w:rPr>
            </w:pPr>
            <w:r>
              <w:rPr>
                <w:rFonts w:ascii="Arial" w:cs="Arial" w:eastAsia="Arial" w:hAnsi="Arial"/>
                <w:sz w:val="10"/>
                <w:szCs w:val="10"/>
                <w:color w:val="auto"/>
                <w:w w:val="99"/>
              </w:rPr>
              <w:t>—</w:t>
            </w: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12"/>
              <w:spacing w:after="0"/>
              <w:rPr>
                <w:sz w:val="20"/>
                <w:szCs w:val="20"/>
                <w:color w:val="auto"/>
              </w:rPr>
            </w:pPr>
            <w:r>
              <w:rPr>
                <w:rFonts w:ascii="Arial" w:cs="Arial" w:eastAsia="Arial" w:hAnsi="Arial"/>
                <w:sz w:val="10"/>
                <w:szCs w:val="10"/>
                <w:color w:val="auto"/>
              </w:rPr>
              <w:t>878</w:t>
            </w:r>
          </w:p>
        </w:tc>
        <w:tc>
          <w:tcPr>
            <w:tcW w:w="0" w:type="dxa"/>
            <w:vAlign w:val="bottom"/>
          </w:tcPr>
          <w:p>
            <w:pPr>
              <w:spacing w:after="0"/>
              <w:rPr>
                <w:sz w:val="1"/>
                <w:szCs w:val="1"/>
                <w:color w:val="auto"/>
              </w:rPr>
            </w:pPr>
          </w:p>
        </w:tc>
      </w:tr>
      <w:tr>
        <w:trPr>
          <w:trHeight w:val="145"/>
        </w:trPr>
        <w:tc>
          <w:tcPr>
            <w:tcW w:w="2880" w:type="dxa"/>
            <w:vAlign w:val="bottom"/>
            <w:shd w:val="clear" w:color="auto" w:fill="CCEEFF"/>
          </w:tcPr>
          <w:p>
            <w:pPr>
              <w:spacing w:after="0"/>
              <w:rPr>
                <w:sz w:val="20"/>
                <w:szCs w:val="20"/>
                <w:color w:val="auto"/>
              </w:rPr>
            </w:pPr>
            <w:r>
              <w:rPr>
                <w:rFonts w:ascii="Arial" w:cs="Arial" w:eastAsia="Arial" w:hAnsi="Arial"/>
                <w:sz w:val="10"/>
                <w:szCs w:val="10"/>
                <w:color w:val="auto"/>
              </w:rPr>
              <w:t>Depreciation and amortization</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1,198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132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1,336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1,668</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820" w:type="dxa"/>
            <w:vAlign w:val="bottom"/>
            <w:gridSpan w:val="2"/>
            <w:shd w:val="clear" w:color="auto" w:fill="CCEEFF"/>
          </w:tcPr>
          <w:p>
            <w:pPr>
              <w:jc w:val="center"/>
              <w:ind w:left="311"/>
              <w:spacing w:after="0"/>
              <w:rPr>
                <w:sz w:val="20"/>
                <w:szCs w:val="20"/>
                <w:color w:val="auto"/>
              </w:rPr>
            </w:pPr>
            <w:r>
              <w:rPr>
                <w:rFonts w:ascii="Arial" w:cs="Arial" w:eastAsia="Arial" w:hAnsi="Arial"/>
                <w:sz w:val="10"/>
                <w:szCs w:val="10"/>
                <w:color w:val="auto"/>
                <w:w w:val="99"/>
              </w:rPr>
              <w:t>—</w:t>
            </w: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3,015</w:t>
            </w:r>
          </w:p>
        </w:tc>
        <w:tc>
          <w:tcPr>
            <w:tcW w:w="0" w:type="dxa"/>
            <w:vAlign w:val="bottom"/>
          </w:tcPr>
          <w:p>
            <w:pPr>
              <w:spacing w:after="0"/>
              <w:rPr>
                <w:sz w:val="1"/>
                <w:szCs w:val="1"/>
                <w:color w:val="auto"/>
              </w:rPr>
            </w:pPr>
          </w:p>
        </w:tc>
      </w:tr>
      <w:tr>
        <w:trPr>
          <w:trHeight w:val="131"/>
        </w:trPr>
        <w:tc>
          <w:tcPr>
            <w:tcW w:w="2880" w:type="dxa"/>
            <w:vAlign w:val="bottom"/>
          </w:tcPr>
          <w:p>
            <w:pPr>
              <w:spacing w:after="0"/>
              <w:rPr>
                <w:sz w:val="20"/>
                <w:szCs w:val="20"/>
                <w:color w:val="auto"/>
              </w:rPr>
            </w:pPr>
            <w:r>
              <w:rPr>
                <w:rFonts w:ascii="Arial" w:cs="Arial" w:eastAsia="Arial" w:hAnsi="Arial"/>
                <w:sz w:val="10"/>
                <w:szCs w:val="10"/>
                <w:color w:val="auto"/>
              </w:rPr>
              <w:t>Impairment charges</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880" w:type="dxa"/>
            <w:vAlign w:val="bottom"/>
            <w:gridSpan w:val="2"/>
          </w:tcPr>
          <w:p>
            <w:pPr>
              <w:ind w:left="640"/>
              <w:spacing w:after="0"/>
              <w:rPr>
                <w:sz w:val="20"/>
                <w:szCs w:val="20"/>
                <w:color w:val="auto"/>
              </w:rPr>
            </w:pPr>
            <w:r>
              <w:rPr>
                <w:rFonts w:ascii="Arial" w:cs="Arial" w:eastAsia="Arial" w:hAnsi="Arial"/>
                <w:sz w:val="10"/>
                <w:szCs w:val="10"/>
                <w:color w:val="auto"/>
              </w:rPr>
              <w:t>—</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560" w:type="dxa"/>
            <w:vAlign w:val="bottom"/>
          </w:tcPr>
          <w:p>
            <w:pPr>
              <w:ind w:left="20"/>
              <w:spacing w:after="0"/>
              <w:rPr>
                <w:sz w:val="20"/>
                <w:szCs w:val="20"/>
                <w:color w:val="auto"/>
              </w:rPr>
            </w:pPr>
            <w:r>
              <w:rPr>
                <w:rFonts w:ascii="Arial" w:cs="Arial" w:eastAsia="Arial" w:hAnsi="Arial"/>
                <w:sz w:val="10"/>
                <w:szCs w:val="10"/>
                <w:color w:val="auto"/>
              </w:rPr>
              <w:t>$</w:t>
            </w:r>
          </w:p>
        </w:tc>
        <w:tc>
          <w:tcPr>
            <w:tcW w:w="820" w:type="dxa"/>
            <w:vAlign w:val="bottom"/>
            <w:gridSpan w:val="2"/>
          </w:tcPr>
          <w:p>
            <w:pPr>
              <w:jc w:val="center"/>
              <w:ind w:left="311"/>
              <w:spacing w:after="0"/>
              <w:rPr>
                <w:sz w:val="20"/>
                <w:szCs w:val="20"/>
                <w:color w:val="auto"/>
              </w:rPr>
            </w:pPr>
            <w:r>
              <w:rPr>
                <w:rFonts w:ascii="Arial" w:cs="Arial" w:eastAsia="Arial" w:hAnsi="Arial"/>
                <w:sz w:val="10"/>
                <w:szCs w:val="10"/>
                <w:color w:val="auto"/>
                <w:w w:val="99"/>
              </w:rPr>
              <w:t>—</w:t>
            </w: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5"/>
        </w:trPr>
        <w:tc>
          <w:tcPr>
            <w:tcW w:w="2880" w:type="dxa"/>
            <w:vAlign w:val="bottom"/>
            <w:shd w:val="clear" w:color="auto" w:fill="CCEEFF"/>
          </w:tcPr>
          <w:p>
            <w:pPr>
              <w:spacing w:after="0"/>
              <w:rPr>
                <w:sz w:val="20"/>
                <w:szCs w:val="20"/>
                <w:color w:val="auto"/>
              </w:rPr>
            </w:pPr>
            <w:r>
              <w:rPr>
                <w:rFonts w:ascii="Arial" w:cs="Arial" w:eastAsia="Arial" w:hAnsi="Arial"/>
                <w:sz w:val="10"/>
                <w:szCs w:val="10"/>
                <w:color w:val="auto"/>
              </w:rPr>
              <w:t>Equity income(a)</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307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311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54</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820" w:type="dxa"/>
            <w:vAlign w:val="bottom"/>
            <w:gridSpan w:val="2"/>
            <w:shd w:val="clear" w:color="auto" w:fill="CCEEFF"/>
          </w:tcPr>
          <w:p>
            <w:pPr>
              <w:jc w:val="center"/>
              <w:ind w:left="311"/>
              <w:spacing w:after="0"/>
              <w:rPr>
                <w:sz w:val="20"/>
                <w:szCs w:val="20"/>
                <w:color w:val="auto"/>
              </w:rPr>
            </w:pPr>
            <w:r>
              <w:rPr>
                <w:rFonts w:ascii="Arial" w:cs="Arial" w:eastAsia="Arial" w:hAnsi="Arial"/>
                <w:sz w:val="10"/>
                <w:szCs w:val="10"/>
                <w:color w:val="auto"/>
                <w:w w:val="99"/>
              </w:rPr>
              <w:t>—</w:t>
            </w: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365</w:t>
            </w:r>
          </w:p>
        </w:tc>
        <w:tc>
          <w:tcPr>
            <w:tcW w:w="0" w:type="dxa"/>
            <w:vAlign w:val="bottom"/>
          </w:tcPr>
          <w:p>
            <w:pPr>
              <w:spacing w:after="0"/>
              <w:rPr>
                <w:sz w:val="1"/>
                <w:szCs w:val="1"/>
                <w:color w:val="auto"/>
              </w:rPr>
            </w:pPr>
          </w:p>
        </w:tc>
      </w:tr>
      <w:tr>
        <w:trPr>
          <w:trHeight w:val="297"/>
        </w:trPr>
        <w:tc>
          <w:tcPr>
            <w:tcW w:w="2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gridSpan w:val="2"/>
            <w:vMerge w:val="restart"/>
          </w:tcPr>
          <w:p>
            <w:pPr>
              <w:ind w:left="80"/>
              <w:spacing w:after="0"/>
              <w:rPr>
                <w:sz w:val="20"/>
                <w:szCs w:val="20"/>
                <w:color w:val="auto"/>
              </w:rPr>
            </w:pPr>
            <w:r>
              <w:rPr>
                <w:rFonts w:ascii="Arial" w:cs="Arial" w:eastAsia="Arial" w:hAnsi="Arial"/>
                <w:sz w:val="8"/>
                <w:szCs w:val="8"/>
                <w:b w:val="1"/>
                <w:bCs w:val="1"/>
                <w:color w:val="auto"/>
              </w:rPr>
              <w:t>GMNA</w:t>
            </w:r>
          </w:p>
        </w:tc>
        <w:tc>
          <w:tcPr>
            <w:tcW w:w="160" w:type="dxa"/>
            <w:vAlign w:val="bottom"/>
          </w:tcPr>
          <w:p>
            <w:pPr>
              <w:spacing w:after="0"/>
              <w:rPr>
                <w:sz w:val="24"/>
                <w:szCs w:val="24"/>
                <w:color w:val="auto"/>
              </w:rPr>
            </w:pPr>
          </w:p>
        </w:tc>
        <w:tc>
          <w:tcPr>
            <w:tcW w:w="660" w:type="dxa"/>
            <w:vAlign w:val="bottom"/>
            <w:gridSpan w:val="2"/>
            <w:vMerge w:val="restart"/>
          </w:tcPr>
          <w:p>
            <w:pPr>
              <w:ind w:left="120"/>
              <w:spacing w:after="0"/>
              <w:rPr>
                <w:sz w:val="20"/>
                <w:szCs w:val="20"/>
                <w:color w:val="auto"/>
              </w:rPr>
            </w:pPr>
            <w:r>
              <w:rPr>
                <w:rFonts w:ascii="Arial" w:cs="Arial" w:eastAsia="Arial" w:hAnsi="Arial"/>
                <w:sz w:val="8"/>
                <w:szCs w:val="8"/>
                <w:b w:val="1"/>
                <w:bCs w:val="1"/>
                <w:color w:val="auto"/>
              </w:rPr>
              <w:t>GMI</w:t>
            </w:r>
          </w:p>
        </w:tc>
        <w:tc>
          <w:tcPr>
            <w:tcW w:w="120" w:type="dxa"/>
            <w:vAlign w:val="bottom"/>
          </w:tcPr>
          <w:p>
            <w:pPr>
              <w:spacing w:after="0"/>
              <w:rPr>
                <w:sz w:val="24"/>
                <w:szCs w:val="2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Corporate</w:t>
            </w:r>
          </w:p>
        </w:tc>
        <w:tc>
          <w:tcPr>
            <w:tcW w:w="140" w:type="dxa"/>
            <w:vAlign w:val="bottom"/>
          </w:tcPr>
          <w:p>
            <w:pPr>
              <w:spacing w:after="0"/>
              <w:rPr>
                <w:sz w:val="24"/>
                <w:szCs w:val="24"/>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8"/>
                <w:szCs w:val="8"/>
                <w:b w:val="1"/>
                <w:bCs w:val="1"/>
                <w:color w:val="auto"/>
              </w:rPr>
              <w:t>Eliminations</w:t>
            </w:r>
          </w:p>
        </w:tc>
        <w:tc>
          <w:tcPr>
            <w:tcW w:w="160" w:type="dxa"/>
            <w:vAlign w:val="bottom"/>
          </w:tcPr>
          <w:p>
            <w:pPr>
              <w:spacing w:after="0"/>
              <w:rPr>
                <w:sz w:val="24"/>
                <w:szCs w:val="2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8"/>
                <w:szCs w:val="8"/>
                <w:b w:val="1"/>
                <w:bCs w:val="1"/>
                <w:color w:val="auto"/>
              </w:rPr>
              <w:t>Total</w:t>
            </w:r>
          </w:p>
        </w:tc>
        <w:tc>
          <w:tcPr>
            <w:tcW w:w="120" w:type="dxa"/>
            <w:vAlign w:val="bottom"/>
          </w:tcPr>
          <w:p>
            <w:pPr>
              <w:spacing w:after="0"/>
              <w:rPr>
                <w:sz w:val="24"/>
                <w:szCs w:val="24"/>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Cruise</w:t>
            </w:r>
          </w:p>
        </w:tc>
        <w:tc>
          <w:tcPr>
            <w:tcW w:w="140" w:type="dxa"/>
            <w:vAlign w:val="bottom"/>
          </w:tcPr>
          <w:p>
            <w:pPr>
              <w:spacing w:after="0"/>
              <w:rPr>
                <w:sz w:val="24"/>
                <w:szCs w:val="24"/>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rPr>
              <w:t>GM</w:t>
            </w:r>
          </w:p>
        </w:tc>
        <w:tc>
          <w:tcPr>
            <w:tcW w:w="1380" w:type="dxa"/>
            <w:vAlign w:val="bottom"/>
            <w:gridSpan w:val="3"/>
            <w:vMerge w:val="restart"/>
          </w:tcPr>
          <w:p>
            <w:pPr>
              <w:ind w:left="20"/>
              <w:spacing w:after="0"/>
              <w:rPr>
                <w:sz w:val="20"/>
                <w:szCs w:val="20"/>
                <w:color w:val="auto"/>
              </w:rPr>
            </w:pPr>
            <w:r>
              <w:rPr>
                <w:rFonts w:ascii="Arial" w:cs="Arial" w:eastAsia="Arial" w:hAnsi="Arial"/>
                <w:sz w:val="8"/>
                <w:szCs w:val="8"/>
                <w:b w:val="1"/>
                <w:bCs w:val="1"/>
                <w:color w:val="auto"/>
              </w:rPr>
              <w:t>Reclassifications/Eliminations</w:t>
            </w:r>
          </w:p>
        </w:tc>
        <w:tc>
          <w:tcPr>
            <w:tcW w:w="180" w:type="dxa"/>
            <w:vAlign w:val="bottom"/>
          </w:tcPr>
          <w:p>
            <w:pPr>
              <w:spacing w:after="0"/>
              <w:rPr>
                <w:sz w:val="24"/>
                <w:szCs w:val="24"/>
                <w:color w:val="auto"/>
              </w:rPr>
            </w:pPr>
          </w:p>
        </w:tc>
        <w:tc>
          <w:tcPr>
            <w:tcW w:w="620" w:type="dxa"/>
            <w:vAlign w:val="bottom"/>
            <w:vMerge w:val="restart"/>
          </w:tcPr>
          <w:p>
            <w:pPr>
              <w:jc w:val="right"/>
              <w:ind w:right="252"/>
              <w:spacing w:after="0"/>
              <w:rPr>
                <w:sz w:val="20"/>
                <w:szCs w:val="20"/>
                <w:color w:val="auto"/>
              </w:rPr>
            </w:pPr>
            <w:r>
              <w:rPr>
                <w:rFonts w:ascii="Arial" w:cs="Arial" w:eastAsia="Arial" w:hAnsi="Arial"/>
                <w:sz w:val="8"/>
                <w:szCs w:val="8"/>
                <w:b w:val="1"/>
                <w:bCs w:val="1"/>
                <w:color w:val="auto"/>
              </w:rPr>
              <w:t>Total</w:t>
            </w:r>
          </w:p>
        </w:tc>
        <w:tc>
          <w:tcPr>
            <w:tcW w:w="0" w:type="dxa"/>
            <w:vAlign w:val="bottom"/>
          </w:tcPr>
          <w:p>
            <w:pPr>
              <w:spacing w:after="0"/>
              <w:rPr>
                <w:sz w:val="1"/>
                <w:szCs w:val="1"/>
                <w:color w:val="auto"/>
              </w:rPr>
            </w:pPr>
          </w:p>
        </w:tc>
      </w:tr>
      <w:tr>
        <w:trPr>
          <w:trHeight w:val="118"/>
        </w:trPr>
        <w:tc>
          <w:tcPr>
            <w:tcW w:w="2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8"/>
                <w:szCs w:val="8"/>
                <w:b w:val="1"/>
                <w:bCs w:val="1"/>
                <w:color w:val="auto"/>
              </w:rPr>
              <w:t>Automotive</w:t>
            </w:r>
          </w:p>
        </w:tc>
        <w:tc>
          <w:tcPr>
            <w:tcW w:w="12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rPr>
              <w:t>Financial</w:t>
            </w:r>
          </w:p>
        </w:tc>
        <w:tc>
          <w:tcPr>
            <w:tcW w:w="138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880" w:type="dxa"/>
            <w:vAlign w:val="bottom"/>
          </w:tcPr>
          <w:p>
            <w:pPr>
              <w:spacing w:after="0"/>
              <w:rPr>
                <w:sz w:val="20"/>
                <w:szCs w:val="20"/>
                <w:color w:val="auto"/>
              </w:rPr>
            </w:pPr>
            <w:r>
              <w:rPr>
                <w:rFonts w:ascii="Arial" w:cs="Arial" w:eastAsia="Arial" w:hAnsi="Arial"/>
                <w:sz w:val="8"/>
                <w:szCs w:val="8"/>
                <w:b w:val="1"/>
                <w:bCs w:val="1"/>
                <w:color w:val="auto"/>
              </w:rPr>
              <w:t>Three Months Ended March 31, 2020</w:t>
            </w:r>
          </w:p>
        </w:tc>
        <w:tc>
          <w:tcPr>
            <w:tcW w:w="16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2880" w:type="dxa"/>
            <w:vAlign w:val="bottom"/>
            <w:shd w:val="clear" w:color="auto" w:fill="CCEEFF"/>
          </w:tcPr>
          <w:p>
            <w:pPr>
              <w:spacing w:after="0"/>
              <w:rPr>
                <w:sz w:val="20"/>
                <w:szCs w:val="20"/>
                <w:color w:val="auto"/>
              </w:rPr>
            </w:pPr>
            <w:r>
              <w:rPr>
                <w:rFonts w:ascii="Arial" w:cs="Arial" w:eastAsia="Arial" w:hAnsi="Arial"/>
                <w:sz w:val="10"/>
                <w:szCs w:val="10"/>
                <w:color w:val="auto"/>
              </w:rPr>
              <w:t>Net sales and revenue</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25,831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3,280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29,149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3,561</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center"/>
              <w:ind w:left="431"/>
              <w:spacing w:after="0"/>
              <w:rPr>
                <w:sz w:val="20"/>
                <w:szCs w:val="20"/>
                <w:color w:val="auto"/>
              </w:rPr>
            </w:pPr>
            <w:r>
              <w:rPr>
                <w:rFonts w:ascii="Arial" w:cs="Arial" w:eastAsia="Arial" w:hAnsi="Arial"/>
                <w:sz w:val="10"/>
                <w:szCs w:val="10"/>
                <w:color w:val="auto"/>
              </w:rPr>
              <w:t>(26)</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32,709</w:t>
            </w:r>
          </w:p>
        </w:tc>
        <w:tc>
          <w:tcPr>
            <w:tcW w:w="0" w:type="dxa"/>
            <w:vAlign w:val="bottom"/>
          </w:tcPr>
          <w:p>
            <w:pPr>
              <w:spacing w:after="0"/>
              <w:rPr>
                <w:sz w:val="1"/>
                <w:szCs w:val="1"/>
                <w:color w:val="auto"/>
              </w:rPr>
            </w:pPr>
          </w:p>
        </w:tc>
      </w:tr>
      <w:tr>
        <w:trPr>
          <w:trHeight w:val="131"/>
        </w:trPr>
        <w:tc>
          <w:tcPr>
            <w:tcW w:w="2880" w:type="dxa"/>
            <w:vAlign w:val="bottom"/>
          </w:tcPr>
          <w:p>
            <w:pPr>
              <w:spacing w:after="0"/>
              <w:rPr>
                <w:sz w:val="20"/>
                <w:szCs w:val="20"/>
                <w:color w:val="auto"/>
              </w:rPr>
            </w:pPr>
            <w:r>
              <w:rPr>
                <w:rFonts w:ascii="Arial" w:cs="Arial" w:eastAsia="Arial" w:hAnsi="Arial"/>
                <w:sz w:val="10"/>
                <w:szCs w:val="10"/>
                <w:color w:val="auto"/>
              </w:rPr>
              <w:t>Expenditures for property</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12"/>
              <w:spacing w:after="0"/>
              <w:rPr>
                <w:sz w:val="20"/>
                <w:szCs w:val="20"/>
                <w:color w:val="auto"/>
              </w:rPr>
            </w:pPr>
            <w:r>
              <w:rPr>
                <w:rFonts w:ascii="Arial" w:cs="Arial" w:eastAsia="Arial" w:hAnsi="Arial"/>
                <w:sz w:val="10"/>
                <w:szCs w:val="10"/>
                <w:color w:val="auto"/>
              </w:rPr>
              <w:t>946</w:t>
            </w:r>
          </w:p>
        </w:tc>
        <w:tc>
          <w:tcPr>
            <w:tcW w:w="100" w:type="dxa"/>
            <w:vAlign w:val="bottom"/>
          </w:tcPr>
          <w:p>
            <w:pPr>
              <w:spacing w:after="0"/>
              <w:rPr>
                <w:sz w:val="11"/>
                <w:szCs w:val="11"/>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12"/>
              <w:spacing w:after="0"/>
              <w:rPr>
                <w:sz w:val="20"/>
                <w:szCs w:val="20"/>
                <w:color w:val="auto"/>
              </w:rPr>
            </w:pPr>
            <w:r>
              <w:rPr>
                <w:rFonts w:ascii="Arial" w:cs="Arial" w:eastAsia="Arial" w:hAnsi="Arial"/>
                <w:sz w:val="10"/>
                <w:szCs w:val="10"/>
                <w:color w:val="auto"/>
              </w:rPr>
              <w:t>255</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12"/>
              <w:spacing w:after="0"/>
              <w:rPr>
                <w:sz w:val="20"/>
                <w:szCs w:val="20"/>
                <w:color w:val="auto"/>
              </w:rPr>
            </w:pPr>
            <w:r>
              <w:rPr>
                <w:rFonts w:ascii="Arial" w:cs="Arial" w:eastAsia="Arial" w:hAnsi="Arial"/>
                <w:sz w:val="10"/>
                <w:szCs w:val="10"/>
                <w:color w:val="auto"/>
              </w:rPr>
              <w:t>4</w:t>
            </w:r>
          </w:p>
        </w:tc>
        <w:tc>
          <w:tcPr>
            <w:tcW w:w="80" w:type="dxa"/>
            <w:vAlign w:val="bottom"/>
          </w:tcPr>
          <w:p>
            <w:pPr>
              <w:spacing w:after="0"/>
              <w:rPr>
                <w:sz w:val="11"/>
                <w:szCs w:val="11"/>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880" w:type="dxa"/>
            <w:vAlign w:val="bottom"/>
            <w:gridSpan w:val="2"/>
          </w:tcPr>
          <w:p>
            <w:pPr>
              <w:ind w:left="640"/>
              <w:spacing w:after="0"/>
              <w:rPr>
                <w:sz w:val="20"/>
                <w:szCs w:val="20"/>
                <w:color w:val="auto"/>
              </w:rPr>
            </w:pPr>
            <w:r>
              <w:rPr>
                <w:rFonts w:ascii="Arial" w:cs="Arial" w:eastAsia="Arial" w:hAnsi="Arial"/>
                <w:sz w:val="10"/>
                <w:szCs w:val="10"/>
                <w:color w:val="auto"/>
              </w:rPr>
              <w:t>—</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13"/>
              <w:spacing w:after="0"/>
              <w:rPr>
                <w:sz w:val="20"/>
                <w:szCs w:val="20"/>
                <w:color w:val="auto"/>
              </w:rPr>
            </w:pPr>
            <w:r>
              <w:rPr>
                <w:rFonts w:ascii="Arial" w:cs="Arial" w:eastAsia="Arial" w:hAnsi="Arial"/>
                <w:sz w:val="10"/>
                <w:szCs w:val="10"/>
                <w:color w:val="auto"/>
              </w:rPr>
              <w:t>1,205</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5</w:t>
            </w:r>
          </w:p>
        </w:tc>
        <w:tc>
          <w:tcPr>
            <w:tcW w:w="80" w:type="dxa"/>
            <w:vAlign w:val="bottom"/>
          </w:tcPr>
          <w:p>
            <w:pPr>
              <w:spacing w:after="0"/>
              <w:rPr>
                <w:sz w:val="11"/>
                <w:szCs w:val="11"/>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13"/>
              <w:spacing w:after="0"/>
              <w:rPr>
                <w:sz w:val="20"/>
                <w:szCs w:val="20"/>
                <w:color w:val="auto"/>
              </w:rPr>
            </w:pPr>
            <w:r>
              <w:rPr>
                <w:rFonts w:ascii="Arial" w:cs="Arial" w:eastAsia="Arial" w:hAnsi="Arial"/>
                <w:sz w:val="10"/>
                <w:szCs w:val="10"/>
                <w:color w:val="auto"/>
              </w:rPr>
              <w:t>14</w:t>
            </w:r>
          </w:p>
        </w:tc>
        <w:tc>
          <w:tcPr>
            <w:tcW w:w="8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0"/>
                <w:szCs w:val="10"/>
                <w:color w:val="auto"/>
              </w:rPr>
              <w:t>$</w:t>
            </w:r>
          </w:p>
        </w:tc>
        <w:tc>
          <w:tcPr>
            <w:tcW w:w="820" w:type="dxa"/>
            <w:vAlign w:val="bottom"/>
            <w:gridSpan w:val="2"/>
          </w:tcPr>
          <w:p>
            <w:pPr>
              <w:jc w:val="center"/>
              <w:ind w:left="311"/>
              <w:spacing w:after="0"/>
              <w:rPr>
                <w:sz w:val="20"/>
                <w:szCs w:val="20"/>
                <w:color w:val="auto"/>
              </w:rPr>
            </w:pPr>
            <w:r>
              <w:rPr>
                <w:rFonts w:ascii="Arial" w:cs="Arial" w:eastAsia="Arial" w:hAnsi="Arial"/>
                <w:sz w:val="10"/>
                <w:szCs w:val="10"/>
                <w:color w:val="auto"/>
                <w:w w:val="99"/>
              </w:rPr>
              <w:t>—</w:t>
            </w: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12"/>
              <w:spacing w:after="0"/>
              <w:rPr>
                <w:sz w:val="20"/>
                <w:szCs w:val="20"/>
                <w:color w:val="auto"/>
              </w:rPr>
            </w:pPr>
            <w:r>
              <w:rPr>
                <w:rFonts w:ascii="Arial" w:cs="Arial" w:eastAsia="Arial" w:hAnsi="Arial"/>
                <w:sz w:val="10"/>
                <w:szCs w:val="10"/>
                <w:color w:val="auto"/>
              </w:rPr>
              <w:t>1,224</w:t>
            </w:r>
          </w:p>
        </w:tc>
        <w:tc>
          <w:tcPr>
            <w:tcW w:w="0" w:type="dxa"/>
            <w:vAlign w:val="bottom"/>
          </w:tcPr>
          <w:p>
            <w:pPr>
              <w:spacing w:after="0"/>
              <w:rPr>
                <w:sz w:val="1"/>
                <w:szCs w:val="1"/>
                <w:color w:val="auto"/>
              </w:rPr>
            </w:pPr>
          </w:p>
        </w:tc>
      </w:tr>
      <w:tr>
        <w:trPr>
          <w:trHeight w:val="145"/>
        </w:trPr>
        <w:tc>
          <w:tcPr>
            <w:tcW w:w="2880" w:type="dxa"/>
            <w:vAlign w:val="bottom"/>
            <w:shd w:val="clear" w:color="auto" w:fill="CCEEFF"/>
          </w:tcPr>
          <w:p>
            <w:pPr>
              <w:spacing w:after="0"/>
              <w:rPr>
                <w:sz w:val="20"/>
                <w:szCs w:val="20"/>
                <w:color w:val="auto"/>
              </w:rPr>
            </w:pPr>
            <w:r>
              <w:rPr>
                <w:rFonts w:ascii="Arial" w:cs="Arial" w:eastAsia="Arial" w:hAnsi="Arial"/>
                <w:sz w:val="10"/>
                <w:szCs w:val="10"/>
                <w:color w:val="auto"/>
              </w:rPr>
              <w:t>Depreciation and amortization</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1,227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166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1,402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1,788</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820" w:type="dxa"/>
            <w:vAlign w:val="bottom"/>
            <w:gridSpan w:val="2"/>
            <w:shd w:val="clear" w:color="auto" w:fill="CCEEFF"/>
          </w:tcPr>
          <w:p>
            <w:pPr>
              <w:jc w:val="center"/>
              <w:ind w:left="311"/>
              <w:spacing w:after="0"/>
              <w:rPr>
                <w:sz w:val="20"/>
                <w:szCs w:val="20"/>
                <w:color w:val="auto"/>
              </w:rPr>
            </w:pPr>
            <w:r>
              <w:rPr>
                <w:rFonts w:ascii="Arial" w:cs="Arial" w:eastAsia="Arial" w:hAnsi="Arial"/>
                <w:sz w:val="10"/>
                <w:szCs w:val="10"/>
                <w:color w:val="auto"/>
                <w:w w:val="99"/>
              </w:rPr>
              <w:t>—</w:t>
            </w: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3,198</w:t>
            </w:r>
          </w:p>
        </w:tc>
        <w:tc>
          <w:tcPr>
            <w:tcW w:w="0" w:type="dxa"/>
            <w:vAlign w:val="bottom"/>
          </w:tcPr>
          <w:p>
            <w:pPr>
              <w:spacing w:after="0"/>
              <w:rPr>
                <w:sz w:val="1"/>
                <w:szCs w:val="1"/>
                <w:color w:val="auto"/>
              </w:rPr>
            </w:pPr>
          </w:p>
        </w:tc>
      </w:tr>
      <w:tr>
        <w:trPr>
          <w:trHeight w:val="131"/>
        </w:trPr>
        <w:tc>
          <w:tcPr>
            <w:tcW w:w="2880" w:type="dxa"/>
            <w:vAlign w:val="bottom"/>
          </w:tcPr>
          <w:p>
            <w:pPr>
              <w:spacing w:after="0"/>
              <w:rPr>
                <w:sz w:val="20"/>
                <w:szCs w:val="20"/>
                <w:color w:val="auto"/>
              </w:rPr>
            </w:pPr>
            <w:r>
              <w:rPr>
                <w:rFonts w:ascii="Arial" w:cs="Arial" w:eastAsia="Arial" w:hAnsi="Arial"/>
                <w:sz w:val="10"/>
                <w:szCs w:val="10"/>
                <w:color w:val="auto"/>
              </w:rPr>
              <w:t>Impairment charges</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12"/>
              <w:spacing w:after="0"/>
              <w:rPr>
                <w:sz w:val="20"/>
                <w:szCs w:val="20"/>
                <w:color w:val="auto"/>
              </w:rPr>
            </w:pPr>
            <w:r>
              <w:rPr>
                <w:rFonts w:ascii="Arial" w:cs="Arial" w:eastAsia="Arial" w:hAnsi="Arial"/>
                <w:sz w:val="10"/>
                <w:szCs w:val="10"/>
                <w:color w:val="auto"/>
              </w:rPr>
              <w:t>20</w:t>
            </w:r>
          </w:p>
        </w:tc>
        <w:tc>
          <w:tcPr>
            <w:tcW w:w="100" w:type="dxa"/>
            <w:vAlign w:val="bottom"/>
          </w:tcPr>
          <w:p>
            <w:pPr>
              <w:spacing w:after="0"/>
              <w:rPr>
                <w:sz w:val="11"/>
                <w:szCs w:val="11"/>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12"/>
              <w:spacing w:after="0"/>
              <w:rPr>
                <w:sz w:val="20"/>
                <w:szCs w:val="20"/>
                <w:color w:val="auto"/>
              </w:rPr>
            </w:pPr>
            <w:r>
              <w:rPr>
                <w:rFonts w:ascii="Arial" w:cs="Arial" w:eastAsia="Arial" w:hAnsi="Arial"/>
                <w:sz w:val="10"/>
                <w:szCs w:val="10"/>
                <w:color w:val="auto"/>
              </w:rPr>
              <w:t>90</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880" w:type="dxa"/>
            <w:vAlign w:val="bottom"/>
            <w:gridSpan w:val="2"/>
          </w:tcPr>
          <w:p>
            <w:pPr>
              <w:ind w:left="640"/>
              <w:spacing w:after="0"/>
              <w:rPr>
                <w:sz w:val="20"/>
                <w:szCs w:val="20"/>
                <w:color w:val="auto"/>
              </w:rPr>
            </w:pPr>
            <w:r>
              <w:rPr>
                <w:rFonts w:ascii="Arial" w:cs="Arial" w:eastAsia="Arial" w:hAnsi="Arial"/>
                <w:sz w:val="10"/>
                <w:szCs w:val="10"/>
                <w:color w:val="auto"/>
              </w:rPr>
              <w:t>—</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13"/>
              <w:spacing w:after="0"/>
              <w:rPr>
                <w:sz w:val="20"/>
                <w:szCs w:val="20"/>
                <w:color w:val="auto"/>
              </w:rPr>
            </w:pPr>
            <w:r>
              <w:rPr>
                <w:rFonts w:ascii="Arial" w:cs="Arial" w:eastAsia="Arial" w:hAnsi="Arial"/>
                <w:sz w:val="10"/>
                <w:szCs w:val="10"/>
                <w:color w:val="auto"/>
              </w:rPr>
              <w:t>110</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560" w:type="dxa"/>
            <w:vAlign w:val="bottom"/>
          </w:tcPr>
          <w:p>
            <w:pPr>
              <w:ind w:left="20"/>
              <w:spacing w:after="0"/>
              <w:rPr>
                <w:sz w:val="20"/>
                <w:szCs w:val="20"/>
                <w:color w:val="auto"/>
              </w:rPr>
            </w:pPr>
            <w:r>
              <w:rPr>
                <w:rFonts w:ascii="Arial" w:cs="Arial" w:eastAsia="Arial" w:hAnsi="Arial"/>
                <w:sz w:val="10"/>
                <w:szCs w:val="10"/>
                <w:color w:val="auto"/>
              </w:rPr>
              <w:t>$</w:t>
            </w:r>
          </w:p>
        </w:tc>
        <w:tc>
          <w:tcPr>
            <w:tcW w:w="820" w:type="dxa"/>
            <w:vAlign w:val="bottom"/>
            <w:gridSpan w:val="2"/>
          </w:tcPr>
          <w:p>
            <w:pPr>
              <w:jc w:val="center"/>
              <w:ind w:left="311"/>
              <w:spacing w:after="0"/>
              <w:rPr>
                <w:sz w:val="20"/>
                <w:szCs w:val="20"/>
                <w:color w:val="auto"/>
              </w:rPr>
            </w:pPr>
            <w:r>
              <w:rPr>
                <w:rFonts w:ascii="Arial" w:cs="Arial" w:eastAsia="Arial" w:hAnsi="Arial"/>
                <w:sz w:val="10"/>
                <w:szCs w:val="10"/>
                <w:color w:val="auto"/>
                <w:w w:val="99"/>
              </w:rPr>
              <w:t>—</w:t>
            </w: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12"/>
              <w:spacing w:after="0"/>
              <w:rPr>
                <w:sz w:val="20"/>
                <w:szCs w:val="20"/>
                <w:color w:val="auto"/>
              </w:rPr>
            </w:pPr>
            <w:r>
              <w:rPr>
                <w:rFonts w:ascii="Arial" w:cs="Arial" w:eastAsia="Arial" w:hAnsi="Arial"/>
                <w:sz w:val="10"/>
                <w:szCs w:val="10"/>
                <w:color w:val="auto"/>
              </w:rPr>
              <w:t>110</w:t>
            </w:r>
          </w:p>
        </w:tc>
        <w:tc>
          <w:tcPr>
            <w:tcW w:w="0" w:type="dxa"/>
            <w:vAlign w:val="bottom"/>
          </w:tcPr>
          <w:p>
            <w:pPr>
              <w:spacing w:after="0"/>
              <w:rPr>
                <w:sz w:val="1"/>
                <w:szCs w:val="1"/>
                <w:color w:val="auto"/>
              </w:rPr>
            </w:pPr>
          </w:p>
        </w:tc>
      </w:tr>
      <w:tr>
        <w:trPr>
          <w:trHeight w:val="145"/>
        </w:trPr>
        <w:tc>
          <w:tcPr>
            <w:tcW w:w="2880" w:type="dxa"/>
            <w:vAlign w:val="bottom"/>
            <w:shd w:val="clear" w:color="auto" w:fill="CCEEFF"/>
          </w:tcPr>
          <w:p>
            <w:pPr>
              <w:spacing w:after="0"/>
              <w:rPr>
                <w:sz w:val="20"/>
                <w:szCs w:val="20"/>
                <w:color w:val="auto"/>
              </w:rPr>
            </w:pPr>
            <w:r>
              <w:rPr>
                <w:rFonts w:ascii="Arial" w:cs="Arial" w:eastAsia="Arial" w:hAnsi="Arial"/>
                <w:sz w:val="10"/>
                <w:szCs w:val="10"/>
                <w:color w:val="auto"/>
              </w:rPr>
              <w:t>Equity income (loss)(a)</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25</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820" w:type="dxa"/>
            <w:vAlign w:val="bottom"/>
            <w:gridSpan w:val="2"/>
            <w:shd w:val="clear" w:color="auto" w:fill="CCEEFF"/>
          </w:tcPr>
          <w:p>
            <w:pPr>
              <w:jc w:val="center"/>
              <w:ind w:left="311"/>
              <w:spacing w:after="0"/>
              <w:rPr>
                <w:sz w:val="20"/>
                <w:szCs w:val="20"/>
                <w:color w:val="auto"/>
              </w:rPr>
            </w:pPr>
            <w:r>
              <w:rPr>
                <w:rFonts w:ascii="Arial" w:cs="Arial" w:eastAsia="Arial" w:hAnsi="Arial"/>
                <w:sz w:val="10"/>
                <w:szCs w:val="10"/>
                <w:color w:val="auto"/>
                <w:w w:val="99"/>
              </w:rPr>
              <w:t>—</w:t>
            </w: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(132)</w:t>
            </w:r>
          </w:p>
        </w:tc>
        <w:tc>
          <w:tcPr>
            <w:tcW w:w="0" w:type="dxa"/>
            <w:vAlign w:val="bottom"/>
          </w:tcPr>
          <w:p>
            <w:pPr>
              <w:spacing w:after="0"/>
              <w:rPr>
                <w:sz w:val="1"/>
                <w:szCs w:val="1"/>
                <w:color w:val="auto"/>
              </w:rPr>
            </w:pPr>
          </w:p>
        </w:tc>
      </w:tr>
    </w:tbl>
    <w:p>
      <w:pPr>
        <w:spacing w:after="0" w:line="145" w:lineRule="exact"/>
        <w:rPr>
          <w:sz w:val="20"/>
          <w:szCs w:val="20"/>
          <w:color w:val="auto"/>
        </w:rPr>
      </w:pPr>
    </w:p>
    <w:p>
      <w:pPr>
        <w:spacing w:after="0"/>
        <w:rPr>
          <w:sz w:val="20"/>
          <w:szCs w:val="20"/>
          <w:color w:val="auto"/>
        </w:rPr>
      </w:pPr>
      <w:r>
        <w:rPr>
          <w:rFonts w:ascii="Arial" w:cs="Arial" w:eastAsia="Arial" w:hAnsi="Arial"/>
          <w:sz w:val="11"/>
          <w:szCs w:val="11"/>
          <w:color w:val="auto"/>
        </w:rPr>
        <w:t>________</w:t>
      </w:r>
    </w:p>
    <w:p>
      <w:pPr>
        <w:ind w:left="260" w:hanging="255"/>
        <w:spacing w:after="0"/>
        <w:tabs>
          <w:tab w:leader="none" w:pos="260" w:val="left"/>
        </w:tabs>
        <w:numPr>
          <w:ilvl w:val="0"/>
          <w:numId w:val="7"/>
        </w:numPr>
        <w:rPr>
          <w:rFonts w:ascii="Arial" w:cs="Arial" w:eastAsia="Arial" w:hAnsi="Arial"/>
          <w:sz w:val="10"/>
          <w:szCs w:val="10"/>
          <w:color w:val="auto"/>
        </w:rPr>
      </w:pPr>
      <w:r>
        <w:rPr>
          <w:rFonts w:ascii="Arial" w:cs="Arial" w:eastAsia="Arial" w:hAnsi="Arial"/>
          <w:sz w:val="10"/>
          <w:szCs w:val="10"/>
          <w:color w:val="auto"/>
        </w:rPr>
        <w:t>Includes Automotive China equity income of $308 million and Automotive China equity loss of $167 million in the three months ended March 31,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280"/>
          </w:cols>
          <w:pgMar w:left="300" w:top="698" w:right="319" w:bottom="1440" w:gutter="0" w:footer="0" w:header="0"/>
        </w:sectPr>
      </w:pPr>
    </w:p>
    <w:bookmarkStart w:id="15" w:name="page16"/>
    <w:bookmarkEnd w:id="15"/>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1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Vehicle Sales</w:t>
      </w:r>
    </w:p>
    <w:p>
      <w:pPr>
        <w:spacing w:after="0" w:line="206" w:lineRule="exact"/>
        <w:rPr>
          <w:sz w:val="20"/>
          <w:szCs w:val="20"/>
          <w:color w:val="auto"/>
        </w:rPr>
      </w:pPr>
    </w:p>
    <w:p>
      <w:pPr>
        <w:jc w:val="both"/>
        <w:ind w:firstLine="127"/>
        <w:spacing w:after="0" w:line="244" w:lineRule="auto"/>
        <w:rPr>
          <w:sz w:val="20"/>
          <w:szCs w:val="20"/>
          <w:color w:val="auto"/>
        </w:rPr>
      </w:pPr>
      <w:r>
        <w:rPr>
          <w:rFonts w:ascii="Arial" w:cs="Arial" w:eastAsia="Arial" w:hAnsi="Arial"/>
          <w:sz w:val="13"/>
          <w:szCs w:val="13"/>
          <w:color w:val="auto"/>
        </w:rPr>
        <w:t>GM presents both wholesale and total vehicle sales data to assist in the analysis of our revenue and our market share. Cuba, Iran, North Korea, Sudan and Syria are subject to broad economic sanctions. Accordingly, these countries are excluded from industry sales data and the corresponding calculation of GM's market share.</w:t>
      </w:r>
    </w:p>
    <w:p>
      <w:pPr>
        <w:spacing w:after="0" w:line="184" w:lineRule="exact"/>
        <w:rPr>
          <w:sz w:val="20"/>
          <w:szCs w:val="20"/>
          <w:color w:val="auto"/>
        </w:rPr>
      </w:pPr>
    </w:p>
    <w:p>
      <w:pPr>
        <w:jc w:val="both"/>
        <w:ind w:firstLine="127"/>
        <w:spacing w:after="0" w:line="241" w:lineRule="auto"/>
        <w:rPr>
          <w:sz w:val="20"/>
          <w:szCs w:val="20"/>
          <w:color w:val="auto"/>
        </w:rPr>
      </w:pPr>
      <w:r>
        <w:rPr>
          <w:rFonts w:ascii="Arial" w:cs="Arial" w:eastAsia="Arial" w:hAnsi="Arial"/>
          <w:sz w:val="13"/>
          <w:szCs w:val="13"/>
          <w:color w:val="auto"/>
        </w:rPr>
        <w:t>Wholesale vehicle sales data consists of sales to GM's dealers and distributors as well as sales to the U.S. Government and excludes vehicles sold by our joint ventures. Wholesale vehicle sales data correlates to GM's revenue recognized from the sale of vehicles, which is the largest component of Automotive net sales and revenue. In the three months ended March 31, 2021, 29.5% of our wholesale vehicle sales volume was generated outside the U.S. The following table summarizes wholesale vehicle sales by automotive segment (vehicles in thousands):</w:t>
      </w:r>
    </w:p>
    <w:p>
      <w:pPr>
        <w:spacing w:after="0" w:line="83" w:lineRule="exact"/>
        <w:rPr>
          <w:sz w:val="20"/>
          <w:szCs w:val="20"/>
          <w:color w:val="auto"/>
        </w:rPr>
      </w:pPr>
    </w:p>
    <w:p>
      <w:pPr>
        <w:ind w:left="9100"/>
        <w:spacing w:after="0"/>
        <w:rPr>
          <w:sz w:val="20"/>
          <w:szCs w:val="20"/>
          <w:color w:val="auto"/>
        </w:rPr>
      </w:pPr>
      <w:r>
        <w:rPr>
          <w:rFonts w:ascii="Arial" w:cs="Arial" w:eastAsia="Arial" w:hAnsi="Arial"/>
          <w:sz w:val="10"/>
          <w:szCs w:val="10"/>
          <w:b w:val="1"/>
          <w:bCs w:val="1"/>
          <w:color w:val="auto"/>
        </w:rPr>
        <w:t>Three Months Ended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7900" w:type="dxa"/>
            <w:vAlign w:val="bottom"/>
            <w:tcBorders>
              <w:bottom w:val="single" w:sz="8" w:color="CCEEFF"/>
            </w:tcBorders>
          </w:tcPr>
          <w:p>
            <w:pPr>
              <w:spacing w:after="0"/>
              <w:rPr>
                <w:sz w:val="12"/>
                <w:szCs w:val="12"/>
                <w:color w:val="auto"/>
              </w:rPr>
            </w:pPr>
          </w:p>
        </w:tc>
        <w:tc>
          <w:tcPr>
            <w:tcW w:w="128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0"/>
                <w:szCs w:val="10"/>
                <w:b w:val="1"/>
                <w:bCs w:val="1"/>
                <w:color w:val="auto"/>
              </w:rPr>
              <w:t>March 31, 2021</w:t>
            </w:r>
          </w:p>
        </w:tc>
        <w:tc>
          <w:tcPr>
            <w:tcW w:w="3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64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0"/>
                <w:szCs w:val="10"/>
                <w:b w:val="1"/>
                <w:bCs w:val="1"/>
                <w:color w:val="auto"/>
              </w:rPr>
              <w:t>March 31, 2020</w:t>
            </w:r>
          </w:p>
        </w:tc>
      </w:tr>
      <w:tr>
        <w:trPr>
          <w:trHeight w:val="165"/>
        </w:trPr>
        <w:tc>
          <w:tcPr>
            <w:tcW w:w="91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GMNA</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664</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775</w:t>
            </w:r>
          </w:p>
        </w:tc>
      </w:tr>
      <w:tr>
        <w:trPr>
          <w:trHeight w:val="168"/>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GMI</w:t>
            </w:r>
          </w:p>
        </w:tc>
        <w:tc>
          <w:tcPr>
            <w:tcW w:w="12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157</w:t>
            </w:r>
          </w:p>
        </w:tc>
        <w:tc>
          <w:tcPr>
            <w:tcW w:w="10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191</w:t>
            </w:r>
          </w:p>
        </w:tc>
      </w:tr>
      <w:tr>
        <w:trPr>
          <w:trHeight w:val="183"/>
        </w:trPr>
        <w:tc>
          <w:tcPr>
            <w:tcW w:w="91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821</w:t>
            </w: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966</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280"/>
          </w:cols>
          <w:pgMar w:left="300" w:top="698" w:right="319" w:bottom="1440" w:gutter="0" w:footer="0" w:header="0"/>
        </w:sectPr>
      </w:pPr>
    </w:p>
    <w:bookmarkStart w:id="16" w:name="page17"/>
    <w:bookmarkEnd w:id="16"/>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26" w:lineRule="exact"/>
        <w:rPr>
          <w:sz w:val="20"/>
          <w:szCs w:val="20"/>
          <w:color w:val="auto"/>
        </w:rPr>
      </w:pPr>
    </w:p>
    <w:p>
      <w:pPr>
        <w:jc w:val="both"/>
        <w:ind w:firstLine="127"/>
        <w:spacing w:after="0" w:line="239" w:lineRule="auto"/>
        <w:rPr>
          <w:sz w:val="20"/>
          <w:szCs w:val="20"/>
          <w:color w:val="auto"/>
        </w:rPr>
      </w:pPr>
      <w:r>
        <w:rPr>
          <w:rFonts w:ascii="Arial" w:cs="Arial" w:eastAsia="Arial" w:hAnsi="Arial"/>
          <w:sz w:val="13"/>
          <w:szCs w:val="13"/>
          <w:color w:val="auto"/>
        </w:rPr>
        <w:t>Total vehicle sales data represents: (1) retail sales (i.e., sales to consumers who purchase new vehicles from dealers or distributors); (2) fleet sales (i.e., sales to large and small businesses, governments, and daily rental car companies); and (3) vehicles used by dealers in their businesses, including courtesy transportation vehicles. Total vehicle sales data includes all sales by joint ventures on a total vehicle basis, not based on our percentage ownership interest in the joint venture. Certain joint venture agreements in China allow for the contractual right to report vehicle sales of non-GM trademarked vehicles by those joint ventures, which are included in the total vehicle sales we report for China. While total vehicle sales data does not correlate directly to the revenue GM recognizes during a particular period, we believe it is indicative of the underlying demand for GM vehicles. Total vehicle sales data represents management's good faith estimate based on sales reported by GM's dealers, distributors, and joint ventures, commercially available data sources such as registration and insurance data, and internal estimates and forecasts when other data is not available.</w:t>
      </w:r>
    </w:p>
    <w:p>
      <w:pPr>
        <w:spacing w:after="0" w:line="189"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summarizes total vehicle sales by geographic region (vehicles in thousands):</w:t>
      </w:r>
    </w:p>
    <w:p>
      <w:pPr>
        <w:spacing w:after="0" w:line="87" w:lineRule="exact"/>
        <w:rPr>
          <w:sz w:val="20"/>
          <w:szCs w:val="20"/>
          <w:color w:val="auto"/>
        </w:rPr>
      </w:pPr>
    </w:p>
    <w:p>
      <w:pPr>
        <w:ind w:left="9100"/>
        <w:spacing w:after="0"/>
        <w:rPr>
          <w:sz w:val="20"/>
          <w:szCs w:val="20"/>
          <w:color w:val="auto"/>
        </w:rPr>
      </w:pPr>
      <w:r>
        <w:rPr>
          <w:rFonts w:ascii="Arial" w:cs="Arial" w:eastAsia="Arial" w:hAnsi="Arial"/>
          <w:sz w:val="10"/>
          <w:szCs w:val="10"/>
          <w:b w:val="1"/>
          <w:bCs w:val="1"/>
          <w:color w:val="auto"/>
        </w:rPr>
        <w:t>Three Months Ended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7900" w:type="dxa"/>
            <w:vAlign w:val="bottom"/>
          </w:tcPr>
          <w:p>
            <w:pPr>
              <w:spacing w:after="0"/>
              <w:rPr>
                <w:sz w:val="12"/>
                <w:szCs w:val="12"/>
                <w:color w:val="auto"/>
              </w:rPr>
            </w:pPr>
          </w:p>
        </w:tc>
        <w:tc>
          <w:tcPr>
            <w:tcW w:w="122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0"/>
                <w:szCs w:val="10"/>
                <w:b w:val="1"/>
                <w:bCs w:val="1"/>
                <w:color w:val="auto"/>
              </w:rPr>
              <w:t>March 31, 2021</w:t>
            </w:r>
          </w:p>
        </w:tc>
        <w:tc>
          <w:tcPr>
            <w:tcW w:w="4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4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0"/>
                <w:szCs w:val="10"/>
                <w:b w:val="1"/>
                <w:bCs w:val="1"/>
                <w:color w:val="auto"/>
              </w:rPr>
              <w:t>March 31, 2020</w:t>
            </w:r>
          </w:p>
        </w:tc>
      </w:tr>
      <w:tr>
        <w:trPr>
          <w:trHeight w:val="152"/>
        </w:trPr>
        <w:tc>
          <w:tcPr>
            <w:tcW w:w="9120" w:type="dxa"/>
            <w:vAlign w:val="bottom"/>
            <w:gridSpan w:val="2"/>
          </w:tcPr>
          <w:p>
            <w:pPr>
              <w:ind w:left="20"/>
              <w:spacing w:after="0"/>
              <w:rPr>
                <w:sz w:val="20"/>
                <w:szCs w:val="20"/>
                <w:color w:val="auto"/>
              </w:rPr>
            </w:pPr>
            <w:r>
              <w:rPr>
                <w:rFonts w:ascii="Arial" w:cs="Arial" w:eastAsia="Arial" w:hAnsi="Arial"/>
                <w:sz w:val="13"/>
                <w:szCs w:val="13"/>
                <w:color w:val="auto"/>
              </w:rPr>
              <w:t>United States</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r>
      <w:tr>
        <w:trPr>
          <w:trHeight w:val="172"/>
        </w:trPr>
        <w:tc>
          <w:tcPr>
            <w:tcW w:w="91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Chevrolet – Cars</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w:t>
            </w:r>
          </w:p>
        </w:tc>
      </w:tr>
      <w:tr>
        <w:trPr>
          <w:trHeight w:val="168"/>
        </w:trPr>
        <w:tc>
          <w:tcPr>
            <w:tcW w:w="9120" w:type="dxa"/>
            <w:vAlign w:val="bottom"/>
            <w:gridSpan w:val="2"/>
          </w:tcPr>
          <w:p>
            <w:pPr>
              <w:ind w:left="180"/>
              <w:spacing w:after="0"/>
              <w:rPr>
                <w:sz w:val="20"/>
                <w:szCs w:val="20"/>
                <w:color w:val="auto"/>
              </w:rPr>
            </w:pPr>
            <w:r>
              <w:rPr>
                <w:rFonts w:ascii="Arial" w:cs="Arial" w:eastAsia="Arial" w:hAnsi="Arial"/>
                <w:sz w:val="13"/>
                <w:szCs w:val="13"/>
                <w:color w:val="auto"/>
              </w:rPr>
              <w:t>Chevrolet – Trucks</w:t>
            </w:r>
          </w:p>
        </w:tc>
        <w:tc>
          <w:tcPr>
            <w:tcW w:w="420" w:type="dxa"/>
            <w:vAlign w:val="bottom"/>
          </w:tcPr>
          <w:p>
            <w:pPr>
              <w:jc w:val="right"/>
              <w:spacing w:after="0"/>
              <w:rPr>
                <w:sz w:val="20"/>
                <w:szCs w:val="20"/>
                <w:color w:val="auto"/>
              </w:rPr>
            </w:pPr>
            <w:r>
              <w:rPr>
                <w:rFonts w:ascii="Arial" w:cs="Arial" w:eastAsia="Arial" w:hAnsi="Arial"/>
                <w:sz w:val="13"/>
                <w:szCs w:val="13"/>
                <w:color w:val="auto"/>
              </w:rPr>
              <w:t>203</w:t>
            </w:r>
          </w:p>
        </w:tc>
        <w:tc>
          <w:tcPr>
            <w:tcW w:w="1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210</w:t>
            </w:r>
          </w:p>
        </w:tc>
      </w:tr>
      <w:tr>
        <w:trPr>
          <w:trHeight w:val="172"/>
        </w:trPr>
        <w:tc>
          <w:tcPr>
            <w:tcW w:w="91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Chevrolet – Crossovers</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w:t>
            </w:r>
          </w:p>
        </w:tc>
      </w:tr>
      <w:tr>
        <w:trPr>
          <w:trHeight w:val="168"/>
        </w:trPr>
        <w:tc>
          <w:tcPr>
            <w:tcW w:w="9120" w:type="dxa"/>
            <w:vAlign w:val="bottom"/>
            <w:gridSpan w:val="2"/>
          </w:tcPr>
          <w:p>
            <w:pPr>
              <w:ind w:left="180"/>
              <w:spacing w:after="0"/>
              <w:rPr>
                <w:sz w:val="20"/>
                <w:szCs w:val="20"/>
                <w:color w:val="auto"/>
              </w:rPr>
            </w:pPr>
            <w:r>
              <w:rPr>
                <w:rFonts w:ascii="Arial" w:cs="Arial" w:eastAsia="Arial" w:hAnsi="Arial"/>
                <w:sz w:val="13"/>
                <w:szCs w:val="13"/>
                <w:color w:val="auto"/>
              </w:rPr>
              <w:t>Cadillac</w:t>
            </w:r>
          </w:p>
        </w:tc>
        <w:tc>
          <w:tcPr>
            <w:tcW w:w="420" w:type="dxa"/>
            <w:vAlign w:val="bottom"/>
          </w:tcPr>
          <w:p>
            <w:pPr>
              <w:jc w:val="right"/>
              <w:spacing w:after="0"/>
              <w:rPr>
                <w:sz w:val="20"/>
                <w:szCs w:val="20"/>
                <w:color w:val="auto"/>
              </w:rPr>
            </w:pPr>
            <w:r>
              <w:rPr>
                <w:rFonts w:ascii="Arial" w:cs="Arial" w:eastAsia="Arial" w:hAnsi="Arial"/>
                <w:sz w:val="13"/>
                <w:szCs w:val="13"/>
                <w:color w:val="auto"/>
              </w:rPr>
              <w:t>37</w:t>
            </w:r>
          </w:p>
        </w:tc>
        <w:tc>
          <w:tcPr>
            <w:tcW w:w="1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30</w:t>
            </w:r>
          </w:p>
        </w:tc>
      </w:tr>
      <w:tr>
        <w:trPr>
          <w:trHeight w:val="172"/>
        </w:trPr>
        <w:tc>
          <w:tcPr>
            <w:tcW w:w="91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Buick</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w:t>
            </w:r>
          </w:p>
        </w:tc>
      </w:tr>
      <w:tr>
        <w:trPr>
          <w:trHeight w:val="168"/>
        </w:trPr>
        <w:tc>
          <w:tcPr>
            <w:tcW w:w="790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GMC</w:t>
            </w:r>
          </w:p>
        </w:tc>
        <w:tc>
          <w:tcPr>
            <w:tcW w:w="12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130</w:t>
            </w:r>
          </w:p>
        </w:tc>
        <w:tc>
          <w:tcPr>
            <w:tcW w:w="10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119</w:t>
            </w:r>
          </w:p>
        </w:tc>
      </w:tr>
      <w:tr>
        <w:trPr>
          <w:trHeight w:val="163"/>
        </w:trPr>
        <w:tc>
          <w:tcPr>
            <w:tcW w:w="91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Total United States</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642</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618</w:t>
            </w:r>
          </w:p>
        </w:tc>
      </w:tr>
      <w:tr>
        <w:trPr>
          <w:trHeight w:val="168"/>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Canada, Mexico and Other</w:t>
            </w:r>
          </w:p>
        </w:tc>
        <w:tc>
          <w:tcPr>
            <w:tcW w:w="12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w:t>
            </w:r>
          </w:p>
        </w:tc>
        <w:tc>
          <w:tcPr>
            <w:tcW w:w="10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101</w:t>
            </w:r>
          </w:p>
        </w:tc>
      </w:tr>
      <w:tr>
        <w:trPr>
          <w:trHeight w:val="160"/>
        </w:trPr>
        <w:tc>
          <w:tcPr>
            <w:tcW w:w="7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North America</w:t>
            </w:r>
          </w:p>
        </w:tc>
        <w:tc>
          <w:tcPr>
            <w:tcW w:w="122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746</w:t>
            </w:r>
          </w:p>
        </w:tc>
        <w:tc>
          <w:tcPr>
            <w:tcW w:w="100" w:type="dxa"/>
            <w:vAlign w:val="bottom"/>
            <w:shd w:val="clear" w:color="auto" w:fill="CCEEFF"/>
          </w:tcPr>
          <w:p>
            <w:pPr>
              <w:spacing w:after="0"/>
              <w:rPr>
                <w:sz w:val="13"/>
                <w:szCs w:val="1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719</w:t>
            </w:r>
          </w:p>
        </w:tc>
      </w:tr>
      <w:tr>
        <w:trPr>
          <w:trHeight w:val="150"/>
        </w:trPr>
        <w:tc>
          <w:tcPr>
            <w:tcW w:w="9120" w:type="dxa"/>
            <w:vAlign w:val="bottom"/>
            <w:gridSpan w:val="2"/>
          </w:tcPr>
          <w:p>
            <w:pPr>
              <w:ind w:left="20"/>
              <w:spacing w:after="0"/>
              <w:rPr>
                <w:sz w:val="20"/>
                <w:szCs w:val="20"/>
                <w:color w:val="auto"/>
              </w:rPr>
            </w:pPr>
            <w:r>
              <w:rPr>
                <w:rFonts w:ascii="Arial" w:cs="Arial" w:eastAsia="Arial" w:hAnsi="Arial"/>
                <w:sz w:val="13"/>
                <w:szCs w:val="13"/>
                <w:color w:val="auto"/>
              </w:rPr>
              <w:t>Asia/Pacific, Middle East and Africa</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r>
      <w:tr>
        <w:trPr>
          <w:trHeight w:val="172"/>
        </w:trPr>
        <w:tc>
          <w:tcPr>
            <w:tcW w:w="91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Chevrolet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w:t>
            </w:r>
          </w:p>
        </w:tc>
      </w:tr>
      <w:tr>
        <w:trPr>
          <w:trHeight w:val="168"/>
        </w:trPr>
        <w:tc>
          <w:tcPr>
            <w:tcW w:w="9120" w:type="dxa"/>
            <w:vAlign w:val="bottom"/>
            <w:gridSpan w:val="2"/>
          </w:tcPr>
          <w:p>
            <w:pPr>
              <w:ind w:left="180"/>
              <w:spacing w:after="0"/>
              <w:rPr>
                <w:sz w:val="20"/>
                <w:szCs w:val="20"/>
                <w:color w:val="auto"/>
              </w:rPr>
            </w:pPr>
            <w:r>
              <w:rPr>
                <w:rFonts w:ascii="Arial" w:cs="Arial" w:eastAsia="Arial" w:hAnsi="Arial"/>
                <w:sz w:val="13"/>
                <w:szCs w:val="13"/>
                <w:color w:val="auto"/>
              </w:rPr>
              <w:t>Wuling</w:t>
            </w:r>
          </w:p>
        </w:tc>
        <w:tc>
          <w:tcPr>
            <w:tcW w:w="420" w:type="dxa"/>
            <w:vAlign w:val="bottom"/>
          </w:tcPr>
          <w:p>
            <w:pPr>
              <w:jc w:val="right"/>
              <w:spacing w:after="0"/>
              <w:rPr>
                <w:sz w:val="20"/>
                <w:szCs w:val="20"/>
                <w:color w:val="auto"/>
              </w:rPr>
            </w:pPr>
            <w:r>
              <w:rPr>
                <w:rFonts w:ascii="Arial" w:cs="Arial" w:eastAsia="Arial" w:hAnsi="Arial"/>
                <w:sz w:val="13"/>
                <w:szCs w:val="13"/>
                <w:color w:val="auto"/>
              </w:rPr>
              <w:t>351</w:t>
            </w:r>
          </w:p>
        </w:tc>
        <w:tc>
          <w:tcPr>
            <w:tcW w:w="1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176</w:t>
            </w:r>
          </w:p>
        </w:tc>
      </w:tr>
      <w:tr>
        <w:trPr>
          <w:trHeight w:val="172"/>
        </w:trPr>
        <w:tc>
          <w:tcPr>
            <w:tcW w:w="91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Buick</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w:t>
            </w:r>
          </w:p>
        </w:tc>
      </w:tr>
      <w:tr>
        <w:trPr>
          <w:trHeight w:val="168"/>
        </w:trPr>
        <w:tc>
          <w:tcPr>
            <w:tcW w:w="9120" w:type="dxa"/>
            <w:vAlign w:val="bottom"/>
            <w:gridSpan w:val="2"/>
          </w:tcPr>
          <w:p>
            <w:pPr>
              <w:ind w:left="180"/>
              <w:spacing w:after="0"/>
              <w:rPr>
                <w:sz w:val="20"/>
                <w:szCs w:val="20"/>
                <w:color w:val="auto"/>
              </w:rPr>
            </w:pPr>
            <w:r>
              <w:rPr>
                <w:rFonts w:ascii="Arial" w:cs="Arial" w:eastAsia="Arial" w:hAnsi="Arial"/>
                <w:sz w:val="13"/>
                <w:szCs w:val="13"/>
                <w:color w:val="auto"/>
              </w:rPr>
              <w:t>Baojun</w:t>
            </w:r>
          </w:p>
        </w:tc>
        <w:tc>
          <w:tcPr>
            <w:tcW w:w="420" w:type="dxa"/>
            <w:vAlign w:val="bottom"/>
          </w:tcPr>
          <w:p>
            <w:pPr>
              <w:jc w:val="right"/>
              <w:spacing w:after="0"/>
              <w:rPr>
                <w:sz w:val="20"/>
                <w:szCs w:val="20"/>
                <w:color w:val="auto"/>
              </w:rPr>
            </w:pPr>
            <w:r>
              <w:rPr>
                <w:rFonts w:ascii="Arial" w:cs="Arial" w:eastAsia="Arial" w:hAnsi="Arial"/>
                <w:sz w:val="13"/>
                <w:szCs w:val="13"/>
                <w:color w:val="auto"/>
              </w:rPr>
              <w:t>86</w:t>
            </w:r>
          </w:p>
        </w:tc>
        <w:tc>
          <w:tcPr>
            <w:tcW w:w="1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82</w:t>
            </w:r>
          </w:p>
        </w:tc>
      </w:tr>
      <w:tr>
        <w:trPr>
          <w:trHeight w:val="172"/>
        </w:trPr>
        <w:tc>
          <w:tcPr>
            <w:tcW w:w="91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Cadillac</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r>
      <w:tr>
        <w:trPr>
          <w:trHeight w:val="168"/>
        </w:trPr>
        <w:tc>
          <w:tcPr>
            <w:tcW w:w="790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Other</w:t>
            </w:r>
          </w:p>
        </w:tc>
        <w:tc>
          <w:tcPr>
            <w:tcW w:w="12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w:t>
            </w:r>
          </w:p>
        </w:tc>
        <w:tc>
          <w:tcPr>
            <w:tcW w:w="10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w:t>
            </w:r>
          </w:p>
        </w:tc>
      </w:tr>
      <w:tr>
        <w:trPr>
          <w:trHeight w:val="163"/>
        </w:trPr>
        <w:tc>
          <w:tcPr>
            <w:tcW w:w="91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Total Asia/Pacific, Middle East and Africa</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880</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605</w:t>
            </w:r>
          </w:p>
        </w:tc>
      </w:tr>
      <w:tr>
        <w:trPr>
          <w:trHeight w:val="168"/>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South America(a)</w:t>
            </w:r>
          </w:p>
        </w:tc>
        <w:tc>
          <w:tcPr>
            <w:tcW w:w="12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118</w:t>
            </w:r>
          </w:p>
        </w:tc>
        <w:tc>
          <w:tcPr>
            <w:tcW w:w="10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132</w:t>
            </w:r>
          </w:p>
        </w:tc>
      </w:tr>
      <w:tr>
        <w:trPr>
          <w:trHeight w:val="163"/>
        </w:trPr>
        <w:tc>
          <w:tcPr>
            <w:tcW w:w="91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Total in GM markets</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1,744</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1,456</w:t>
            </w:r>
          </w:p>
        </w:tc>
      </w:tr>
      <w:tr>
        <w:trPr>
          <w:trHeight w:val="168"/>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Europe</w:t>
            </w:r>
          </w:p>
        </w:tc>
        <w:tc>
          <w:tcPr>
            <w:tcW w:w="12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91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Total Worldwide</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1,744</w:t>
            </w: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1,456</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1"/>
          <w:szCs w:val="11"/>
          <w:color w:val="auto"/>
        </w:rPr>
        <w:t>_______</w:t>
      </w:r>
    </w:p>
    <w:p>
      <w:pPr>
        <w:spacing w:after="0" w:line="1"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color w:val="auto"/>
        </w:rPr>
        <w:t>(a)</w:t>
        <w:tab/>
        <w:t>Primarily Chevrolet.</w:t>
      </w:r>
    </w:p>
    <w:p>
      <w:pPr>
        <w:spacing w:after="0" w:line="190"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vehicle sales at GM's China joint ventures presented in the following table are included in the preceding vehicle sales table (vehicles in thousands):</w:t>
      </w:r>
    </w:p>
    <w:p>
      <w:pPr>
        <w:spacing w:after="0" w:line="87" w:lineRule="exact"/>
        <w:rPr>
          <w:sz w:val="20"/>
          <w:szCs w:val="20"/>
          <w:color w:val="auto"/>
        </w:rPr>
      </w:pPr>
    </w:p>
    <w:p>
      <w:pPr>
        <w:ind w:left="9080"/>
        <w:spacing w:after="0"/>
        <w:rPr>
          <w:sz w:val="20"/>
          <w:szCs w:val="20"/>
          <w:color w:val="auto"/>
        </w:rPr>
      </w:pPr>
      <w:r>
        <w:rPr>
          <w:rFonts w:ascii="Arial" w:cs="Arial" w:eastAsia="Arial" w:hAnsi="Arial"/>
          <w:sz w:val="10"/>
          <w:szCs w:val="10"/>
          <w:b w:val="1"/>
          <w:bCs w:val="1"/>
          <w:color w:val="auto"/>
        </w:rPr>
        <w:t>Three Months Ended</w:t>
      </w:r>
    </w:p>
    <w:p>
      <w:pPr>
        <w:spacing w:after="0" w:line="15" w:lineRule="exact"/>
        <w:rPr>
          <w:sz w:val="20"/>
          <w:szCs w:val="20"/>
          <w:color w:val="auto"/>
        </w:rPr>
      </w:pPr>
    </w:p>
    <w:tbl>
      <w:tblPr>
        <w:tblLayout w:type="fixed"/>
        <w:tblInd w:w="20" w:type="dxa"/>
        <w:tblCellMar>
          <w:top w:w="0" w:type="dxa"/>
          <w:left w:w="0" w:type="dxa"/>
          <w:bottom w:w="0" w:type="dxa"/>
          <w:right w:w="0" w:type="dxa"/>
        </w:tblCellMar>
      </w:tblPr>
      <w:tr>
        <w:trPr>
          <w:trHeight w:val="139"/>
        </w:trPr>
        <w:tc>
          <w:tcPr>
            <w:tcW w:w="7860" w:type="dxa"/>
            <w:vAlign w:val="bottom"/>
            <w:tcBorders>
              <w:bottom w:val="single" w:sz="8" w:color="CCEEFF"/>
            </w:tcBorders>
          </w:tcPr>
          <w:p>
            <w:pPr>
              <w:spacing w:after="0"/>
              <w:rPr>
                <w:sz w:val="12"/>
                <w:szCs w:val="12"/>
                <w:color w:val="auto"/>
              </w:rPr>
            </w:pPr>
          </w:p>
        </w:tc>
        <w:tc>
          <w:tcPr>
            <w:tcW w:w="128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0"/>
                <w:szCs w:val="10"/>
                <w:b w:val="1"/>
                <w:bCs w:val="1"/>
                <w:color w:val="auto"/>
              </w:rPr>
              <w:t>March 31, 2021</w:t>
            </w:r>
          </w:p>
        </w:tc>
        <w:tc>
          <w:tcPr>
            <w:tcW w:w="3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640" w:type="dxa"/>
            <w:vAlign w:val="bottom"/>
            <w:tcBorders>
              <w:top w:val="single" w:sz="8" w:color="auto"/>
              <w:bottom w:val="single" w:sz="8" w:color="auto"/>
            </w:tcBorders>
          </w:tcPr>
          <w:p>
            <w:pPr>
              <w:jc w:val="right"/>
              <w:ind w:right="401"/>
              <w:spacing w:after="0"/>
              <w:rPr>
                <w:sz w:val="20"/>
                <w:szCs w:val="20"/>
                <w:color w:val="auto"/>
              </w:rPr>
            </w:pPr>
            <w:r>
              <w:rPr>
                <w:rFonts w:ascii="Arial" w:cs="Arial" w:eastAsia="Arial" w:hAnsi="Arial"/>
                <w:sz w:val="10"/>
                <w:szCs w:val="10"/>
                <w:b w:val="1"/>
                <w:bCs w:val="1"/>
                <w:color w:val="auto"/>
              </w:rPr>
              <w:t>March 31, 2020</w:t>
            </w:r>
          </w:p>
        </w:tc>
      </w:tr>
      <w:tr>
        <w:trPr>
          <w:trHeight w:val="165"/>
        </w:trPr>
        <w:tc>
          <w:tcPr>
            <w:tcW w:w="91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SAIC General Motors Sales Co., Ltd.</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347</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207</w:t>
            </w:r>
          </w:p>
        </w:tc>
      </w:tr>
      <w:tr>
        <w:trPr>
          <w:trHeight w:val="165"/>
        </w:trPr>
        <w:tc>
          <w:tcPr>
            <w:tcW w:w="9140" w:type="dxa"/>
            <w:vAlign w:val="bottom"/>
            <w:gridSpan w:val="2"/>
          </w:tcPr>
          <w:p>
            <w:pPr>
              <w:ind w:left="20"/>
              <w:spacing w:after="0"/>
              <w:rPr>
                <w:sz w:val="20"/>
                <w:szCs w:val="20"/>
                <w:color w:val="auto"/>
              </w:rPr>
            </w:pPr>
            <w:r>
              <w:rPr>
                <w:rFonts w:ascii="Arial" w:cs="Arial" w:eastAsia="Arial" w:hAnsi="Arial"/>
                <w:sz w:val="13"/>
                <w:szCs w:val="13"/>
                <w:color w:val="auto"/>
              </w:rPr>
              <w:t>SAIC GM Wuling Automobile Co., Ltd.</w:t>
            </w:r>
          </w:p>
        </w:tc>
        <w:tc>
          <w:tcPr>
            <w:tcW w:w="360" w:type="dxa"/>
            <w:vAlign w:val="bottom"/>
          </w:tcPr>
          <w:p>
            <w:pPr>
              <w:jc w:val="right"/>
              <w:spacing w:after="0"/>
              <w:rPr>
                <w:sz w:val="20"/>
                <w:szCs w:val="20"/>
                <w:color w:val="auto"/>
              </w:rPr>
            </w:pPr>
            <w:r>
              <w:rPr>
                <w:rFonts w:ascii="Arial" w:cs="Arial" w:eastAsia="Arial" w:hAnsi="Arial"/>
                <w:sz w:val="13"/>
                <w:szCs w:val="13"/>
                <w:color w:val="auto"/>
              </w:rPr>
              <w:t>433</w:t>
            </w:r>
          </w:p>
        </w:tc>
        <w:tc>
          <w:tcPr>
            <w:tcW w:w="100" w:type="dxa"/>
            <w:vAlign w:val="bottom"/>
          </w:tcPr>
          <w:p>
            <w:pPr>
              <w:spacing w:after="0"/>
              <w:rPr>
                <w:sz w:val="14"/>
                <w:szCs w:val="14"/>
                <w:color w:val="auto"/>
              </w:rPr>
            </w:pPr>
          </w:p>
        </w:tc>
        <w:tc>
          <w:tcPr>
            <w:tcW w:w="1640" w:type="dxa"/>
            <w:vAlign w:val="bottom"/>
          </w:tcPr>
          <w:p>
            <w:pPr>
              <w:jc w:val="right"/>
              <w:ind w:right="1"/>
              <w:spacing w:after="0"/>
              <w:rPr>
                <w:sz w:val="20"/>
                <w:szCs w:val="20"/>
                <w:color w:val="auto"/>
              </w:rPr>
            </w:pPr>
            <w:r>
              <w:rPr>
                <w:rFonts w:ascii="Arial" w:cs="Arial" w:eastAsia="Arial" w:hAnsi="Arial"/>
                <w:sz w:val="13"/>
                <w:szCs w:val="13"/>
                <w:color w:val="auto"/>
              </w:rPr>
              <w:t>255</w:t>
            </w:r>
          </w:p>
        </w:tc>
      </w:tr>
      <w:tr>
        <w:trPr>
          <w:trHeight w:val="721"/>
        </w:trPr>
        <w:tc>
          <w:tcPr>
            <w:tcW w:w="7860" w:type="dxa"/>
            <w:vAlign w:val="bottom"/>
          </w:tcPr>
          <w:p>
            <w:pPr>
              <w:jc w:val="right"/>
              <w:ind w:right="1876"/>
              <w:spacing w:after="0"/>
              <w:rPr>
                <w:sz w:val="20"/>
                <w:szCs w:val="20"/>
                <w:color w:val="auto"/>
              </w:rPr>
            </w:pPr>
            <w:r>
              <w:rPr>
                <w:rFonts w:ascii="Arial" w:cs="Arial" w:eastAsia="Arial" w:hAnsi="Arial"/>
                <w:sz w:val="13"/>
                <w:szCs w:val="13"/>
                <w:color w:val="auto"/>
              </w:rPr>
              <w:t>8</w:t>
            </w: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ectPr>
          <w:pgSz w:w="11900" w:h="16838" w:orient="portrait"/>
          <w:cols w:equalWidth="0" w:num="1">
            <w:col w:w="11280"/>
          </w:cols>
          <w:pgMar w:left="300" w:top="698" w:right="319" w:bottom="1440" w:gutter="0" w:footer="0" w:header="0"/>
        </w:sectPr>
      </w:pPr>
    </w:p>
    <w:bookmarkStart w:id="17" w:name="page18"/>
    <w:bookmarkEnd w:id="17"/>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jc w:val="center"/>
        <w:spacing w:after="0"/>
        <w:rPr>
          <w:sz w:val="20"/>
          <w:szCs w:val="20"/>
          <w:color w:val="auto"/>
        </w:rPr>
      </w:pPr>
      <w:r>
        <w:rPr>
          <w:rFonts w:ascii="Arial" w:cs="Arial" w:eastAsia="Arial" w:hAnsi="Arial"/>
          <w:sz w:val="13"/>
          <w:szCs w:val="13"/>
          <w:i w:val="1"/>
          <w:iCs w:val="1"/>
          <w:color w:val="auto"/>
        </w:rPr>
        <w:t>(Unaudited)</w:t>
      </w:r>
    </w:p>
    <w:p>
      <w:pPr>
        <w:spacing w:after="0" w:line="214" w:lineRule="exact"/>
        <w:rPr>
          <w:sz w:val="20"/>
          <w:szCs w:val="20"/>
          <w:color w:val="auto"/>
        </w:rPr>
      </w:pPr>
    </w:p>
    <w:p>
      <w:pPr>
        <w:ind w:left="9020"/>
        <w:spacing w:after="0"/>
        <w:rPr>
          <w:sz w:val="20"/>
          <w:szCs w:val="20"/>
          <w:color w:val="auto"/>
        </w:rPr>
      </w:pPr>
      <w:r>
        <w:rPr>
          <w:rFonts w:ascii="Arial" w:cs="Arial" w:eastAsia="Arial" w:hAnsi="Arial"/>
          <w:sz w:val="10"/>
          <w:szCs w:val="10"/>
          <w:b w:val="1"/>
          <w:bCs w:val="1"/>
          <w:color w:val="auto"/>
        </w:rPr>
        <w:t>Three Months Ended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7720" w:type="dxa"/>
            <w:vAlign w:val="bottom"/>
          </w:tcPr>
          <w:p>
            <w:pPr>
              <w:spacing w:after="0"/>
              <w:rPr>
                <w:sz w:val="12"/>
                <w:szCs w:val="12"/>
                <w:color w:val="auto"/>
              </w:rPr>
            </w:pPr>
          </w:p>
        </w:tc>
        <w:tc>
          <w:tcPr>
            <w:tcW w:w="128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0"/>
                <w:szCs w:val="10"/>
                <w:b w:val="1"/>
                <w:bCs w:val="1"/>
                <w:color w:val="auto"/>
              </w:rPr>
              <w:t>March 31, 2021</w:t>
            </w:r>
          </w:p>
        </w:tc>
        <w:tc>
          <w:tcPr>
            <w:tcW w:w="4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720" w:type="dxa"/>
            <w:vAlign w:val="bottom"/>
            <w:tcBorders>
              <w:top w:val="single" w:sz="8" w:color="auto"/>
              <w:bottom w:val="single" w:sz="8" w:color="auto"/>
            </w:tcBorders>
          </w:tcPr>
          <w:p>
            <w:pPr>
              <w:jc w:val="right"/>
              <w:ind w:right="438"/>
              <w:spacing w:after="0"/>
              <w:rPr>
                <w:sz w:val="20"/>
                <w:szCs w:val="20"/>
                <w:color w:val="auto"/>
              </w:rPr>
            </w:pPr>
            <w:r>
              <w:rPr>
                <w:rFonts w:ascii="Arial" w:cs="Arial" w:eastAsia="Arial" w:hAnsi="Arial"/>
                <w:sz w:val="10"/>
                <w:szCs w:val="10"/>
                <w:b w:val="1"/>
                <w:bCs w:val="1"/>
                <w:color w:val="auto"/>
              </w:rPr>
              <w:t>March 31, 2020</w:t>
            </w:r>
          </w:p>
        </w:tc>
      </w:tr>
      <w:tr>
        <w:trPr>
          <w:trHeight w:val="152"/>
        </w:trPr>
        <w:tc>
          <w:tcPr>
            <w:tcW w:w="9000" w:type="dxa"/>
            <w:vAlign w:val="bottom"/>
            <w:gridSpan w:val="2"/>
          </w:tcPr>
          <w:p>
            <w:pPr>
              <w:ind w:left="20"/>
              <w:spacing w:after="0"/>
              <w:rPr>
                <w:sz w:val="20"/>
                <w:szCs w:val="20"/>
                <w:color w:val="auto"/>
              </w:rPr>
            </w:pPr>
            <w:r>
              <w:rPr>
                <w:rFonts w:ascii="Arial" w:cs="Arial" w:eastAsia="Arial" w:hAnsi="Arial"/>
                <w:sz w:val="13"/>
                <w:szCs w:val="13"/>
                <w:color w:val="auto"/>
              </w:rPr>
              <w:t>Market Share</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172"/>
        </w:trPr>
        <w:tc>
          <w:tcPr>
            <w:tcW w:w="90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United States – Cars</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7.2 %</w:t>
            </w: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8.1 %</w:t>
            </w:r>
          </w:p>
        </w:tc>
      </w:tr>
      <w:tr>
        <w:trPr>
          <w:trHeight w:val="168"/>
        </w:trPr>
        <w:tc>
          <w:tcPr>
            <w:tcW w:w="9000" w:type="dxa"/>
            <w:vAlign w:val="bottom"/>
            <w:gridSpan w:val="2"/>
          </w:tcPr>
          <w:p>
            <w:pPr>
              <w:ind w:left="140"/>
              <w:spacing w:after="0"/>
              <w:rPr>
                <w:sz w:val="20"/>
                <w:szCs w:val="20"/>
                <w:color w:val="auto"/>
              </w:rPr>
            </w:pPr>
            <w:r>
              <w:rPr>
                <w:rFonts w:ascii="Arial" w:cs="Arial" w:eastAsia="Arial" w:hAnsi="Arial"/>
                <w:sz w:val="13"/>
                <w:szCs w:val="13"/>
                <w:color w:val="auto"/>
              </w:rPr>
              <w:t>United States – Trucks</w:t>
            </w:r>
          </w:p>
        </w:tc>
        <w:tc>
          <w:tcPr>
            <w:tcW w:w="460" w:type="dxa"/>
            <w:vAlign w:val="bottom"/>
          </w:tcPr>
          <w:p>
            <w:pPr>
              <w:jc w:val="right"/>
              <w:spacing w:after="0"/>
              <w:rPr>
                <w:sz w:val="20"/>
                <w:szCs w:val="20"/>
                <w:color w:val="auto"/>
              </w:rPr>
            </w:pPr>
            <w:r>
              <w:rPr>
                <w:rFonts w:ascii="Arial" w:cs="Arial" w:eastAsia="Arial" w:hAnsi="Arial"/>
                <w:sz w:val="13"/>
                <w:szCs w:val="13"/>
                <w:color w:val="auto"/>
              </w:rPr>
              <w:t>29.3 %</w:t>
            </w:r>
          </w:p>
        </w:tc>
        <w:tc>
          <w:tcPr>
            <w:tcW w:w="10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Arial" w:cs="Arial" w:eastAsia="Arial" w:hAnsi="Arial"/>
                <w:sz w:val="13"/>
                <w:szCs w:val="13"/>
                <w:color w:val="auto"/>
              </w:rPr>
              <w:t>30.8 %</w:t>
            </w:r>
          </w:p>
        </w:tc>
      </w:tr>
      <w:tr>
        <w:trPr>
          <w:trHeight w:val="172"/>
        </w:trPr>
        <w:tc>
          <w:tcPr>
            <w:tcW w:w="90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United States – Crossovers</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13.2 %</w:t>
            </w: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14.6 %</w:t>
            </w:r>
          </w:p>
        </w:tc>
      </w:tr>
      <w:tr>
        <w:trPr>
          <w:trHeight w:val="168"/>
        </w:trPr>
        <w:tc>
          <w:tcPr>
            <w:tcW w:w="9000" w:type="dxa"/>
            <w:vAlign w:val="bottom"/>
            <w:gridSpan w:val="2"/>
          </w:tcPr>
          <w:p>
            <w:pPr>
              <w:ind w:left="140"/>
              <w:spacing w:after="0"/>
              <w:rPr>
                <w:sz w:val="20"/>
                <w:szCs w:val="20"/>
                <w:color w:val="auto"/>
              </w:rPr>
            </w:pPr>
            <w:r>
              <w:rPr>
                <w:rFonts w:ascii="Arial" w:cs="Arial" w:eastAsia="Arial" w:hAnsi="Arial"/>
                <w:sz w:val="13"/>
                <w:szCs w:val="13"/>
                <w:color w:val="auto"/>
              </w:rPr>
              <w:t>Total United States</w:t>
            </w:r>
          </w:p>
        </w:tc>
        <w:tc>
          <w:tcPr>
            <w:tcW w:w="460" w:type="dxa"/>
            <w:vAlign w:val="bottom"/>
          </w:tcPr>
          <w:p>
            <w:pPr>
              <w:jc w:val="right"/>
              <w:spacing w:after="0"/>
              <w:rPr>
                <w:sz w:val="20"/>
                <w:szCs w:val="20"/>
                <w:color w:val="auto"/>
              </w:rPr>
            </w:pPr>
            <w:r>
              <w:rPr>
                <w:rFonts w:ascii="Arial" w:cs="Arial" w:eastAsia="Arial" w:hAnsi="Arial"/>
                <w:sz w:val="13"/>
                <w:szCs w:val="13"/>
                <w:color w:val="auto"/>
              </w:rPr>
              <w:t>16.2 %</w:t>
            </w:r>
          </w:p>
        </w:tc>
        <w:tc>
          <w:tcPr>
            <w:tcW w:w="10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Arial" w:cs="Arial" w:eastAsia="Arial" w:hAnsi="Arial"/>
                <w:sz w:val="13"/>
                <w:szCs w:val="13"/>
                <w:color w:val="auto"/>
              </w:rPr>
              <w:t>17.3 %</w:t>
            </w:r>
          </w:p>
        </w:tc>
      </w:tr>
      <w:tr>
        <w:trPr>
          <w:trHeight w:val="172"/>
        </w:trPr>
        <w:tc>
          <w:tcPr>
            <w:tcW w:w="90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Total North America</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15.9 %</w:t>
            </w: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16.8 %</w:t>
            </w:r>
          </w:p>
        </w:tc>
      </w:tr>
      <w:tr>
        <w:trPr>
          <w:trHeight w:val="168"/>
        </w:trPr>
        <w:tc>
          <w:tcPr>
            <w:tcW w:w="9000" w:type="dxa"/>
            <w:vAlign w:val="bottom"/>
            <w:gridSpan w:val="2"/>
          </w:tcPr>
          <w:p>
            <w:pPr>
              <w:ind w:left="140"/>
              <w:spacing w:after="0"/>
              <w:rPr>
                <w:sz w:val="20"/>
                <w:szCs w:val="20"/>
                <w:color w:val="auto"/>
              </w:rPr>
            </w:pPr>
            <w:r>
              <w:rPr>
                <w:rFonts w:ascii="Arial" w:cs="Arial" w:eastAsia="Arial" w:hAnsi="Arial"/>
                <w:sz w:val="13"/>
                <w:szCs w:val="13"/>
                <w:color w:val="auto"/>
              </w:rPr>
              <w:t>Total Asia/Pacific, Middle East and Africa</w:t>
            </w:r>
          </w:p>
        </w:tc>
        <w:tc>
          <w:tcPr>
            <w:tcW w:w="460" w:type="dxa"/>
            <w:vAlign w:val="bottom"/>
          </w:tcPr>
          <w:p>
            <w:pPr>
              <w:jc w:val="right"/>
              <w:spacing w:after="0"/>
              <w:rPr>
                <w:sz w:val="20"/>
                <w:szCs w:val="20"/>
                <w:color w:val="auto"/>
              </w:rPr>
            </w:pPr>
            <w:r>
              <w:rPr>
                <w:rFonts w:ascii="Arial" w:cs="Arial" w:eastAsia="Arial" w:hAnsi="Arial"/>
                <w:sz w:val="13"/>
                <w:szCs w:val="13"/>
                <w:color w:val="auto"/>
              </w:rPr>
              <w:t>7.5 %</w:t>
            </w:r>
          </w:p>
        </w:tc>
        <w:tc>
          <w:tcPr>
            <w:tcW w:w="10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Arial" w:cs="Arial" w:eastAsia="Arial" w:hAnsi="Arial"/>
                <w:sz w:val="13"/>
                <w:szCs w:val="13"/>
                <w:color w:val="auto"/>
              </w:rPr>
              <w:t>6.8 %</w:t>
            </w:r>
          </w:p>
        </w:tc>
      </w:tr>
      <w:tr>
        <w:trPr>
          <w:trHeight w:val="172"/>
        </w:trPr>
        <w:tc>
          <w:tcPr>
            <w:tcW w:w="90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Total South America</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13.3 %</w:t>
            </w: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15.2 %</w:t>
            </w:r>
          </w:p>
        </w:tc>
      </w:tr>
      <w:tr>
        <w:trPr>
          <w:trHeight w:val="168"/>
        </w:trPr>
        <w:tc>
          <w:tcPr>
            <w:tcW w:w="9000" w:type="dxa"/>
            <w:vAlign w:val="bottom"/>
            <w:gridSpan w:val="2"/>
          </w:tcPr>
          <w:p>
            <w:pPr>
              <w:ind w:left="20"/>
              <w:spacing w:after="0"/>
              <w:rPr>
                <w:sz w:val="20"/>
                <w:szCs w:val="20"/>
                <w:color w:val="auto"/>
              </w:rPr>
            </w:pPr>
            <w:r>
              <w:rPr>
                <w:rFonts w:ascii="Arial" w:cs="Arial" w:eastAsia="Arial" w:hAnsi="Arial"/>
                <w:sz w:val="13"/>
                <w:szCs w:val="13"/>
                <w:color w:val="auto"/>
              </w:rPr>
              <w:t>Total GM Market</w:t>
            </w:r>
          </w:p>
        </w:tc>
        <w:tc>
          <w:tcPr>
            <w:tcW w:w="460" w:type="dxa"/>
            <w:vAlign w:val="bottom"/>
          </w:tcPr>
          <w:p>
            <w:pPr>
              <w:jc w:val="right"/>
              <w:spacing w:after="0"/>
              <w:rPr>
                <w:sz w:val="20"/>
                <w:szCs w:val="20"/>
                <w:color w:val="auto"/>
              </w:rPr>
            </w:pPr>
            <w:r>
              <w:rPr>
                <w:rFonts w:ascii="Arial" w:cs="Arial" w:eastAsia="Arial" w:hAnsi="Arial"/>
                <w:sz w:val="13"/>
                <w:szCs w:val="13"/>
                <w:color w:val="auto"/>
              </w:rPr>
              <w:t>10.1 %</w:t>
            </w:r>
          </w:p>
        </w:tc>
        <w:tc>
          <w:tcPr>
            <w:tcW w:w="10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Arial" w:cs="Arial" w:eastAsia="Arial" w:hAnsi="Arial"/>
                <w:sz w:val="13"/>
                <w:szCs w:val="13"/>
                <w:color w:val="auto"/>
              </w:rPr>
              <w:t>10.4 %</w:t>
            </w:r>
          </w:p>
        </w:tc>
      </w:tr>
      <w:tr>
        <w:trPr>
          <w:trHeight w:val="172"/>
        </w:trPr>
        <w:tc>
          <w:tcPr>
            <w:tcW w:w="90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Total Worldwide</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8.3 %</w:t>
            </w: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8.2 %</w:t>
            </w:r>
          </w:p>
        </w:tc>
      </w:tr>
      <w:tr>
        <w:trPr>
          <w:trHeight w:val="85"/>
        </w:trPr>
        <w:tc>
          <w:tcPr>
            <w:tcW w:w="77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20" w:type="dxa"/>
            <w:vAlign w:val="bottom"/>
          </w:tcPr>
          <w:p>
            <w:pPr>
              <w:spacing w:after="0"/>
              <w:rPr>
                <w:sz w:val="7"/>
                <w:szCs w:val="7"/>
                <w:color w:val="auto"/>
              </w:rPr>
            </w:pPr>
          </w:p>
        </w:tc>
      </w:tr>
      <w:tr>
        <w:trPr>
          <w:trHeight w:val="170"/>
        </w:trPr>
        <w:tc>
          <w:tcPr>
            <w:tcW w:w="90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United States fleet sales as a percentage of retail vehicle sales</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17.3 %</w:t>
            </w: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27.7 %</w:t>
            </w:r>
          </w:p>
        </w:tc>
      </w:tr>
      <w:tr>
        <w:trPr>
          <w:trHeight w:val="85"/>
        </w:trPr>
        <w:tc>
          <w:tcPr>
            <w:tcW w:w="77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20" w:type="dxa"/>
            <w:vAlign w:val="bottom"/>
          </w:tcPr>
          <w:p>
            <w:pPr>
              <w:spacing w:after="0"/>
              <w:rPr>
                <w:sz w:val="7"/>
                <w:szCs w:val="7"/>
                <w:color w:val="auto"/>
              </w:rPr>
            </w:pPr>
          </w:p>
        </w:tc>
      </w:tr>
      <w:tr>
        <w:trPr>
          <w:trHeight w:val="170"/>
        </w:trPr>
        <w:tc>
          <w:tcPr>
            <w:tcW w:w="90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North America capacity two-shift utilization</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96.0 %</w:t>
            </w: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104.9 %</w:t>
            </w:r>
          </w:p>
        </w:tc>
      </w:tr>
      <w:tr>
        <w:trPr>
          <w:trHeight w:val="706"/>
        </w:trPr>
        <w:tc>
          <w:tcPr>
            <w:tcW w:w="7720" w:type="dxa"/>
            <w:vAlign w:val="bottom"/>
          </w:tcPr>
          <w:p>
            <w:pPr>
              <w:ind w:left="5860"/>
              <w:spacing w:after="0"/>
              <w:rPr>
                <w:sz w:val="20"/>
                <w:szCs w:val="20"/>
                <w:color w:val="auto"/>
              </w:rPr>
            </w:pPr>
            <w:r>
              <w:rPr>
                <w:rFonts w:ascii="Arial" w:cs="Arial" w:eastAsia="Arial" w:hAnsi="Arial"/>
                <w:sz w:val="13"/>
                <w:szCs w:val="13"/>
                <w:color w:val="auto"/>
              </w:rPr>
              <w:t>9</w:t>
            </w: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ectPr>
          <w:pgSz w:w="11900" w:h="16838" w:orient="portrait"/>
          <w:cols w:equalWidth="0" w:num="1">
            <w:col w:w="11280"/>
          </w:cols>
          <w:pgMar w:left="300" w:top="698" w:right="319" w:bottom="1440" w:gutter="0" w:footer="0" w:header="0"/>
        </w:sectPr>
      </w:pPr>
    </w:p>
    <w:bookmarkStart w:id="18" w:name="page19"/>
    <w:bookmarkEnd w:id="18"/>
    <w:p>
      <w:pPr>
        <w:ind w:left="4200"/>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05" w:lineRule="exact"/>
        <w:rPr>
          <w:sz w:val="20"/>
          <w:szCs w:val="20"/>
          <w:color w:val="auto"/>
        </w:rPr>
      </w:pPr>
    </w:p>
    <w:p>
      <w:pPr>
        <w:ind w:left="4240"/>
        <w:spacing w:after="0"/>
        <w:rPr>
          <w:sz w:val="20"/>
          <w:szCs w:val="20"/>
          <w:color w:val="auto"/>
        </w:rPr>
      </w:pPr>
      <w:r>
        <w:rPr>
          <w:rFonts w:ascii="Arial" w:cs="Arial" w:eastAsia="Arial" w:hAnsi="Arial"/>
          <w:sz w:val="13"/>
          <w:szCs w:val="13"/>
          <w:b w:val="1"/>
          <w:bCs w:val="1"/>
          <w:color w:val="auto"/>
        </w:rPr>
        <w:t>Combining Income Statement Information</w:t>
      </w:r>
    </w:p>
    <w:p>
      <w:pPr>
        <w:spacing w:after="0" w:line="15" w:lineRule="exact"/>
        <w:rPr>
          <w:sz w:val="20"/>
          <w:szCs w:val="20"/>
          <w:color w:val="auto"/>
        </w:rPr>
      </w:pPr>
    </w:p>
    <w:p>
      <w:pPr>
        <w:jc w:val="center"/>
        <w:ind w:right="140"/>
        <w:spacing w:after="0"/>
        <w:rPr>
          <w:sz w:val="20"/>
          <w:szCs w:val="20"/>
          <w:color w:val="auto"/>
        </w:rPr>
      </w:pPr>
      <w:r>
        <w:rPr>
          <w:rFonts w:ascii="Arial" w:cs="Arial" w:eastAsia="Arial" w:hAnsi="Arial"/>
          <w:sz w:val="13"/>
          <w:szCs w:val="13"/>
          <w:i w:val="1"/>
          <w:iCs w:val="1"/>
          <w:color w:val="auto"/>
        </w:rPr>
        <w:t>(In millions) (Unaudited)</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1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gridSpan w:val="5"/>
          </w:tcPr>
          <w:p>
            <w:pPr>
              <w:ind w:left="20"/>
              <w:spacing w:after="0"/>
              <w:rPr>
                <w:sz w:val="20"/>
                <w:szCs w:val="20"/>
                <w:color w:val="auto"/>
              </w:rPr>
            </w:pPr>
            <w:r>
              <w:rPr>
                <w:rFonts w:ascii="Arial" w:cs="Arial" w:eastAsia="Arial" w:hAnsi="Arial"/>
                <w:sz w:val="8"/>
                <w:szCs w:val="8"/>
                <w:b w:val="1"/>
                <w:bCs w:val="1"/>
                <w:color w:val="auto"/>
              </w:rPr>
              <w:t>Three Months Ended March 31, 2021</w:t>
            </w:r>
          </w:p>
        </w:tc>
        <w:tc>
          <w:tcPr>
            <w:tcW w:w="4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gridSpan w:val="5"/>
          </w:tcPr>
          <w:p>
            <w:pPr>
              <w:ind w:left="40"/>
              <w:spacing w:after="0"/>
              <w:rPr>
                <w:sz w:val="20"/>
                <w:szCs w:val="20"/>
                <w:color w:val="auto"/>
              </w:rPr>
            </w:pPr>
            <w:r>
              <w:rPr>
                <w:rFonts w:ascii="Arial" w:cs="Arial" w:eastAsia="Arial" w:hAnsi="Arial"/>
                <w:sz w:val="8"/>
                <w:szCs w:val="8"/>
                <w:b w:val="1"/>
                <w:bCs w:val="1"/>
                <w:color w:val="auto"/>
              </w:rPr>
              <w:t>Three Months Ended March 31, 2020</w:t>
            </w:r>
          </w:p>
        </w:tc>
        <w:tc>
          <w:tcPr>
            <w:tcW w:w="4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ind w:left="40"/>
              <w:spacing w:after="0"/>
              <w:rPr>
                <w:sz w:val="20"/>
                <w:szCs w:val="20"/>
                <w:color w:val="auto"/>
              </w:rPr>
            </w:pPr>
            <w:r>
              <w:rPr>
                <w:rFonts w:ascii="Arial" w:cs="Arial" w:eastAsia="Arial" w:hAnsi="Arial"/>
                <w:sz w:val="8"/>
                <w:szCs w:val="8"/>
                <w:b w:val="1"/>
                <w:bCs w:val="1"/>
                <w:color w:val="auto"/>
              </w:rPr>
              <w:t>Automotive</w:t>
            </w:r>
          </w:p>
        </w:tc>
        <w:tc>
          <w:tcPr>
            <w:tcW w:w="120" w:type="dxa"/>
            <w:vAlign w:val="bottom"/>
          </w:tcPr>
          <w:p>
            <w:pPr>
              <w:spacing w:after="0"/>
              <w:rPr>
                <w:sz w:val="10"/>
                <w:szCs w:val="10"/>
                <w:color w:val="auto"/>
              </w:rPr>
            </w:pPr>
          </w:p>
        </w:tc>
        <w:tc>
          <w:tcPr>
            <w:tcW w:w="440" w:type="dxa"/>
            <w:vAlign w:val="bottom"/>
          </w:tcPr>
          <w:p>
            <w:pPr>
              <w:jc w:val="right"/>
              <w:ind w:right="85"/>
              <w:spacing w:after="0"/>
              <w:rPr>
                <w:sz w:val="20"/>
                <w:szCs w:val="20"/>
                <w:color w:val="auto"/>
              </w:rPr>
            </w:pPr>
            <w:r>
              <w:rPr>
                <w:rFonts w:ascii="Arial" w:cs="Arial" w:eastAsia="Arial" w:hAnsi="Arial"/>
                <w:sz w:val="8"/>
                <w:szCs w:val="8"/>
                <w:b w:val="1"/>
                <w:bCs w:val="1"/>
                <w:color w:val="auto"/>
              </w:rPr>
              <w:t>Cruise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spacing w:after="0"/>
              <w:rPr>
                <w:sz w:val="20"/>
                <w:szCs w:val="20"/>
                <w:color w:val="auto"/>
              </w:rPr>
            </w:pPr>
            <w:r>
              <w:rPr>
                <w:rFonts w:ascii="Arial" w:cs="Arial" w:eastAsia="Arial" w:hAnsi="Arial"/>
                <w:sz w:val="8"/>
                <w:szCs w:val="8"/>
                <w:b w:val="1"/>
                <w:bCs w:val="1"/>
                <w:color w:val="auto"/>
              </w:rPr>
              <w:t>GM Financial</w:t>
            </w:r>
          </w:p>
        </w:tc>
        <w:tc>
          <w:tcPr>
            <w:tcW w:w="1340" w:type="dxa"/>
            <w:vAlign w:val="bottom"/>
            <w:gridSpan w:val="3"/>
          </w:tcPr>
          <w:p>
            <w:pPr>
              <w:ind w:left="20"/>
              <w:spacing w:after="0"/>
              <w:rPr>
                <w:sz w:val="20"/>
                <w:szCs w:val="20"/>
                <w:color w:val="auto"/>
              </w:rPr>
            </w:pPr>
            <w:r>
              <w:rPr>
                <w:rFonts w:ascii="Arial" w:cs="Arial" w:eastAsia="Arial" w:hAnsi="Arial"/>
                <w:sz w:val="8"/>
                <w:szCs w:val="8"/>
                <w:b w:val="1"/>
                <w:bCs w:val="1"/>
                <w:color w:val="auto"/>
              </w:rPr>
              <w:t>Reclassifications/Eliminations</w:t>
            </w:r>
          </w:p>
        </w:tc>
        <w:tc>
          <w:tcPr>
            <w:tcW w:w="140" w:type="dxa"/>
            <w:vAlign w:val="bottom"/>
          </w:tcPr>
          <w:p>
            <w:pPr>
              <w:spacing w:after="0"/>
              <w:rPr>
                <w:sz w:val="10"/>
                <w:szCs w:val="10"/>
                <w:color w:val="auto"/>
              </w:rPr>
            </w:pPr>
          </w:p>
        </w:tc>
        <w:tc>
          <w:tcPr>
            <w:tcW w:w="640" w:type="dxa"/>
            <w:vAlign w:val="bottom"/>
          </w:tcPr>
          <w:p>
            <w:pPr>
              <w:jc w:val="right"/>
              <w:ind w:right="124"/>
              <w:spacing w:after="0"/>
              <w:rPr>
                <w:sz w:val="20"/>
                <w:szCs w:val="20"/>
                <w:color w:val="auto"/>
              </w:rPr>
            </w:pPr>
            <w:r>
              <w:rPr>
                <w:rFonts w:ascii="Arial" w:cs="Arial" w:eastAsia="Arial" w:hAnsi="Arial"/>
                <w:sz w:val="8"/>
                <w:szCs w:val="8"/>
                <w:b w:val="1"/>
                <w:bCs w:val="1"/>
                <w:color w:val="auto"/>
              </w:rPr>
              <w:t>Combined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8"/>
                <w:szCs w:val="8"/>
                <w:b w:val="1"/>
                <w:bCs w:val="1"/>
                <w:color w:val="auto"/>
              </w:rPr>
              <w:t>Automotive</w:t>
            </w:r>
          </w:p>
        </w:tc>
        <w:tc>
          <w:tcPr>
            <w:tcW w:w="120" w:type="dxa"/>
            <w:vAlign w:val="bottom"/>
          </w:tcPr>
          <w:p>
            <w:pPr>
              <w:spacing w:after="0"/>
              <w:rPr>
                <w:sz w:val="10"/>
                <w:szCs w:val="10"/>
                <w:color w:val="auto"/>
              </w:rPr>
            </w:pPr>
          </w:p>
        </w:tc>
        <w:tc>
          <w:tcPr>
            <w:tcW w:w="460" w:type="dxa"/>
            <w:vAlign w:val="bottom"/>
          </w:tcPr>
          <w:p>
            <w:pPr>
              <w:jc w:val="right"/>
              <w:ind w:right="105"/>
              <w:spacing w:after="0"/>
              <w:rPr>
                <w:sz w:val="20"/>
                <w:szCs w:val="20"/>
                <w:color w:val="auto"/>
              </w:rPr>
            </w:pPr>
            <w:r>
              <w:rPr>
                <w:rFonts w:ascii="Arial" w:cs="Arial" w:eastAsia="Arial" w:hAnsi="Arial"/>
                <w:sz w:val="8"/>
                <w:szCs w:val="8"/>
                <w:b w:val="1"/>
                <w:bCs w:val="1"/>
                <w:color w:val="auto"/>
              </w:rPr>
              <w:t>Cruise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spacing w:after="0"/>
              <w:rPr>
                <w:sz w:val="20"/>
                <w:szCs w:val="20"/>
                <w:color w:val="auto"/>
              </w:rPr>
            </w:pPr>
            <w:r>
              <w:rPr>
                <w:rFonts w:ascii="Arial" w:cs="Arial" w:eastAsia="Arial" w:hAnsi="Arial"/>
                <w:sz w:val="8"/>
                <w:szCs w:val="8"/>
                <w:b w:val="1"/>
                <w:bCs w:val="1"/>
                <w:color w:val="auto"/>
              </w:rPr>
              <w:t>GM Financial</w:t>
            </w:r>
          </w:p>
        </w:tc>
        <w:tc>
          <w:tcPr>
            <w:tcW w:w="1340" w:type="dxa"/>
            <w:vAlign w:val="bottom"/>
            <w:gridSpan w:val="3"/>
          </w:tcPr>
          <w:p>
            <w:pPr>
              <w:ind w:left="20"/>
              <w:spacing w:after="0"/>
              <w:rPr>
                <w:sz w:val="20"/>
                <w:szCs w:val="20"/>
                <w:color w:val="auto"/>
              </w:rPr>
            </w:pPr>
            <w:r>
              <w:rPr>
                <w:rFonts w:ascii="Arial" w:cs="Arial" w:eastAsia="Arial" w:hAnsi="Arial"/>
                <w:sz w:val="8"/>
                <w:szCs w:val="8"/>
                <w:b w:val="1"/>
                <w:bCs w:val="1"/>
                <w:color w:val="auto"/>
              </w:rPr>
              <w:t>Reclassifications/Eliminations</w:t>
            </w:r>
          </w:p>
        </w:tc>
        <w:tc>
          <w:tcPr>
            <w:tcW w:w="140" w:type="dxa"/>
            <w:vAlign w:val="bottom"/>
          </w:tcPr>
          <w:p>
            <w:pPr>
              <w:spacing w:after="0"/>
              <w:rPr>
                <w:sz w:val="10"/>
                <w:szCs w:val="10"/>
                <w:color w:val="auto"/>
              </w:rPr>
            </w:pPr>
          </w:p>
        </w:tc>
        <w:tc>
          <w:tcPr>
            <w:tcW w:w="640" w:type="dxa"/>
            <w:vAlign w:val="bottom"/>
          </w:tcPr>
          <w:p>
            <w:pPr>
              <w:jc w:val="right"/>
              <w:ind w:right="124"/>
              <w:spacing w:after="0"/>
              <w:rPr>
                <w:sz w:val="20"/>
                <w:szCs w:val="20"/>
                <w:color w:val="auto"/>
              </w:rPr>
            </w:pPr>
            <w:r>
              <w:rPr>
                <w:rFonts w:ascii="Arial" w:cs="Arial" w:eastAsia="Arial" w:hAnsi="Arial"/>
                <w:sz w:val="8"/>
                <w:szCs w:val="8"/>
                <w:b w:val="1"/>
                <w:bCs w:val="1"/>
                <w:color w:val="auto"/>
              </w:rPr>
              <w:t>Combined</w:t>
            </w:r>
          </w:p>
        </w:tc>
        <w:tc>
          <w:tcPr>
            <w:tcW w:w="0" w:type="dxa"/>
            <w:vAlign w:val="bottom"/>
          </w:tcPr>
          <w:p>
            <w:pPr>
              <w:spacing w:after="0"/>
              <w:rPr>
                <w:sz w:val="1"/>
                <w:szCs w:val="1"/>
                <w:color w:val="auto"/>
              </w:rPr>
            </w:pPr>
          </w:p>
        </w:tc>
      </w:tr>
      <w:tr>
        <w:trPr>
          <w:trHeight w:val="120"/>
        </w:trPr>
        <w:tc>
          <w:tcPr>
            <w:tcW w:w="2120" w:type="dxa"/>
            <w:vAlign w:val="bottom"/>
          </w:tcPr>
          <w:p>
            <w:pPr>
              <w:spacing w:after="0" w:line="113" w:lineRule="exact"/>
              <w:rPr>
                <w:sz w:val="20"/>
                <w:szCs w:val="20"/>
                <w:color w:val="auto"/>
              </w:rPr>
            </w:pPr>
            <w:r>
              <w:rPr>
                <w:rFonts w:ascii="Arial" w:cs="Arial" w:eastAsia="Arial" w:hAnsi="Arial"/>
                <w:sz w:val="10"/>
                <w:szCs w:val="10"/>
                <w:b w:val="1"/>
                <w:bCs w:val="1"/>
                <w:color w:val="auto"/>
              </w:rPr>
              <w:t>Net sales and revenue</w:t>
            </w: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120" w:type="dxa"/>
            <w:vAlign w:val="bottom"/>
            <w:shd w:val="clear" w:color="auto" w:fill="CCEEFF"/>
          </w:tcPr>
          <w:p>
            <w:pPr>
              <w:ind w:left="100"/>
              <w:spacing w:after="0"/>
              <w:rPr>
                <w:sz w:val="20"/>
                <w:szCs w:val="20"/>
                <w:color w:val="auto"/>
              </w:rPr>
            </w:pPr>
            <w:r>
              <w:rPr>
                <w:rFonts w:ascii="Arial" w:cs="Arial" w:eastAsia="Arial" w:hAnsi="Arial"/>
                <w:sz w:val="10"/>
                <w:szCs w:val="10"/>
                <w:color w:val="auto"/>
              </w:rPr>
              <w:t>Automotive</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29,062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6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29,067</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29,149</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25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29,150</w:t>
            </w:r>
          </w:p>
        </w:tc>
        <w:tc>
          <w:tcPr>
            <w:tcW w:w="0" w:type="dxa"/>
            <w:vAlign w:val="bottom"/>
          </w:tcPr>
          <w:p>
            <w:pPr>
              <w:spacing w:after="0"/>
              <w:rPr>
                <w:sz w:val="1"/>
                <w:szCs w:val="1"/>
                <w:color w:val="auto"/>
              </w:rPr>
            </w:pPr>
          </w:p>
        </w:tc>
      </w:tr>
      <w:tr>
        <w:trPr>
          <w:trHeight w:val="149"/>
        </w:trPr>
        <w:tc>
          <w:tcPr>
            <w:tcW w:w="2120" w:type="dxa"/>
            <w:vAlign w:val="bottom"/>
          </w:tcPr>
          <w:p>
            <w:pPr>
              <w:ind w:left="100"/>
              <w:spacing w:after="0"/>
              <w:rPr>
                <w:sz w:val="20"/>
                <w:szCs w:val="20"/>
                <w:color w:val="auto"/>
              </w:rPr>
            </w:pPr>
            <w:r>
              <w:rPr>
                <w:rFonts w:ascii="Arial" w:cs="Arial" w:eastAsia="Arial" w:hAnsi="Arial"/>
                <w:sz w:val="10"/>
                <w:szCs w:val="10"/>
                <w:color w:val="auto"/>
              </w:rPr>
              <w:t>GM Financial</w:t>
            </w:r>
          </w:p>
        </w:tc>
        <w:tc>
          <w:tcPr>
            <w:tcW w:w="12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3,407</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40" w:type="dxa"/>
            <w:vAlign w:val="bottom"/>
          </w:tcPr>
          <w:p>
            <w:pPr>
              <w:jc w:val="right"/>
              <w:ind w:right="4"/>
              <w:spacing w:after="0"/>
              <w:rPr>
                <w:sz w:val="20"/>
                <w:szCs w:val="20"/>
                <w:color w:val="auto"/>
              </w:rPr>
            </w:pPr>
            <w:r>
              <w:rPr>
                <w:rFonts w:ascii="Arial" w:cs="Arial" w:eastAsia="Arial" w:hAnsi="Arial"/>
                <w:sz w:val="11"/>
                <w:szCs w:val="11"/>
                <w:color w:val="auto"/>
              </w:rPr>
              <w:t>3,407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46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3,561</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3,559</w:t>
            </w:r>
          </w:p>
        </w:tc>
        <w:tc>
          <w:tcPr>
            <w:tcW w:w="0" w:type="dxa"/>
            <w:vAlign w:val="bottom"/>
          </w:tcPr>
          <w:p>
            <w:pPr>
              <w:spacing w:after="0"/>
              <w:rPr>
                <w:sz w:val="1"/>
                <w:szCs w:val="1"/>
                <w:color w:val="auto"/>
              </w:rPr>
            </w:pPr>
          </w:p>
        </w:tc>
      </w:tr>
      <w:tr>
        <w:trPr>
          <w:trHeight w:val="139"/>
        </w:trPr>
        <w:tc>
          <w:tcPr>
            <w:tcW w:w="212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0"/>
                <w:szCs w:val="10"/>
                <w:color w:val="auto"/>
              </w:rPr>
              <w:t>Total net sales and revenue</w:t>
            </w: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29,062</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30</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3,407</w:t>
            </w:r>
          </w:p>
        </w:tc>
        <w:tc>
          <w:tcPr>
            <w:tcW w:w="10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32,474</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29,149</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25</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3,561</w:t>
            </w:r>
          </w:p>
        </w:tc>
        <w:tc>
          <w:tcPr>
            <w:tcW w:w="10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32,709</w:t>
            </w:r>
          </w:p>
        </w:tc>
        <w:tc>
          <w:tcPr>
            <w:tcW w:w="0" w:type="dxa"/>
            <w:vAlign w:val="bottom"/>
          </w:tcPr>
          <w:p>
            <w:pPr>
              <w:spacing w:after="0"/>
              <w:rPr>
                <w:sz w:val="1"/>
                <w:szCs w:val="1"/>
                <w:color w:val="auto"/>
              </w:rPr>
            </w:pPr>
          </w:p>
        </w:tc>
      </w:tr>
      <w:tr>
        <w:trPr>
          <w:trHeight w:val="134"/>
        </w:trPr>
        <w:tc>
          <w:tcPr>
            <w:tcW w:w="2120" w:type="dxa"/>
            <w:vAlign w:val="bottom"/>
          </w:tcPr>
          <w:p>
            <w:pPr>
              <w:spacing w:after="0"/>
              <w:rPr>
                <w:sz w:val="20"/>
                <w:szCs w:val="20"/>
                <w:color w:val="auto"/>
              </w:rPr>
            </w:pPr>
            <w:r>
              <w:rPr>
                <w:rFonts w:ascii="Arial" w:cs="Arial" w:eastAsia="Arial" w:hAnsi="Arial"/>
                <w:sz w:val="10"/>
                <w:szCs w:val="10"/>
                <w:b w:val="1"/>
                <w:bCs w:val="1"/>
                <w:color w:val="auto"/>
              </w:rPr>
              <w:t>Costs and expenses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120" w:type="dxa"/>
            <w:vAlign w:val="bottom"/>
            <w:shd w:val="clear" w:color="auto" w:fill="CCEEFF"/>
          </w:tcPr>
          <w:p>
            <w:pPr>
              <w:ind w:left="100"/>
              <w:spacing w:after="0"/>
              <w:rPr>
                <w:sz w:val="20"/>
                <w:szCs w:val="20"/>
                <w:color w:val="auto"/>
              </w:rPr>
            </w:pPr>
            <w:r>
              <w:rPr>
                <w:rFonts w:ascii="Arial" w:cs="Arial" w:eastAsia="Arial" w:hAnsi="Arial"/>
                <w:sz w:val="10"/>
                <w:szCs w:val="10"/>
                <w:color w:val="auto"/>
              </w:rPr>
              <w:t>Automotive and other cost of sales</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24,888</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227</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25,115</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26,543</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183</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26,726</w:t>
            </w:r>
          </w:p>
        </w:tc>
        <w:tc>
          <w:tcPr>
            <w:tcW w:w="0" w:type="dxa"/>
            <w:vAlign w:val="bottom"/>
          </w:tcPr>
          <w:p>
            <w:pPr>
              <w:spacing w:after="0"/>
              <w:rPr>
                <w:sz w:val="1"/>
                <w:szCs w:val="1"/>
                <w:color w:val="auto"/>
              </w:rPr>
            </w:pPr>
          </w:p>
        </w:tc>
      </w:tr>
      <w:tr>
        <w:trPr>
          <w:trHeight w:val="101"/>
        </w:trPr>
        <w:tc>
          <w:tcPr>
            <w:tcW w:w="2120" w:type="dxa"/>
            <w:vAlign w:val="bottom"/>
          </w:tcPr>
          <w:p>
            <w:pPr>
              <w:ind w:left="100"/>
              <w:spacing w:after="0" w:line="102" w:lineRule="exact"/>
              <w:rPr>
                <w:sz w:val="20"/>
                <w:szCs w:val="20"/>
                <w:color w:val="auto"/>
              </w:rPr>
            </w:pPr>
            <w:r>
              <w:rPr>
                <w:rFonts w:ascii="Arial" w:cs="Arial" w:eastAsia="Arial" w:hAnsi="Arial"/>
                <w:sz w:val="10"/>
                <w:szCs w:val="10"/>
                <w:color w:val="auto"/>
              </w:rPr>
              <w:t>GM Financial interest, operating and other</w:t>
            </w:r>
          </w:p>
        </w:tc>
        <w:tc>
          <w:tcPr>
            <w:tcW w:w="120" w:type="dxa"/>
            <w:vAlign w:val="bottom"/>
          </w:tcPr>
          <w:p>
            <w:pPr>
              <w:spacing w:after="0"/>
              <w:rPr>
                <w:sz w:val="8"/>
                <w:szCs w:val="8"/>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2,279</w:t>
            </w: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8"/>
                <w:szCs w:val="8"/>
                <w:color w:val="auto"/>
              </w:rPr>
            </w:pPr>
          </w:p>
        </w:tc>
        <w:tc>
          <w:tcPr>
            <w:tcW w:w="640" w:type="dxa"/>
            <w:vAlign w:val="bottom"/>
            <w:vMerge w:val="restart"/>
          </w:tcPr>
          <w:p>
            <w:pPr>
              <w:jc w:val="right"/>
              <w:ind w:right="4"/>
              <w:spacing w:after="0"/>
              <w:rPr>
                <w:sz w:val="20"/>
                <w:szCs w:val="20"/>
                <w:color w:val="auto"/>
              </w:rPr>
            </w:pPr>
            <w:r>
              <w:rPr>
                <w:rFonts w:ascii="Arial" w:cs="Arial" w:eastAsia="Arial" w:hAnsi="Arial"/>
                <w:sz w:val="11"/>
                <w:szCs w:val="11"/>
                <w:color w:val="auto"/>
              </w:rPr>
              <w:t>2,279</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8"/>
                <w:szCs w:val="8"/>
                <w:color w:val="auto"/>
              </w:rPr>
            </w:pPr>
          </w:p>
        </w:tc>
        <w:tc>
          <w:tcPr>
            <w:tcW w:w="460" w:type="dxa"/>
            <w:vAlign w:val="bottom"/>
            <w:vMerge w:val="restart"/>
          </w:tcPr>
          <w:p>
            <w:pPr>
              <w:jc w:val="right"/>
              <w:ind w:right="5"/>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3,356</w:t>
            </w: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8"/>
                <w:szCs w:val="8"/>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3,356</w:t>
            </w:r>
          </w:p>
        </w:tc>
        <w:tc>
          <w:tcPr>
            <w:tcW w:w="0" w:type="dxa"/>
            <w:vAlign w:val="bottom"/>
          </w:tcPr>
          <w:p>
            <w:pPr>
              <w:spacing w:after="0"/>
              <w:rPr>
                <w:sz w:val="1"/>
                <w:szCs w:val="1"/>
                <w:color w:val="auto"/>
              </w:rPr>
            </w:pPr>
          </w:p>
        </w:tc>
      </w:tr>
      <w:tr>
        <w:trPr>
          <w:trHeight w:val="132"/>
        </w:trPr>
        <w:tc>
          <w:tcPr>
            <w:tcW w:w="2120" w:type="dxa"/>
            <w:vAlign w:val="bottom"/>
          </w:tcPr>
          <w:p>
            <w:pPr>
              <w:ind w:left="220"/>
              <w:spacing w:after="0"/>
              <w:rPr>
                <w:sz w:val="20"/>
                <w:szCs w:val="20"/>
                <w:color w:val="auto"/>
              </w:rPr>
            </w:pPr>
            <w:r>
              <w:rPr>
                <w:rFonts w:ascii="Arial" w:cs="Arial" w:eastAsia="Arial" w:hAnsi="Arial"/>
                <w:sz w:val="10"/>
                <w:szCs w:val="10"/>
                <w:color w:val="auto"/>
              </w:rPr>
              <w:t>expenses</w:t>
            </w:r>
          </w:p>
        </w:tc>
        <w:tc>
          <w:tcPr>
            <w:tcW w:w="1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120" w:type="dxa"/>
            <w:vAlign w:val="bottom"/>
            <w:shd w:val="clear" w:color="auto" w:fill="CCEEFF"/>
          </w:tcPr>
          <w:p>
            <w:pPr>
              <w:ind w:left="100"/>
              <w:spacing w:after="0" w:line="102" w:lineRule="exact"/>
              <w:rPr>
                <w:sz w:val="20"/>
                <w:szCs w:val="20"/>
                <w:color w:val="auto"/>
              </w:rPr>
            </w:pPr>
            <w:r>
              <w:rPr>
                <w:rFonts w:ascii="Arial" w:cs="Arial" w:eastAsia="Arial" w:hAnsi="Arial"/>
                <w:sz w:val="10"/>
                <w:szCs w:val="10"/>
                <w:color w:val="auto"/>
              </w:rPr>
              <w:t>Automotive and other selling, general and</w:t>
            </w:r>
          </w:p>
        </w:tc>
        <w:tc>
          <w:tcPr>
            <w:tcW w:w="120" w:type="dxa"/>
            <w:vAlign w:val="bottom"/>
            <w:shd w:val="clear" w:color="auto" w:fill="CCEEFF"/>
          </w:tcPr>
          <w:p>
            <w:pPr>
              <w:spacing w:after="0"/>
              <w:rPr>
                <w:sz w:val="8"/>
                <w:szCs w:val="8"/>
                <w:color w:val="auto"/>
              </w:rPr>
            </w:pPr>
          </w:p>
        </w:tc>
        <w:tc>
          <w:tcPr>
            <w:tcW w:w="680" w:type="dxa"/>
            <w:vAlign w:val="bottom"/>
            <w:vMerge w:val="restart"/>
            <w:shd w:val="clear" w:color="auto" w:fill="CCEEFF"/>
          </w:tcPr>
          <w:p>
            <w:pPr>
              <w:jc w:val="right"/>
              <w:ind w:right="5"/>
              <w:spacing w:after="0"/>
              <w:rPr>
                <w:sz w:val="20"/>
                <w:szCs w:val="20"/>
                <w:color w:val="auto"/>
              </w:rPr>
            </w:pPr>
            <w:r>
              <w:rPr>
                <w:rFonts w:ascii="Arial" w:cs="Arial" w:eastAsia="Arial" w:hAnsi="Arial"/>
                <w:sz w:val="11"/>
                <w:szCs w:val="11"/>
                <w:color w:val="auto"/>
              </w:rPr>
              <w:t>1,741</w:t>
            </w: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62</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vMerge w:val="restart"/>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4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vMerge w:val="restart"/>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vMerge w:val="restart"/>
            <w:shd w:val="clear" w:color="auto" w:fill="CCEEFF"/>
          </w:tcPr>
          <w:p>
            <w:pPr>
              <w:jc w:val="right"/>
              <w:ind w:right="4"/>
              <w:spacing w:after="0"/>
              <w:rPr>
                <w:sz w:val="20"/>
                <w:szCs w:val="20"/>
                <w:color w:val="auto"/>
              </w:rPr>
            </w:pPr>
            <w:r>
              <w:rPr>
                <w:rFonts w:ascii="Arial" w:cs="Arial" w:eastAsia="Arial" w:hAnsi="Arial"/>
                <w:sz w:val="11"/>
                <w:szCs w:val="11"/>
                <w:color w:val="auto"/>
              </w:rPr>
              <w:t>1,803</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vMerge w:val="restart"/>
            <w:shd w:val="clear" w:color="auto" w:fill="CCEEFF"/>
          </w:tcPr>
          <w:p>
            <w:pPr>
              <w:jc w:val="right"/>
              <w:ind w:right="5"/>
              <w:spacing w:after="0"/>
              <w:rPr>
                <w:sz w:val="20"/>
                <w:szCs w:val="20"/>
                <w:color w:val="auto"/>
              </w:rPr>
            </w:pPr>
            <w:r>
              <w:rPr>
                <w:rFonts w:ascii="Arial" w:cs="Arial" w:eastAsia="Arial" w:hAnsi="Arial"/>
                <w:sz w:val="11"/>
                <w:szCs w:val="11"/>
                <w:color w:val="auto"/>
              </w:rPr>
              <w:t>1,902</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vMerge w:val="restart"/>
            <w:shd w:val="clear" w:color="auto" w:fill="CCEEFF"/>
          </w:tcPr>
          <w:p>
            <w:pPr>
              <w:jc w:val="right"/>
              <w:ind w:right="5"/>
              <w:spacing w:after="0"/>
              <w:rPr>
                <w:sz w:val="20"/>
                <w:szCs w:val="20"/>
                <w:color w:val="auto"/>
              </w:rPr>
            </w:pPr>
            <w:r>
              <w:rPr>
                <w:rFonts w:ascii="Arial" w:cs="Arial" w:eastAsia="Arial" w:hAnsi="Arial"/>
                <w:sz w:val="11"/>
                <w:szCs w:val="11"/>
                <w:color w:val="auto"/>
              </w:rPr>
              <w:t>68</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vMerge w:val="restart"/>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4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vMerge w:val="restart"/>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1,970</w:t>
            </w:r>
          </w:p>
        </w:tc>
        <w:tc>
          <w:tcPr>
            <w:tcW w:w="0" w:type="dxa"/>
            <w:vAlign w:val="bottom"/>
          </w:tcPr>
          <w:p>
            <w:pPr>
              <w:spacing w:after="0"/>
              <w:rPr>
                <w:sz w:val="1"/>
                <w:szCs w:val="1"/>
                <w:color w:val="auto"/>
              </w:rPr>
            </w:pPr>
          </w:p>
        </w:tc>
      </w:tr>
      <w:tr>
        <w:trPr>
          <w:trHeight w:val="132"/>
        </w:trPr>
        <w:tc>
          <w:tcPr>
            <w:tcW w:w="2120" w:type="dxa"/>
            <w:vAlign w:val="bottom"/>
            <w:shd w:val="clear" w:color="auto" w:fill="CCEEFF"/>
          </w:tcPr>
          <w:p>
            <w:pPr>
              <w:ind w:left="220"/>
              <w:spacing w:after="0"/>
              <w:rPr>
                <w:sz w:val="20"/>
                <w:szCs w:val="20"/>
                <w:color w:val="auto"/>
              </w:rPr>
            </w:pPr>
            <w:r>
              <w:rPr>
                <w:rFonts w:ascii="Arial" w:cs="Arial" w:eastAsia="Arial" w:hAnsi="Arial"/>
                <w:sz w:val="10"/>
                <w:szCs w:val="10"/>
                <w:color w:val="auto"/>
              </w:rPr>
              <w:t>administrative expense</w:t>
            </w:r>
          </w:p>
        </w:tc>
        <w:tc>
          <w:tcPr>
            <w:tcW w:w="12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120" w:type="dxa"/>
            <w:vAlign w:val="bottom"/>
          </w:tcPr>
          <w:p>
            <w:pPr>
              <w:ind w:left="100"/>
              <w:spacing w:after="0"/>
              <w:rPr>
                <w:sz w:val="20"/>
                <w:szCs w:val="20"/>
                <w:color w:val="auto"/>
              </w:rPr>
            </w:pPr>
            <w:r>
              <w:rPr>
                <w:rFonts w:ascii="Arial" w:cs="Arial" w:eastAsia="Arial" w:hAnsi="Arial"/>
                <w:sz w:val="10"/>
                <w:szCs w:val="10"/>
                <w:color w:val="auto"/>
              </w:rPr>
              <w:t>Total costs and expenses</w:t>
            </w:r>
          </w:p>
        </w:tc>
        <w:tc>
          <w:tcPr>
            <w:tcW w:w="120" w:type="dxa"/>
            <w:vAlign w:val="bottom"/>
          </w:tcPr>
          <w:p>
            <w:pPr>
              <w:spacing w:after="0"/>
              <w:rPr>
                <w:sz w:val="12"/>
                <w:szCs w:val="12"/>
                <w:color w:val="auto"/>
              </w:rPr>
            </w:pPr>
          </w:p>
        </w:tc>
        <w:tc>
          <w:tcPr>
            <w:tcW w:w="680" w:type="dxa"/>
            <w:vAlign w:val="bottom"/>
          </w:tcPr>
          <w:p>
            <w:pPr>
              <w:jc w:val="right"/>
              <w:ind w:right="5"/>
              <w:spacing w:after="0"/>
              <w:rPr>
                <w:sz w:val="20"/>
                <w:szCs w:val="20"/>
                <w:color w:val="auto"/>
              </w:rPr>
            </w:pPr>
            <w:r>
              <w:rPr>
                <w:rFonts w:ascii="Arial" w:cs="Arial" w:eastAsia="Arial" w:hAnsi="Arial"/>
                <w:sz w:val="11"/>
                <w:szCs w:val="11"/>
                <w:color w:val="auto"/>
              </w:rPr>
              <w:t>26,629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289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2,279</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40" w:type="dxa"/>
            <w:vAlign w:val="bottom"/>
          </w:tcPr>
          <w:p>
            <w:pPr>
              <w:jc w:val="right"/>
              <w:ind w:right="4"/>
              <w:spacing w:after="0"/>
              <w:rPr>
                <w:sz w:val="20"/>
                <w:szCs w:val="20"/>
                <w:color w:val="auto"/>
              </w:rPr>
            </w:pPr>
            <w:r>
              <w:rPr>
                <w:rFonts w:ascii="Arial" w:cs="Arial" w:eastAsia="Arial" w:hAnsi="Arial"/>
                <w:sz w:val="11"/>
                <w:szCs w:val="11"/>
                <w:color w:val="auto"/>
              </w:rPr>
              <w:t>29,197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28,445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5"/>
              <w:spacing w:after="0"/>
              <w:rPr>
                <w:sz w:val="20"/>
                <w:szCs w:val="20"/>
                <w:color w:val="auto"/>
              </w:rPr>
            </w:pPr>
            <w:r>
              <w:rPr>
                <w:rFonts w:ascii="Arial" w:cs="Arial" w:eastAsia="Arial" w:hAnsi="Arial"/>
                <w:sz w:val="11"/>
                <w:szCs w:val="11"/>
                <w:color w:val="auto"/>
              </w:rPr>
              <w:t>251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3,356</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32,052</w:t>
            </w:r>
          </w:p>
        </w:tc>
        <w:tc>
          <w:tcPr>
            <w:tcW w:w="0" w:type="dxa"/>
            <w:vAlign w:val="bottom"/>
          </w:tcPr>
          <w:p>
            <w:pPr>
              <w:spacing w:after="0"/>
              <w:rPr>
                <w:sz w:val="1"/>
                <w:szCs w:val="1"/>
                <w:color w:val="auto"/>
              </w:rPr>
            </w:pPr>
          </w:p>
        </w:tc>
      </w:tr>
      <w:tr>
        <w:trPr>
          <w:trHeight w:val="139"/>
        </w:trPr>
        <w:tc>
          <w:tcPr>
            <w:tcW w:w="21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0"/>
                <w:szCs w:val="10"/>
                <w:color w:val="auto"/>
              </w:rPr>
              <w:t>Operating income (loss)</w:t>
            </w: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2,433</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(259)</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1,128</w:t>
            </w:r>
          </w:p>
        </w:tc>
        <w:tc>
          <w:tcPr>
            <w:tcW w:w="10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3,277</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704</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(226)</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205</w:t>
            </w:r>
          </w:p>
        </w:tc>
        <w:tc>
          <w:tcPr>
            <w:tcW w:w="10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657</w:t>
            </w:r>
          </w:p>
        </w:tc>
        <w:tc>
          <w:tcPr>
            <w:tcW w:w="0" w:type="dxa"/>
            <w:vAlign w:val="bottom"/>
          </w:tcPr>
          <w:p>
            <w:pPr>
              <w:spacing w:after="0"/>
              <w:rPr>
                <w:sz w:val="1"/>
                <w:szCs w:val="1"/>
                <w:color w:val="auto"/>
              </w:rPr>
            </w:pPr>
          </w:p>
        </w:tc>
      </w:tr>
      <w:tr>
        <w:trPr>
          <w:trHeight w:val="149"/>
        </w:trPr>
        <w:tc>
          <w:tcPr>
            <w:tcW w:w="2120" w:type="dxa"/>
            <w:vAlign w:val="bottom"/>
          </w:tcPr>
          <w:p>
            <w:pPr>
              <w:spacing w:after="0"/>
              <w:rPr>
                <w:sz w:val="20"/>
                <w:szCs w:val="20"/>
                <w:color w:val="auto"/>
              </w:rPr>
            </w:pPr>
            <w:r>
              <w:rPr>
                <w:rFonts w:ascii="Arial" w:cs="Arial" w:eastAsia="Arial" w:hAnsi="Arial"/>
                <w:sz w:val="10"/>
                <w:szCs w:val="10"/>
                <w:color w:val="auto"/>
              </w:rPr>
              <w:t>Automotive interest expense</w:t>
            </w:r>
          </w:p>
        </w:tc>
        <w:tc>
          <w:tcPr>
            <w:tcW w:w="120" w:type="dxa"/>
            <w:vAlign w:val="bottom"/>
          </w:tcPr>
          <w:p>
            <w:pPr>
              <w:spacing w:after="0"/>
              <w:rPr>
                <w:sz w:val="12"/>
                <w:szCs w:val="12"/>
                <w:color w:val="auto"/>
              </w:rPr>
            </w:pPr>
          </w:p>
        </w:tc>
        <w:tc>
          <w:tcPr>
            <w:tcW w:w="680" w:type="dxa"/>
            <w:vAlign w:val="bottom"/>
          </w:tcPr>
          <w:p>
            <w:pPr>
              <w:jc w:val="right"/>
              <w:ind w:right="5"/>
              <w:spacing w:after="0"/>
              <w:rPr>
                <w:sz w:val="20"/>
                <w:szCs w:val="20"/>
                <w:color w:val="auto"/>
              </w:rPr>
            </w:pPr>
            <w:r>
              <w:rPr>
                <w:rFonts w:ascii="Arial" w:cs="Arial" w:eastAsia="Arial" w:hAnsi="Arial"/>
                <w:sz w:val="11"/>
                <w:szCs w:val="11"/>
                <w:color w:val="auto"/>
              </w:rPr>
              <w:t>250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2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40" w:type="dxa"/>
            <w:vAlign w:val="bottom"/>
          </w:tcPr>
          <w:p>
            <w:pPr>
              <w:jc w:val="right"/>
              <w:ind w:right="4"/>
              <w:spacing w:after="0"/>
              <w:rPr>
                <w:sz w:val="20"/>
                <w:szCs w:val="20"/>
                <w:color w:val="auto"/>
              </w:rPr>
            </w:pPr>
            <w:r>
              <w:rPr>
                <w:rFonts w:ascii="Arial" w:cs="Arial" w:eastAsia="Arial" w:hAnsi="Arial"/>
                <w:sz w:val="11"/>
                <w:szCs w:val="11"/>
                <w:color w:val="auto"/>
              </w:rPr>
              <w:t>250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193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2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193</w:t>
            </w:r>
          </w:p>
        </w:tc>
        <w:tc>
          <w:tcPr>
            <w:tcW w:w="0" w:type="dxa"/>
            <w:vAlign w:val="bottom"/>
          </w:tcPr>
          <w:p>
            <w:pPr>
              <w:spacing w:after="0"/>
              <w:rPr>
                <w:sz w:val="1"/>
                <w:szCs w:val="1"/>
                <w:color w:val="auto"/>
              </w:rPr>
            </w:pPr>
          </w:p>
        </w:tc>
      </w:tr>
      <w:tr>
        <w:trPr>
          <w:trHeight w:val="101"/>
        </w:trPr>
        <w:tc>
          <w:tcPr>
            <w:tcW w:w="2120" w:type="dxa"/>
            <w:vAlign w:val="bottom"/>
            <w:shd w:val="clear" w:color="auto" w:fill="CCEEFF"/>
          </w:tcPr>
          <w:p>
            <w:pPr>
              <w:spacing w:after="0" w:line="102" w:lineRule="exact"/>
              <w:rPr>
                <w:sz w:val="20"/>
                <w:szCs w:val="20"/>
                <w:color w:val="auto"/>
              </w:rPr>
            </w:pPr>
            <w:r>
              <w:rPr>
                <w:rFonts w:ascii="Arial" w:cs="Arial" w:eastAsia="Arial" w:hAnsi="Arial"/>
                <w:sz w:val="10"/>
                <w:szCs w:val="10"/>
                <w:color w:val="auto"/>
              </w:rPr>
              <w:t>Interest income and other non-operating</w:t>
            </w:r>
          </w:p>
        </w:tc>
        <w:tc>
          <w:tcPr>
            <w:tcW w:w="120" w:type="dxa"/>
            <w:vAlign w:val="bottom"/>
            <w:shd w:val="clear" w:color="auto" w:fill="CCEEFF"/>
          </w:tcPr>
          <w:p>
            <w:pPr>
              <w:spacing w:after="0"/>
              <w:rPr>
                <w:sz w:val="8"/>
                <w:szCs w:val="8"/>
                <w:color w:val="auto"/>
              </w:rPr>
            </w:pPr>
          </w:p>
        </w:tc>
        <w:tc>
          <w:tcPr>
            <w:tcW w:w="680" w:type="dxa"/>
            <w:vAlign w:val="bottom"/>
            <w:vMerge w:val="restart"/>
            <w:shd w:val="clear" w:color="auto" w:fill="CCEEFF"/>
          </w:tcPr>
          <w:p>
            <w:pPr>
              <w:jc w:val="right"/>
              <w:ind w:right="5"/>
              <w:spacing w:after="0"/>
              <w:rPr>
                <w:sz w:val="20"/>
                <w:szCs w:val="20"/>
                <w:color w:val="auto"/>
              </w:rPr>
            </w:pPr>
            <w:r>
              <w:rPr>
                <w:rFonts w:ascii="Arial" w:cs="Arial" w:eastAsia="Arial" w:hAnsi="Arial"/>
                <w:sz w:val="11"/>
                <w:szCs w:val="11"/>
                <w:color w:val="auto"/>
              </w:rPr>
              <w:t>772</w:t>
            </w: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11</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spacing w:after="0"/>
              <w:rPr>
                <w:sz w:val="8"/>
                <w:szCs w:val="8"/>
                <w:color w:val="auto"/>
              </w:rPr>
            </w:pPr>
          </w:p>
        </w:tc>
        <w:tc>
          <w:tcPr>
            <w:tcW w:w="4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16</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vMerge w:val="restart"/>
            <w:shd w:val="clear" w:color="auto" w:fill="CCEEFF"/>
          </w:tcPr>
          <w:p>
            <w:pPr>
              <w:jc w:val="right"/>
              <w:ind w:right="4"/>
              <w:spacing w:after="0"/>
              <w:rPr>
                <w:sz w:val="20"/>
                <w:szCs w:val="20"/>
                <w:color w:val="auto"/>
              </w:rPr>
            </w:pPr>
            <w:r>
              <w:rPr>
                <w:rFonts w:ascii="Arial" w:cs="Arial" w:eastAsia="Arial" w:hAnsi="Arial"/>
                <w:sz w:val="11"/>
                <w:szCs w:val="11"/>
                <w:color w:val="auto"/>
              </w:rPr>
              <w:t>799</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vMerge w:val="restart"/>
            <w:shd w:val="clear" w:color="auto" w:fill="CCEEFF"/>
          </w:tcPr>
          <w:p>
            <w:pPr>
              <w:jc w:val="right"/>
              <w:ind w:right="5"/>
              <w:spacing w:after="0"/>
              <w:rPr>
                <w:sz w:val="20"/>
                <w:szCs w:val="20"/>
                <w:color w:val="auto"/>
              </w:rPr>
            </w:pPr>
            <w:r>
              <w:rPr>
                <w:rFonts w:ascii="Arial" w:cs="Arial" w:eastAsia="Arial" w:hAnsi="Arial"/>
                <w:sz w:val="11"/>
                <w:szCs w:val="11"/>
                <w:color w:val="auto"/>
              </w:rPr>
              <w:t>278</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(10)</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spacing w:after="0"/>
              <w:rPr>
                <w:sz w:val="8"/>
                <w:szCs w:val="8"/>
                <w:color w:val="auto"/>
              </w:rPr>
            </w:pPr>
          </w:p>
        </w:tc>
        <w:tc>
          <w:tcPr>
            <w:tcW w:w="4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43</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311</w:t>
            </w:r>
          </w:p>
        </w:tc>
        <w:tc>
          <w:tcPr>
            <w:tcW w:w="0" w:type="dxa"/>
            <w:vAlign w:val="bottom"/>
          </w:tcPr>
          <w:p>
            <w:pPr>
              <w:spacing w:after="0"/>
              <w:rPr>
                <w:sz w:val="1"/>
                <w:szCs w:val="1"/>
                <w:color w:val="auto"/>
              </w:rPr>
            </w:pPr>
          </w:p>
        </w:tc>
      </w:tr>
      <w:tr>
        <w:trPr>
          <w:trHeight w:val="132"/>
        </w:trPr>
        <w:tc>
          <w:tcPr>
            <w:tcW w:w="2120" w:type="dxa"/>
            <w:vAlign w:val="bottom"/>
            <w:shd w:val="clear" w:color="auto" w:fill="CCEEFF"/>
          </w:tcPr>
          <w:p>
            <w:pPr>
              <w:ind w:left="140"/>
              <w:spacing w:after="0"/>
              <w:rPr>
                <w:sz w:val="20"/>
                <w:szCs w:val="20"/>
                <w:color w:val="auto"/>
              </w:rPr>
            </w:pPr>
            <w:r>
              <w:rPr>
                <w:rFonts w:ascii="Arial" w:cs="Arial" w:eastAsia="Arial" w:hAnsi="Arial"/>
                <w:sz w:val="10"/>
                <w:szCs w:val="10"/>
                <w:color w:val="auto"/>
              </w:rPr>
              <w:t>income (loss), net</w:t>
            </w:r>
          </w:p>
        </w:tc>
        <w:tc>
          <w:tcPr>
            <w:tcW w:w="120" w:type="dxa"/>
            <w:vAlign w:val="bottom"/>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vMerge w:val="continue"/>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4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vMerge w:val="continue"/>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4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2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Equity income (loss)</w:t>
            </w: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311</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54</w:t>
            </w:r>
          </w:p>
        </w:tc>
        <w:tc>
          <w:tcPr>
            <w:tcW w:w="10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365</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(157)</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w:t>
            </w:r>
          </w:p>
        </w:tc>
        <w:tc>
          <w:tcPr>
            <w:tcW w:w="10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(132)</w:t>
            </w:r>
          </w:p>
        </w:tc>
        <w:tc>
          <w:tcPr>
            <w:tcW w:w="0" w:type="dxa"/>
            <w:vAlign w:val="bottom"/>
          </w:tcPr>
          <w:p>
            <w:pPr>
              <w:spacing w:after="0"/>
              <w:rPr>
                <w:sz w:val="1"/>
                <w:szCs w:val="1"/>
                <w:color w:val="auto"/>
              </w:rPr>
            </w:pPr>
          </w:p>
        </w:tc>
      </w:tr>
      <w:tr>
        <w:trPr>
          <w:trHeight w:val="139"/>
        </w:trPr>
        <w:tc>
          <w:tcPr>
            <w:tcW w:w="2120" w:type="dxa"/>
            <w:vAlign w:val="bottom"/>
            <w:shd w:val="clear" w:color="auto" w:fill="CCEEFF"/>
          </w:tcPr>
          <w:p>
            <w:pPr>
              <w:spacing w:after="0"/>
              <w:rPr>
                <w:sz w:val="20"/>
                <w:szCs w:val="20"/>
                <w:color w:val="auto"/>
              </w:rPr>
            </w:pPr>
            <w:r>
              <w:rPr>
                <w:rFonts w:ascii="Arial" w:cs="Arial" w:eastAsia="Arial" w:hAnsi="Arial"/>
                <w:sz w:val="10"/>
                <w:szCs w:val="10"/>
                <w:color w:val="auto"/>
              </w:rPr>
              <w:t>Income (loss) before 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3,266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1,182</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4,191</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632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230</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643</w:t>
            </w:r>
          </w:p>
        </w:tc>
        <w:tc>
          <w:tcPr>
            <w:tcW w:w="0" w:type="dxa"/>
            <w:vAlign w:val="bottom"/>
          </w:tcPr>
          <w:p>
            <w:pPr>
              <w:spacing w:after="0"/>
              <w:rPr>
                <w:sz w:val="1"/>
                <w:szCs w:val="1"/>
                <w:color w:val="auto"/>
              </w:rPr>
            </w:pPr>
          </w:p>
        </w:tc>
      </w:tr>
      <w:tr>
        <w:trPr>
          <w:trHeight w:val="149"/>
        </w:trPr>
        <w:tc>
          <w:tcPr>
            <w:tcW w:w="212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Income tax expense</w:t>
            </w:r>
          </w:p>
        </w:tc>
        <w:tc>
          <w:tcPr>
            <w:tcW w:w="12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1,177</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357</w:t>
            </w:r>
          </w:p>
        </w:tc>
        <w:tc>
          <w:tcPr>
            <w:tcW w:w="0" w:type="dxa"/>
            <w:vAlign w:val="bottom"/>
          </w:tcPr>
          <w:p>
            <w:pPr>
              <w:spacing w:after="0"/>
              <w:rPr>
                <w:sz w:val="1"/>
                <w:szCs w:val="1"/>
                <w:color w:val="auto"/>
              </w:rPr>
            </w:pPr>
          </w:p>
        </w:tc>
      </w:tr>
      <w:tr>
        <w:trPr>
          <w:trHeight w:val="139"/>
        </w:trPr>
        <w:tc>
          <w:tcPr>
            <w:tcW w:w="212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Net income</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3,014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286</w:t>
            </w:r>
          </w:p>
        </w:tc>
        <w:tc>
          <w:tcPr>
            <w:tcW w:w="0" w:type="dxa"/>
            <w:vAlign w:val="bottom"/>
          </w:tcPr>
          <w:p>
            <w:pPr>
              <w:spacing w:after="0"/>
              <w:rPr>
                <w:sz w:val="1"/>
                <w:szCs w:val="1"/>
                <w:color w:val="auto"/>
              </w:rPr>
            </w:pPr>
          </w:p>
        </w:tc>
      </w:tr>
      <w:tr>
        <w:trPr>
          <w:trHeight w:val="149"/>
        </w:trPr>
        <w:tc>
          <w:tcPr>
            <w:tcW w:w="212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Net loss attributable to noncontrolling interests</w:t>
            </w:r>
          </w:p>
        </w:tc>
        <w:tc>
          <w:tcPr>
            <w:tcW w:w="12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8</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64"/>
        </w:trPr>
        <w:tc>
          <w:tcPr>
            <w:tcW w:w="2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b w:val="1"/>
                <w:bCs w:val="1"/>
                <w:color w:val="auto"/>
              </w:rPr>
              <w:t>Net income attributable to stockholders</w:t>
            </w:r>
          </w:p>
        </w:tc>
        <w:tc>
          <w:tcPr>
            <w:tcW w:w="12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6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3,022</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294</w:t>
            </w: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2120" w:type="dxa"/>
            <w:vAlign w:val="bottom"/>
            <w:shd w:val="clear" w:color="auto" w:fill="CCEEFF"/>
          </w:tcPr>
          <w:p>
            <w:pPr>
              <w:spacing w:after="0" w:line="79" w:lineRule="exact"/>
              <w:rPr>
                <w:sz w:val="20"/>
                <w:szCs w:val="20"/>
                <w:color w:val="auto"/>
              </w:rPr>
            </w:pPr>
            <w:r>
              <w:rPr>
                <w:rFonts w:ascii="Arial" w:cs="Arial" w:eastAsia="Arial" w:hAnsi="Arial"/>
                <w:sz w:val="9"/>
                <w:szCs w:val="9"/>
                <w:b w:val="1"/>
                <w:bCs w:val="1"/>
                <w:color w:val="auto"/>
              </w:rPr>
              <w:t>Net income attributable to common</w:t>
            </w:r>
          </w:p>
        </w:tc>
        <w:tc>
          <w:tcPr>
            <w:tcW w:w="12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640" w:type="dxa"/>
            <w:vAlign w:val="bottom"/>
            <w:vMerge w:val="restart"/>
            <w:shd w:val="clear" w:color="auto" w:fill="CCEEFF"/>
          </w:tcPr>
          <w:p>
            <w:pPr>
              <w:jc w:val="right"/>
              <w:ind w:right="4"/>
              <w:spacing w:after="0"/>
              <w:rPr>
                <w:sz w:val="20"/>
                <w:szCs w:val="20"/>
                <w:color w:val="auto"/>
              </w:rPr>
            </w:pPr>
            <w:r>
              <w:rPr>
                <w:rFonts w:ascii="Arial" w:cs="Arial" w:eastAsia="Arial" w:hAnsi="Arial"/>
                <w:sz w:val="11"/>
                <w:szCs w:val="11"/>
                <w:color w:val="auto"/>
              </w:rPr>
              <w:t>2,976</w:t>
            </w: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247</w:t>
            </w:r>
          </w:p>
        </w:tc>
        <w:tc>
          <w:tcPr>
            <w:tcW w:w="0" w:type="dxa"/>
            <w:vAlign w:val="bottom"/>
          </w:tcPr>
          <w:p>
            <w:pPr>
              <w:spacing w:after="0"/>
              <w:rPr>
                <w:sz w:val="1"/>
                <w:szCs w:val="1"/>
                <w:color w:val="auto"/>
              </w:rPr>
            </w:pPr>
          </w:p>
        </w:tc>
      </w:tr>
      <w:tr>
        <w:trPr>
          <w:trHeight w:val="138"/>
        </w:trPr>
        <w:tc>
          <w:tcPr>
            <w:tcW w:w="2120" w:type="dxa"/>
            <w:vAlign w:val="bottom"/>
            <w:shd w:val="clear" w:color="auto" w:fill="CCEEFF"/>
          </w:tcPr>
          <w:p>
            <w:pPr>
              <w:ind w:left="140"/>
              <w:spacing w:after="0"/>
              <w:rPr>
                <w:sz w:val="20"/>
                <w:szCs w:val="20"/>
                <w:color w:val="auto"/>
              </w:rPr>
            </w:pPr>
            <w:r>
              <w:rPr>
                <w:rFonts w:ascii="Arial" w:cs="Arial" w:eastAsia="Arial" w:hAnsi="Arial"/>
                <w:sz w:val="10"/>
                <w:szCs w:val="10"/>
                <w:b w:val="1"/>
                <w:bCs w:val="1"/>
                <w:color w:val="auto"/>
              </w:rPr>
              <w:t>stockholders</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vMerge w:val="continue"/>
            <w:shd w:val="clear" w:color="auto" w:fill="CCEEFF"/>
          </w:tcPr>
          <w:p>
            <w:pPr>
              <w:spacing w:after="0"/>
              <w:rPr>
                <w:sz w:val="11"/>
                <w:szCs w:val="11"/>
                <w:color w:val="auto"/>
              </w:rPr>
            </w:pPr>
          </w:p>
        </w:tc>
        <w:tc>
          <w:tcPr>
            <w:tcW w:w="64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vMerge w:val="continue"/>
            <w:shd w:val="clear" w:color="auto" w:fill="CCEEFF"/>
          </w:tcPr>
          <w:p>
            <w:pPr>
              <w:spacing w:after="0"/>
              <w:rPr>
                <w:sz w:val="11"/>
                <w:szCs w:val="11"/>
                <w:color w:val="auto"/>
              </w:rPr>
            </w:pPr>
          </w:p>
        </w:tc>
        <w:tc>
          <w:tcPr>
            <w:tcW w:w="6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1140"/>
          </w:cols>
          <w:pgMar w:left="440" w:top="698" w:right="319" w:bottom="1440" w:gutter="0" w:footer="0" w:header="0"/>
        </w:sectPr>
      </w:pPr>
    </w:p>
    <w:bookmarkStart w:id="19" w:name="page20"/>
    <w:bookmarkEnd w:id="19"/>
    <w:p>
      <w:pPr>
        <w:ind w:left="4420"/>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05" w:lineRule="exact"/>
        <w:rPr>
          <w:sz w:val="20"/>
          <w:szCs w:val="20"/>
          <w:color w:val="auto"/>
        </w:rPr>
      </w:pPr>
    </w:p>
    <w:p>
      <w:pPr>
        <w:ind w:left="4580"/>
        <w:spacing w:after="0"/>
        <w:rPr>
          <w:sz w:val="20"/>
          <w:szCs w:val="20"/>
          <w:color w:val="auto"/>
        </w:rPr>
      </w:pPr>
      <w:r>
        <w:rPr>
          <w:rFonts w:ascii="Arial" w:cs="Arial" w:eastAsia="Arial" w:hAnsi="Arial"/>
          <w:sz w:val="13"/>
          <w:szCs w:val="13"/>
          <w:b w:val="1"/>
          <w:bCs w:val="1"/>
          <w:color w:val="auto"/>
        </w:rPr>
        <w:t>Basic and Diluted Earnings per Share</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3"/>
          <w:szCs w:val="13"/>
          <w:i w:val="1"/>
          <w:iCs w:val="1"/>
          <w:color w:val="auto"/>
        </w:rPr>
        <w:t>(Unaudited)</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3"/>
          <w:szCs w:val="13"/>
          <w:color w:val="auto"/>
        </w:rPr>
        <w:t>The following table summarizes basic and diluted earnings per share (in millions, except per share amounts):</w:t>
      </w:r>
    </w:p>
    <w:p>
      <w:pPr>
        <w:spacing w:after="0" w:line="87" w:lineRule="exact"/>
        <w:rPr>
          <w:sz w:val="20"/>
          <w:szCs w:val="20"/>
          <w:color w:val="auto"/>
        </w:rPr>
      </w:pPr>
    </w:p>
    <w:tbl>
      <w:tblPr>
        <w:tblLayout w:type="fixed"/>
        <w:tblInd w:w="80" w:type="dxa"/>
        <w:tblCellMar>
          <w:top w:w="0" w:type="dxa"/>
          <w:left w:w="0" w:type="dxa"/>
          <w:bottom w:w="0" w:type="dxa"/>
          <w:right w:w="0" w:type="dxa"/>
        </w:tblCellMar>
      </w:tblPr>
      <w:tr>
        <w:trPr>
          <w:trHeight w:val="137"/>
        </w:trPr>
        <w:tc>
          <w:tcPr>
            <w:tcW w:w="7900" w:type="dxa"/>
            <w:vAlign w:val="bottom"/>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99"/>
              </w:rPr>
              <w:t>Three Months Ended</w:t>
            </w:r>
          </w:p>
        </w:tc>
        <w:tc>
          <w:tcPr>
            <w:tcW w:w="1180" w:type="dxa"/>
            <w:vAlign w:val="bottom"/>
            <w:tcBorders>
              <w:bottom w:val="single" w:sz="8" w:color="auto"/>
            </w:tcBorders>
          </w:tcPr>
          <w:p>
            <w:pPr>
              <w:spacing w:after="0"/>
              <w:rPr>
                <w:sz w:val="11"/>
                <w:szCs w:val="11"/>
                <w:color w:val="auto"/>
              </w:rPr>
            </w:pPr>
          </w:p>
        </w:tc>
      </w:tr>
      <w:tr>
        <w:trPr>
          <w:trHeight w:val="127"/>
        </w:trPr>
        <w:tc>
          <w:tcPr>
            <w:tcW w:w="7900" w:type="dxa"/>
            <w:vAlign w:val="bottom"/>
          </w:tcPr>
          <w:p>
            <w:pPr>
              <w:spacing w:after="0"/>
              <w:rPr>
                <w:sz w:val="11"/>
                <w:szCs w:val="1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March 31, 2021</w:t>
            </w:r>
          </w:p>
        </w:tc>
        <w:tc>
          <w:tcPr>
            <w:tcW w:w="4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398"/>
              <w:spacing w:after="0"/>
              <w:rPr>
                <w:sz w:val="20"/>
                <w:szCs w:val="20"/>
                <w:color w:val="auto"/>
              </w:rPr>
            </w:pPr>
            <w:r>
              <w:rPr>
                <w:rFonts w:ascii="Arial" w:cs="Arial" w:eastAsia="Arial" w:hAnsi="Arial"/>
                <w:sz w:val="10"/>
                <w:szCs w:val="10"/>
                <w:b w:val="1"/>
                <w:bCs w:val="1"/>
                <w:color w:val="auto"/>
                <w:w w:val="98"/>
              </w:rPr>
              <w:t>March 31, 2020</w:t>
            </w:r>
          </w:p>
        </w:tc>
      </w:tr>
      <w:tr>
        <w:trPr>
          <w:trHeight w:val="137"/>
        </w:trPr>
        <w:tc>
          <w:tcPr>
            <w:tcW w:w="7900" w:type="dxa"/>
            <w:vAlign w:val="bottom"/>
          </w:tcPr>
          <w:p>
            <w:pPr>
              <w:ind w:left="20"/>
              <w:spacing w:after="0"/>
              <w:rPr>
                <w:sz w:val="20"/>
                <w:szCs w:val="20"/>
                <w:color w:val="auto"/>
              </w:rPr>
            </w:pPr>
            <w:r>
              <w:rPr>
                <w:rFonts w:ascii="Arial" w:cs="Arial" w:eastAsia="Arial" w:hAnsi="Arial"/>
                <w:sz w:val="11"/>
                <w:szCs w:val="11"/>
                <w:b w:val="1"/>
                <w:bCs w:val="1"/>
                <w:color w:val="auto"/>
              </w:rPr>
              <w:t>Basic earnings per share</w:t>
            </w: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170"/>
        </w:trPr>
        <w:tc>
          <w:tcPr>
            <w:tcW w:w="79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Net income attributable to stockholders</w:t>
            </w:r>
          </w:p>
        </w:tc>
        <w:tc>
          <w:tcPr>
            <w:tcW w:w="1180" w:type="dxa"/>
            <w:vAlign w:val="bottom"/>
            <w:shd w:val="clear" w:color="auto" w:fill="CCEEFF"/>
          </w:tcPr>
          <w:p>
            <w:pPr>
              <w:jc w:val="right"/>
              <w:ind w:right="1039"/>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3,022</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w:t>
            </w:r>
          </w:p>
        </w:tc>
      </w:tr>
      <w:tr>
        <w:trPr>
          <w:trHeight w:val="170"/>
        </w:trPr>
        <w:tc>
          <w:tcPr>
            <w:tcW w:w="7900" w:type="dxa"/>
            <w:vAlign w:val="bottom"/>
            <w:tcBorders>
              <w:bottom w:val="single" w:sz="8" w:color="CCEEFF"/>
            </w:tcBorders>
          </w:tcPr>
          <w:p>
            <w:pPr>
              <w:ind w:left="120"/>
              <w:spacing w:after="0"/>
              <w:rPr>
                <w:sz w:val="20"/>
                <w:szCs w:val="20"/>
                <w:color w:val="auto"/>
              </w:rPr>
            </w:pPr>
            <w:r>
              <w:rPr>
                <w:rFonts w:ascii="Arial" w:cs="Arial" w:eastAsia="Arial" w:hAnsi="Arial"/>
                <w:sz w:val="11"/>
                <w:szCs w:val="11"/>
                <w:color w:val="auto"/>
              </w:rPr>
              <w:t>Less: cumulative dividends on subsidiary preferred stock</w:t>
            </w:r>
          </w:p>
        </w:tc>
        <w:tc>
          <w:tcPr>
            <w:tcW w:w="1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w:t>
            </w:r>
          </w:p>
        </w:tc>
      </w:tr>
      <w:tr>
        <w:trPr>
          <w:trHeight w:val="185"/>
        </w:trPr>
        <w:tc>
          <w:tcPr>
            <w:tcW w:w="7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Net income attributable to common stockholders</w:t>
            </w:r>
          </w:p>
        </w:tc>
        <w:tc>
          <w:tcPr>
            <w:tcW w:w="1180" w:type="dxa"/>
            <w:vAlign w:val="bottom"/>
            <w:tcBorders>
              <w:bottom w:val="single" w:sz="8" w:color="auto"/>
            </w:tcBorders>
            <w:shd w:val="clear" w:color="auto" w:fill="CCEEFF"/>
          </w:tcPr>
          <w:p>
            <w:pPr>
              <w:jc w:val="right"/>
              <w:ind w:right="1039"/>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2,976</w:t>
            </w: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247</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6"/>
        </w:trPr>
        <w:tc>
          <w:tcPr>
            <w:tcW w:w="7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70"/>
        </w:trPr>
        <w:tc>
          <w:tcPr>
            <w:tcW w:w="79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Weighted-average common shares outstanding</w:t>
            </w:r>
          </w:p>
        </w:tc>
        <w:tc>
          <w:tcPr>
            <w:tcW w:w="11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1,447</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1,433</w:t>
            </w:r>
          </w:p>
        </w:tc>
      </w:tr>
      <w:tr>
        <w:trPr>
          <w:trHeight w:val="85"/>
        </w:trPr>
        <w:tc>
          <w:tcPr>
            <w:tcW w:w="79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180" w:type="dxa"/>
            <w:vAlign w:val="bottom"/>
          </w:tcPr>
          <w:p>
            <w:pPr>
              <w:spacing w:after="0"/>
              <w:rPr>
                <w:sz w:val="7"/>
                <w:szCs w:val="7"/>
                <w:color w:val="auto"/>
              </w:rPr>
            </w:pPr>
          </w:p>
        </w:tc>
      </w:tr>
      <w:tr>
        <w:trPr>
          <w:trHeight w:val="170"/>
        </w:trPr>
        <w:tc>
          <w:tcPr>
            <w:tcW w:w="79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Basic earnings per common share</w:t>
            </w:r>
          </w:p>
        </w:tc>
        <w:tc>
          <w:tcPr>
            <w:tcW w:w="1180" w:type="dxa"/>
            <w:vAlign w:val="bottom"/>
            <w:shd w:val="clear" w:color="auto" w:fill="CCEEFF"/>
          </w:tcPr>
          <w:p>
            <w:pPr>
              <w:jc w:val="right"/>
              <w:ind w:right="1039"/>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0.17</w:t>
            </w:r>
          </w:p>
        </w:tc>
      </w:tr>
      <w:tr>
        <w:trPr>
          <w:trHeight w:val="149"/>
        </w:trPr>
        <w:tc>
          <w:tcPr>
            <w:tcW w:w="7900" w:type="dxa"/>
            <w:vAlign w:val="bottom"/>
          </w:tcPr>
          <w:p>
            <w:pPr>
              <w:ind w:left="20"/>
              <w:spacing w:after="0"/>
              <w:rPr>
                <w:sz w:val="20"/>
                <w:szCs w:val="20"/>
                <w:color w:val="auto"/>
              </w:rPr>
            </w:pPr>
            <w:r>
              <w:rPr>
                <w:rFonts w:ascii="Arial" w:cs="Arial" w:eastAsia="Arial" w:hAnsi="Arial"/>
                <w:sz w:val="11"/>
                <w:szCs w:val="11"/>
                <w:b w:val="1"/>
                <w:bCs w:val="1"/>
                <w:color w:val="auto"/>
              </w:rPr>
              <w:t>Diluted earnings per share</w:t>
            </w:r>
          </w:p>
        </w:tc>
        <w:tc>
          <w:tcPr>
            <w:tcW w:w="1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70"/>
        </w:trPr>
        <w:tc>
          <w:tcPr>
            <w:tcW w:w="79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Net income attributable to common stockholders – diluted</w:t>
            </w:r>
          </w:p>
        </w:tc>
        <w:tc>
          <w:tcPr>
            <w:tcW w:w="1180" w:type="dxa"/>
            <w:vAlign w:val="bottom"/>
            <w:shd w:val="clear" w:color="auto" w:fill="CCEEFF"/>
          </w:tcPr>
          <w:p>
            <w:pPr>
              <w:jc w:val="right"/>
              <w:ind w:right="1039"/>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2,976</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w:t>
            </w:r>
          </w:p>
        </w:tc>
      </w:tr>
      <w:tr>
        <w:trPr>
          <w:trHeight w:val="85"/>
        </w:trPr>
        <w:tc>
          <w:tcPr>
            <w:tcW w:w="79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180" w:type="dxa"/>
            <w:vAlign w:val="bottom"/>
          </w:tcPr>
          <w:p>
            <w:pPr>
              <w:spacing w:after="0"/>
              <w:rPr>
                <w:sz w:val="7"/>
                <w:szCs w:val="7"/>
                <w:color w:val="auto"/>
              </w:rPr>
            </w:pPr>
          </w:p>
        </w:tc>
      </w:tr>
      <w:tr>
        <w:trPr>
          <w:trHeight w:val="170"/>
        </w:trPr>
        <w:tc>
          <w:tcPr>
            <w:tcW w:w="79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Weighted-average common shares outstanding – diluted</w:t>
            </w:r>
          </w:p>
        </w:tc>
        <w:tc>
          <w:tcPr>
            <w:tcW w:w="11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1,464</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1,440</w:t>
            </w:r>
          </w:p>
        </w:tc>
      </w:tr>
      <w:tr>
        <w:trPr>
          <w:trHeight w:val="85"/>
        </w:trPr>
        <w:tc>
          <w:tcPr>
            <w:tcW w:w="79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180" w:type="dxa"/>
            <w:vAlign w:val="bottom"/>
          </w:tcPr>
          <w:p>
            <w:pPr>
              <w:spacing w:after="0"/>
              <w:rPr>
                <w:sz w:val="7"/>
                <w:szCs w:val="7"/>
                <w:color w:val="auto"/>
              </w:rPr>
            </w:pPr>
          </w:p>
        </w:tc>
      </w:tr>
      <w:tr>
        <w:trPr>
          <w:trHeight w:val="170"/>
        </w:trPr>
        <w:tc>
          <w:tcPr>
            <w:tcW w:w="79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Diluted earnings per common share</w:t>
            </w:r>
          </w:p>
        </w:tc>
        <w:tc>
          <w:tcPr>
            <w:tcW w:w="1180" w:type="dxa"/>
            <w:vAlign w:val="bottom"/>
            <w:shd w:val="clear" w:color="auto" w:fill="CCEEFF"/>
          </w:tcPr>
          <w:p>
            <w:pPr>
              <w:jc w:val="right"/>
              <w:ind w:right="1039"/>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0.17</w:t>
            </w:r>
          </w:p>
        </w:tc>
      </w:tr>
      <w:tr>
        <w:trPr>
          <w:trHeight w:val="172"/>
        </w:trPr>
        <w:tc>
          <w:tcPr>
            <w:tcW w:w="7900" w:type="dxa"/>
            <w:vAlign w:val="bottom"/>
          </w:tcPr>
          <w:p>
            <w:pPr>
              <w:ind w:left="100"/>
              <w:spacing w:after="0"/>
              <w:rPr>
                <w:sz w:val="20"/>
                <w:szCs w:val="20"/>
                <w:color w:val="auto"/>
              </w:rPr>
            </w:pPr>
            <w:r>
              <w:rPr>
                <w:rFonts w:ascii="Arial" w:cs="Arial" w:eastAsia="Arial" w:hAnsi="Arial"/>
                <w:sz w:val="11"/>
                <w:szCs w:val="11"/>
                <w:color w:val="auto"/>
              </w:rPr>
              <w:t>Potentially dilutive securities(a)</w:t>
            </w:r>
          </w:p>
        </w:tc>
        <w:tc>
          <w:tcPr>
            <w:tcW w:w="11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32</w:t>
            </w:r>
          </w:p>
        </w:tc>
      </w:tr>
    </w:tbl>
    <w:p>
      <w:pPr>
        <w:spacing w:after="0" w:line="65"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1" w:lineRule="exact"/>
        <w:rPr>
          <w:sz w:val="20"/>
          <w:szCs w:val="20"/>
          <w:color w:val="auto"/>
        </w:rPr>
      </w:pPr>
    </w:p>
    <w:p>
      <w:pPr>
        <w:ind w:left="340" w:hanging="255"/>
        <w:spacing w:after="0" w:line="260" w:lineRule="auto"/>
        <w:tabs>
          <w:tab w:leader="none" w:pos="329" w:val="left"/>
        </w:tabs>
        <w:numPr>
          <w:ilvl w:val="0"/>
          <w:numId w:val="8"/>
        </w:numPr>
        <w:rPr>
          <w:rFonts w:ascii="Arial" w:cs="Arial" w:eastAsia="Arial" w:hAnsi="Arial"/>
          <w:sz w:val="11"/>
          <w:szCs w:val="11"/>
          <w:color w:val="auto"/>
        </w:rPr>
      </w:pPr>
      <w:r>
        <w:rPr>
          <w:rFonts w:ascii="Arial" w:cs="Arial" w:eastAsia="Arial" w:hAnsi="Arial"/>
          <w:sz w:val="11"/>
          <w:szCs w:val="11"/>
          <w:color w:val="auto"/>
        </w:rPr>
        <w:t>Potentially dilutive securities attributable to outstanding stock options at March 31, 2021 and 2020 and Restricted Stock Units at March 31, 2020, were excluded from the computation of diluted EPS because the securities would have had an antidilutive effect.</w:t>
      </w:r>
    </w:p>
    <w:p>
      <w:pPr>
        <w:spacing w:after="0" w:line="200" w:lineRule="exact"/>
        <w:rPr>
          <w:sz w:val="20"/>
          <w:szCs w:val="20"/>
          <w:color w:val="auto"/>
        </w:rPr>
      </w:pPr>
    </w:p>
    <w:p>
      <w:pPr>
        <w:spacing w:after="0" w:line="266" w:lineRule="exact"/>
        <w:rPr>
          <w:sz w:val="20"/>
          <w:szCs w:val="20"/>
          <w:color w:val="auto"/>
        </w:rPr>
      </w:pPr>
    </w:p>
    <w:p>
      <w:pPr>
        <w:ind w:left="5900"/>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11360"/>
          </w:cols>
          <w:pgMar w:left="220" w:top="698" w:right="319" w:bottom="1440" w:gutter="0" w:footer="0" w:header="0"/>
        </w:sectPr>
      </w:pPr>
    </w:p>
    <w:bookmarkStart w:id="20" w:name="page21"/>
    <w:bookmarkEnd w:id="20"/>
    <w:p>
      <w:pPr>
        <w:ind w:left="4340"/>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05" w:lineRule="exact"/>
        <w:rPr>
          <w:sz w:val="20"/>
          <w:szCs w:val="20"/>
          <w:color w:val="auto"/>
        </w:rPr>
      </w:pPr>
    </w:p>
    <w:p>
      <w:pPr>
        <w:ind w:left="4500"/>
        <w:spacing w:after="0"/>
        <w:rPr>
          <w:sz w:val="20"/>
          <w:szCs w:val="20"/>
          <w:color w:val="auto"/>
        </w:rPr>
      </w:pPr>
      <w:r>
        <w:rPr>
          <w:rFonts w:ascii="Arial" w:cs="Arial" w:eastAsia="Arial" w:hAnsi="Arial"/>
          <w:sz w:val="13"/>
          <w:szCs w:val="13"/>
          <w:b w:val="1"/>
          <w:bCs w:val="1"/>
          <w:color w:val="auto"/>
        </w:rPr>
        <w:t>Combining Balance Sheet Information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(In millions, except per share amounts) (Unaudited)(a)</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3"/>
          </w:tcPr>
          <w:p>
            <w:pPr>
              <w:ind w:left="260"/>
              <w:spacing w:after="0"/>
              <w:rPr>
                <w:sz w:val="20"/>
                <w:szCs w:val="20"/>
                <w:color w:val="auto"/>
              </w:rPr>
            </w:pPr>
            <w:r>
              <w:rPr>
                <w:rFonts w:ascii="Arial" w:cs="Arial" w:eastAsia="Arial" w:hAnsi="Arial"/>
                <w:sz w:val="10"/>
                <w:szCs w:val="10"/>
                <w:b w:val="1"/>
                <w:bCs w:val="1"/>
                <w:color w:val="auto"/>
              </w:rPr>
              <w:t>March 31, 2021</w:t>
            </w:r>
          </w:p>
        </w:tc>
        <w:tc>
          <w:tcPr>
            <w:tcW w:w="6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3"/>
          </w:tcPr>
          <w:p>
            <w:pPr>
              <w:ind w:left="140"/>
              <w:spacing w:after="0"/>
              <w:rPr>
                <w:sz w:val="20"/>
                <w:szCs w:val="20"/>
                <w:color w:val="auto"/>
              </w:rPr>
            </w:pPr>
            <w:r>
              <w:rPr>
                <w:rFonts w:ascii="Arial" w:cs="Arial" w:eastAsia="Arial" w:hAnsi="Arial"/>
                <w:sz w:val="10"/>
                <w:szCs w:val="10"/>
                <w:b w:val="1"/>
                <w:bCs w:val="1"/>
                <w:color w:val="auto"/>
              </w:rPr>
              <w:t>December 31, 2020</w:t>
            </w:r>
          </w:p>
        </w:tc>
        <w:tc>
          <w:tcPr>
            <w:tcW w:w="6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8"/>
                <w:szCs w:val="8"/>
                <w:b w:val="1"/>
                <w:bCs w:val="1"/>
                <w:color w:val="auto"/>
              </w:rPr>
              <w:t>Automotive</w:t>
            </w:r>
          </w:p>
        </w:tc>
        <w:tc>
          <w:tcPr>
            <w:tcW w:w="100" w:type="dxa"/>
            <w:vAlign w:val="bottom"/>
          </w:tcPr>
          <w:p>
            <w:pPr>
              <w:spacing w:after="0"/>
              <w:rPr>
                <w:sz w:val="10"/>
                <w:szCs w:val="10"/>
                <w:color w:val="auto"/>
              </w:rPr>
            </w:pPr>
          </w:p>
        </w:tc>
        <w:tc>
          <w:tcPr>
            <w:tcW w:w="560" w:type="dxa"/>
            <w:vAlign w:val="bottom"/>
            <w:gridSpan w:val="2"/>
          </w:tcPr>
          <w:p>
            <w:pPr>
              <w:ind w:left="40"/>
              <w:spacing w:after="0"/>
              <w:rPr>
                <w:sz w:val="20"/>
                <w:szCs w:val="20"/>
                <w:color w:val="auto"/>
              </w:rPr>
            </w:pPr>
            <w:r>
              <w:rPr>
                <w:rFonts w:ascii="Arial" w:cs="Arial" w:eastAsia="Arial" w:hAnsi="Arial"/>
                <w:sz w:val="8"/>
                <w:szCs w:val="8"/>
                <w:b w:val="1"/>
                <w:bCs w:val="1"/>
                <w:color w:val="auto"/>
              </w:rPr>
              <w:t>Cruise</w:t>
            </w:r>
          </w:p>
        </w:tc>
        <w:tc>
          <w:tcPr>
            <w:tcW w:w="80" w:type="dxa"/>
            <w:vAlign w:val="bottom"/>
          </w:tcPr>
          <w:p>
            <w:pPr>
              <w:spacing w:after="0"/>
              <w:rPr>
                <w:sz w:val="10"/>
                <w:szCs w:val="10"/>
                <w:color w:val="auto"/>
              </w:rPr>
            </w:pPr>
          </w:p>
        </w:tc>
        <w:tc>
          <w:tcPr>
            <w:tcW w:w="760" w:type="dxa"/>
            <w:vAlign w:val="bottom"/>
            <w:gridSpan w:val="2"/>
          </w:tcPr>
          <w:p>
            <w:pPr>
              <w:ind w:left="20"/>
              <w:spacing w:after="0"/>
              <w:rPr>
                <w:sz w:val="20"/>
                <w:szCs w:val="20"/>
                <w:color w:val="auto"/>
              </w:rPr>
            </w:pPr>
            <w:r>
              <w:rPr>
                <w:rFonts w:ascii="Arial" w:cs="Arial" w:eastAsia="Arial" w:hAnsi="Arial"/>
                <w:sz w:val="8"/>
                <w:szCs w:val="8"/>
                <w:b w:val="1"/>
                <w:bCs w:val="1"/>
                <w:color w:val="auto"/>
              </w:rPr>
              <w:t>GM Financial</w:t>
            </w:r>
          </w:p>
        </w:tc>
        <w:tc>
          <w:tcPr>
            <w:tcW w:w="1340" w:type="dxa"/>
            <w:vAlign w:val="bottom"/>
            <w:gridSpan w:val="3"/>
          </w:tcPr>
          <w:p>
            <w:pPr>
              <w:spacing w:after="0"/>
              <w:rPr>
                <w:sz w:val="20"/>
                <w:szCs w:val="20"/>
                <w:color w:val="auto"/>
              </w:rPr>
            </w:pPr>
            <w:r>
              <w:rPr>
                <w:rFonts w:ascii="Arial" w:cs="Arial" w:eastAsia="Arial" w:hAnsi="Arial"/>
                <w:sz w:val="8"/>
                <w:szCs w:val="8"/>
                <w:b w:val="1"/>
                <w:bCs w:val="1"/>
                <w:color w:val="auto"/>
              </w:rPr>
              <w:t>Reclassifications/Eliminations</w:t>
            </w:r>
          </w:p>
        </w:tc>
        <w:tc>
          <w:tcPr>
            <w:tcW w:w="120" w:type="dxa"/>
            <w:vAlign w:val="bottom"/>
          </w:tcPr>
          <w:p>
            <w:pPr>
              <w:spacing w:after="0"/>
              <w:rPr>
                <w:sz w:val="10"/>
                <w:szCs w:val="10"/>
                <w:color w:val="auto"/>
              </w:rPr>
            </w:pPr>
          </w:p>
        </w:tc>
        <w:tc>
          <w:tcPr>
            <w:tcW w:w="640" w:type="dxa"/>
            <w:vAlign w:val="bottom"/>
          </w:tcPr>
          <w:p>
            <w:pPr>
              <w:jc w:val="right"/>
              <w:ind w:right="131"/>
              <w:spacing w:after="0"/>
              <w:rPr>
                <w:sz w:val="20"/>
                <w:szCs w:val="20"/>
                <w:color w:val="auto"/>
              </w:rPr>
            </w:pPr>
            <w:r>
              <w:rPr>
                <w:rFonts w:ascii="Arial" w:cs="Arial" w:eastAsia="Arial" w:hAnsi="Arial"/>
                <w:sz w:val="8"/>
                <w:szCs w:val="8"/>
                <w:b w:val="1"/>
                <w:bCs w:val="1"/>
                <w:color w:val="auto"/>
              </w:rPr>
              <w:t>Combined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8"/>
                <w:szCs w:val="8"/>
                <w:b w:val="1"/>
                <w:bCs w:val="1"/>
                <w:color w:val="auto"/>
              </w:rPr>
              <w:t>Automotive</w:t>
            </w:r>
          </w:p>
        </w:tc>
        <w:tc>
          <w:tcPr>
            <w:tcW w:w="120" w:type="dxa"/>
            <w:vAlign w:val="bottom"/>
          </w:tcPr>
          <w:p>
            <w:pPr>
              <w:spacing w:after="0"/>
              <w:rPr>
                <w:sz w:val="10"/>
                <w:szCs w:val="10"/>
                <w:color w:val="auto"/>
              </w:rPr>
            </w:pPr>
          </w:p>
        </w:tc>
        <w:tc>
          <w:tcPr>
            <w:tcW w:w="560" w:type="dxa"/>
            <w:vAlign w:val="bottom"/>
            <w:gridSpan w:val="2"/>
          </w:tcPr>
          <w:p>
            <w:pPr>
              <w:ind w:left="40"/>
              <w:spacing w:after="0"/>
              <w:rPr>
                <w:sz w:val="20"/>
                <w:szCs w:val="20"/>
                <w:color w:val="auto"/>
              </w:rPr>
            </w:pPr>
            <w:r>
              <w:rPr>
                <w:rFonts w:ascii="Arial" w:cs="Arial" w:eastAsia="Arial" w:hAnsi="Arial"/>
                <w:sz w:val="8"/>
                <w:szCs w:val="8"/>
                <w:b w:val="1"/>
                <w:bCs w:val="1"/>
                <w:color w:val="auto"/>
              </w:rPr>
              <w:t>Cruise</w:t>
            </w:r>
          </w:p>
        </w:tc>
        <w:tc>
          <w:tcPr>
            <w:tcW w:w="80" w:type="dxa"/>
            <w:vAlign w:val="bottom"/>
          </w:tcPr>
          <w:p>
            <w:pPr>
              <w:spacing w:after="0"/>
              <w:rPr>
                <w:sz w:val="10"/>
                <w:szCs w:val="10"/>
                <w:color w:val="auto"/>
              </w:rPr>
            </w:pPr>
          </w:p>
        </w:tc>
        <w:tc>
          <w:tcPr>
            <w:tcW w:w="740" w:type="dxa"/>
            <w:vAlign w:val="bottom"/>
            <w:gridSpan w:val="2"/>
          </w:tcPr>
          <w:p>
            <w:pPr>
              <w:ind w:left="20"/>
              <w:spacing w:after="0"/>
              <w:rPr>
                <w:sz w:val="20"/>
                <w:szCs w:val="20"/>
                <w:color w:val="auto"/>
              </w:rPr>
            </w:pPr>
            <w:r>
              <w:rPr>
                <w:rFonts w:ascii="Arial" w:cs="Arial" w:eastAsia="Arial" w:hAnsi="Arial"/>
                <w:sz w:val="8"/>
                <w:szCs w:val="8"/>
                <w:b w:val="1"/>
                <w:bCs w:val="1"/>
                <w:color w:val="auto"/>
              </w:rPr>
              <w:t>GM Financial</w:t>
            </w:r>
          </w:p>
        </w:tc>
        <w:tc>
          <w:tcPr>
            <w:tcW w:w="1360" w:type="dxa"/>
            <w:vAlign w:val="bottom"/>
            <w:gridSpan w:val="3"/>
          </w:tcPr>
          <w:p>
            <w:pPr>
              <w:ind w:left="20"/>
              <w:spacing w:after="0"/>
              <w:rPr>
                <w:sz w:val="20"/>
                <w:szCs w:val="20"/>
                <w:color w:val="auto"/>
              </w:rPr>
            </w:pPr>
            <w:r>
              <w:rPr>
                <w:rFonts w:ascii="Arial" w:cs="Arial" w:eastAsia="Arial" w:hAnsi="Arial"/>
                <w:sz w:val="8"/>
                <w:szCs w:val="8"/>
                <w:b w:val="1"/>
                <w:bCs w:val="1"/>
                <w:color w:val="auto"/>
              </w:rPr>
              <w:t>Reclassifications/Eliminations</w:t>
            </w:r>
          </w:p>
        </w:tc>
        <w:tc>
          <w:tcPr>
            <w:tcW w:w="100" w:type="dxa"/>
            <w:vAlign w:val="bottom"/>
          </w:tcPr>
          <w:p>
            <w:pPr>
              <w:spacing w:after="0"/>
              <w:rPr>
                <w:sz w:val="10"/>
                <w:szCs w:val="10"/>
                <w:color w:val="auto"/>
              </w:rPr>
            </w:pPr>
          </w:p>
        </w:tc>
        <w:tc>
          <w:tcPr>
            <w:tcW w:w="620" w:type="dxa"/>
            <w:vAlign w:val="bottom"/>
          </w:tcPr>
          <w:p>
            <w:pPr>
              <w:jc w:val="right"/>
              <w:ind w:right="111"/>
              <w:spacing w:after="0"/>
              <w:rPr>
                <w:sz w:val="20"/>
                <w:szCs w:val="20"/>
                <w:color w:val="auto"/>
              </w:rPr>
            </w:pPr>
            <w:r>
              <w:rPr>
                <w:rFonts w:ascii="Arial" w:cs="Arial" w:eastAsia="Arial" w:hAnsi="Arial"/>
                <w:sz w:val="8"/>
                <w:szCs w:val="8"/>
                <w:b w:val="1"/>
                <w:bCs w:val="1"/>
                <w:color w:val="auto"/>
              </w:rPr>
              <w:t>Combined</w:t>
            </w:r>
          </w:p>
        </w:tc>
        <w:tc>
          <w:tcPr>
            <w:tcW w:w="0" w:type="dxa"/>
            <w:vAlign w:val="bottom"/>
          </w:tcPr>
          <w:p>
            <w:pPr>
              <w:spacing w:after="0"/>
              <w:rPr>
                <w:sz w:val="1"/>
                <w:szCs w:val="1"/>
                <w:color w:val="auto"/>
              </w:rPr>
            </w:pPr>
          </w:p>
        </w:tc>
      </w:tr>
      <w:tr>
        <w:trPr>
          <w:trHeight w:val="113"/>
        </w:trPr>
        <w:tc>
          <w:tcPr>
            <w:tcW w:w="2260" w:type="dxa"/>
            <w:vAlign w:val="bottom"/>
          </w:tcPr>
          <w:p>
            <w:pPr>
              <w:ind w:left="940"/>
              <w:spacing w:after="0" w:line="113" w:lineRule="exact"/>
              <w:rPr>
                <w:sz w:val="20"/>
                <w:szCs w:val="20"/>
                <w:color w:val="auto"/>
              </w:rPr>
            </w:pPr>
            <w:r>
              <w:rPr>
                <w:rFonts w:ascii="Arial" w:cs="Arial" w:eastAsia="Arial" w:hAnsi="Arial"/>
                <w:sz w:val="10"/>
                <w:szCs w:val="10"/>
                <w:b w:val="1"/>
                <w:bCs w:val="1"/>
                <w:color w:val="auto"/>
              </w:rPr>
              <w:t>ASSETS</w:t>
            </w:r>
          </w:p>
        </w:tc>
        <w:tc>
          <w:tcPr>
            <w:tcW w:w="1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2260" w:type="dxa"/>
            <w:vAlign w:val="bottom"/>
          </w:tcPr>
          <w:p>
            <w:pPr>
              <w:ind w:left="20"/>
              <w:spacing w:after="0"/>
              <w:rPr>
                <w:sz w:val="20"/>
                <w:szCs w:val="20"/>
                <w:color w:val="auto"/>
              </w:rPr>
            </w:pPr>
            <w:r>
              <w:rPr>
                <w:rFonts w:ascii="Arial" w:cs="Arial" w:eastAsia="Arial" w:hAnsi="Arial"/>
                <w:sz w:val="10"/>
                <w:szCs w:val="10"/>
                <w:b w:val="1"/>
                <w:bCs w:val="1"/>
                <w:color w:val="auto"/>
              </w:rPr>
              <w:t>Current Assets</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2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13,106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2,159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6,343</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21,609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14,168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761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5,063</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19,992</w:t>
            </w:r>
          </w:p>
        </w:tc>
        <w:tc>
          <w:tcPr>
            <w:tcW w:w="0" w:type="dxa"/>
            <w:vAlign w:val="bottom"/>
          </w:tcPr>
          <w:p>
            <w:pPr>
              <w:spacing w:after="0"/>
              <w:rPr>
                <w:sz w:val="1"/>
                <w:szCs w:val="1"/>
                <w:color w:val="auto"/>
              </w:rPr>
            </w:pPr>
          </w:p>
        </w:tc>
      </w:tr>
      <w:tr>
        <w:trPr>
          <w:trHeight w:val="131"/>
        </w:trPr>
        <w:tc>
          <w:tcPr>
            <w:tcW w:w="2260" w:type="dxa"/>
            <w:vAlign w:val="bottom"/>
          </w:tcPr>
          <w:p>
            <w:pPr>
              <w:ind w:left="120"/>
              <w:spacing w:after="0"/>
              <w:rPr>
                <w:sz w:val="20"/>
                <w:szCs w:val="20"/>
                <w:color w:val="auto"/>
              </w:rPr>
            </w:pPr>
            <w:r>
              <w:rPr>
                <w:rFonts w:ascii="Arial" w:cs="Arial" w:eastAsia="Arial" w:hAnsi="Arial"/>
                <w:sz w:val="10"/>
                <w:szCs w:val="10"/>
                <w:color w:val="auto"/>
              </w:rPr>
              <w:t>Marketable debt securities</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5,907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1,897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5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(33)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7,771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8,103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972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(29)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9,046</w:t>
            </w:r>
          </w:p>
        </w:tc>
        <w:tc>
          <w:tcPr>
            <w:tcW w:w="0" w:type="dxa"/>
            <w:vAlign w:val="bottom"/>
          </w:tcPr>
          <w:p>
            <w:pPr>
              <w:spacing w:after="0"/>
              <w:rPr>
                <w:sz w:val="1"/>
                <w:szCs w:val="1"/>
                <w:color w:val="auto"/>
              </w:rPr>
            </w:pPr>
          </w:p>
        </w:tc>
      </w:tr>
      <w:tr>
        <w:trPr>
          <w:trHeight w:val="145"/>
        </w:trPr>
        <w:tc>
          <w:tcPr>
            <w:tcW w:w="22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Accounts and notes receivable, net(b)</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8,967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1,080</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(927)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9,126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7,951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1,035</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(954)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8,035</w:t>
            </w:r>
          </w:p>
        </w:tc>
        <w:tc>
          <w:tcPr>
            <w:tcW w:w="0" w:type="dxa"/>
            <w:vAlign w:val="bottom"/>
          </w:tcPr>
          <w:p>
            <w:pPr>
              <w:spacing w:after="0"/>
              <w:rPr>
                <w:sz w:val="1"/>
                <w:szCs w:val="1"/>
                <w:color w:val="auto"/>
              </w:rPr>
            </w:pPr>
          </w:p>
        </w:tc>
      </w:tr>
      <w:tr>
        <w:trPr>
          <w:trHeight w:val="131"/>
        </w:trPr>
        <w:tc>
          <w:tcPr>
            <w:tcW w:w="2260" w:type="dxa"/>
            <w:vAlign w:val="bottom"/>
          </w:tcPr>
          <w:p>
            <w:pPr>
              <w:ind w:left="120"/>
              <w:spacing w:after="0"/>
              <w:rPr>
                <w:sz w:val="20"/>
                <w:szCs w:val="20"/>
                <w:color w:val="auto"/>
              </w:rPr>
            </w:pPr>
            <w:r>
              <w:rPr>
                <w:rFonts w:ascii="Arial" w:cs="Arial" w:eastAsia="Arial" w:hAnsi="Arial"/>
                <w:sz w:val="10"/>
                <w:szCs w:val="10"/>
                <w:color w:val="auto"/>
              </w:rPr>
              <w:t>GM Financial receivables, net(c)</w:t>
            </w:r>
          </w:p>
        </w:tc>
        <w:tc>
          <w:tcPr>
            <w:tcW w:w="10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60" w:type="dxa"/>
            <w:vAlign w:val="bottom"/>
          </w:tcPr>
          <w:p>
            <w:pPr>
              <w:jc w:val="right"/>
              <w:ind w:right="11"/>
              <w:spacing w:after="0"/>
              <w:rPr>
                <w:sz w:val="20"/>
                <w:szCs w:val="20"/>
                <w:color w:val="auto"/>
              </w:rPr>
            </w:pPr>
            <w:r>
              <w:rPr>
                <w:rFonts w:ascii="Arial" w:cs="Arial" w:eastAsia="Arial" w:hAnsi="Arial"/>
                <w:sz w:val="10"/>
                <w:szCs w:val="10"/>
                <w:color w:val="auto"/>
              </w:rPr>
              <w:t>24,896</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(313)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24,583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26,607</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(398)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26,209</w:t>
            </w:r>
          </w:p>
        </w:tc>
        <w:tc>
          <w:tcPr>
            <w:tcW w:w="0" w:type="dxa"/>
            <w:vAlign w:val="bottom"/>
          </w:tcPr>
          <w:p>
            <w:pPr>
              <w:spacing w:after="0"/>
              <w:rPr>
                <w:sz w:val="1"/>
                <w:szCs w:val="1"/>
                <w:color w:val="auto"/>
              </w:rPr>
            </w:pPr>
          </w:p>
        </w:tc>
      </w:tr>
      <w:tr>
        <w:trPr>
          <w:trHeight w:val="145"/>
        </w:trPr>
        <w:tc>
          <w:tcPr>
            <w:tcW w:w="22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Inventories</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12,067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12,066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10,236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10,235</w:t>
            </w:r>
          </w:p>
        </w:tc>
        <w:tc>
          <w:tcPr>
            <w:tcW w:w="0" w:type="dxa"/>
            <w:vAlign w:val="bottom"/>
          </w:tcPr>
          <w:p>
            <w:pPr>
              <w:spacing w:after="0"/>
              <w:rPr>
                <w:sz w:val="1"/>
                <w:szCs w:val="1"/>
                <w:color w:val="auto"/>
              </w:rPr>
            </w:pPr>
          </w:p>
        </w:tc>
      </w:tr>
      <w:tr>
        <w:trPr>
          <w:trHeight w:val="131"/>
        </w:trPr>
        <w:tc>
          <w:tcPr>
            <w:tcW w:w="2260" w:type="dxa"/>
            <w:vAlign w:val="bottom"/>
            <w:tcBorders>
              <w:bottom w:val="single" w:sz="8" w:color="CCEEFF"/>
            </w:tcBorders>
          </w:tcPr>
          <w:p>
            <w:pPr>
              <w:ind w:left="120"/>
              <w:spacing w:after="0"/>
              <w:rPr>
                <w:sz w:val="20"/>
                <w:szCs w:val="20"/>
                <w:color w:val="auto"/>
              </w:rPr>
            </w:pPr>
            <w:r>
              <w:rPr>
                <w:rFonts w:ascii="Arial" w:cs="Arial" w:eastAsia="Arial" w:hAnsi="Arial"/>
                <w:sz w:val="10"/>
                <w:szCs w:val="10"/>
                <w:color w:val="auto"/>
              </w:rPr>
              <w:t>Other current assets</w:t>
            </w: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2,091</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44</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4,832</w:t>
            </w:r>
          </w:p>
        </w:tc>
        <w:tc>
          <w:tcPr>
            <w:tcW w:w="100" w:type="dxa"/>
            <w:vAlign w:val="bottom"/>
            <w:tcBorders>
              <w:bottom w:val="single" w:sz="8" w:color="CCEEFF"/>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(30)</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6,936</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1,884</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32</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5,524</w:t>
            </w:r>
          </w:p>
        </w:tc>
        <w:tc>
          <w:tcPr>
            <w:tcW w:w="10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(32)</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7,407</w:t>
            </w:r>
          </w:p>
        </w:tc>
        <w:tc>
          <w:tcPr>
            <w:tcW w:w="0" w:type="dxa"/>
            <w:vAlign w:val="bottom"/>
          </w:tcPr>
          <w:p>
            <w:pPr>
              <w:spacing w:after="0"/>
              <w:rPr>
                <w:sz w:val="1"/>
                <w:szCs w:val="1"/>
                <w:color w:val="auto"/>
              </w:rPr>
            </w:pPr>
          </w:p>
        </w:tc>
      </w:tr>
      <w:tr>
        <w:trPr>
          <w:trHeight w:val="136"/>
        </w:trPr>
        <w:tc>
          <w:tcPr>
            <w:tcW w:w="22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Total current assets</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42,139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4,106</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37,152</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(1,305)</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82,091</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42,342</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1,769</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38,228</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(1,414)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80,924</w:t>
            </w:r>
          </w:p>
        </w:tc>
        <w:tc>
          <w:tcPr>
            <w:tcW w:w="0" w:type="dxa"/>
            <w:vAlign w:val="bottom"/>
          </w:tcPr>
          <w:p>
            <w:pPr>
              <w:spacing w:after="0"/>
              <w:rPr>
                <w:sz w:val="1"/>
                <w:szCs w:val="1"/>
                <w:color w:val="auto"/>
              </w:rPr>
            </w:pPr>
          </w:p>
        </w:tc>
      </w:tr>
      <w:tr>
        <w:trPr>
          <w:trHeight w:val="134"/>
        </w:trPr>
        <w:tc>
          <w:tcPr>
            <w:tcW w:w="2260" w:type="dxa"/>
            <w:vAlign w:val="bottom"/>
          </w:tcPr>
          <w:p>
            <w:pPr>
              <w:ind w:left="20"/>
              <w:spacing w:after="0"/>
              <w:rPr>
                <w:sz w:val="20"/>
                <w:szCs w:val="20"/>
                <w:color w:val="auto"/>
              </w:rPr>
            </w:pPr>
            <w:r>
              <w:rPr>
                <w:rFonts w:ascii="Arial" w:cs="Arial" w:eastAsia="Arial" w:hAnsi="Arial"/>
                <w:sz w:val="10"/>
                <w:szCs w:val="10"/>
                <w:b w:val="1"/>
                <w:bCs w:val="1"/>
                <w:color w:val="auto"/>
              </w:rPr>
              <w:t>Non-current Assets</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2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GM Financial receivables, net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33,689</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33,689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31,783</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31,783</w:t>
            </w:r>
          </w:p>
        </w:tc>
        <w:tc>
          <w:tcPr>
            <w:tcW w:w="0" w:type="dxa"/>
            <w:vAlign w:val="bottom"/>
          </w:tcPr>
          <w:p>
            <w:pPr>
              <w:spacing w:after="0"/>
              <w:rPr>
                <w:sz w:val="1"/>
                <w:szCs w:val="1"/>
                <w:color w:val="auto"/>
              </w:rPr>
            </w:pPr>
          </w:p>
        </w:tc>
      </w:tr>
      <w:tr>
        <w:trPr>
          <w:trHeight w:val="131"/>
        </w:trPr>
        <w:tc>
          <w:tcPr>
            <w:tcW w:w="2260" w:type="dxa"/>
            <w:vAlign w:val="bottom"/>
          </w:tcPr>
          <w:p>
            <w:pPr>
              <w:ind w:left="120"/>
              <w:spacing w:after="0"/>
              <w:rPr>
                <w:sz w:val="20"/>
                <w:szCs w:val="20"/>
                <w:color w:val="auto"/>
              </w:rPr>
            </w:pPr>
            <w:r>
              <w:rPr>
                <w:rFonts w:ascii="Arial" w:cs="Arial" w:eastAsia="Arial" w:hAnsi="Arial"/>
                <w:sz w:val="10"/>
                <w:szCs w:val="10"/>
                <w:color w:val="auto"/>
                <w:w w:val="99"/>
              </w:rPr>
              <w:t>Equity in net assets of nonconsolidated affiliates</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7,349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60" w:type="dxa"/>
            <w:vAlign w:val="bottom"/>
          </w:tcPr>
          <w:p>
            <w:pPr>
              <w:jc w:val="right"/>
              <w:ind w:right="11"/>
              <w:spacing w:after="0"/>
              <w:rPr>
                <w:sz w:val="20"/>
                <w:szCs w:val="20"/>
                <w:color w:val="auto"/>
              </w:rPr>
            </w:pPr>
            <w:r>
              <w:rPr>
                <w:rFonts w:ascii="Arial" w:cs="Arial" w:eastAsia="Arial" w:hAnsi="Arial"/>
                <w:sz w:val="10"/>
                <w:szCs w:val="10"/>
                <w:color w:val="auto"/>
              </w:rPr>
              <w:t>1,630</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8,979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6,825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1,581</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8,406</w:t>
            </w:r>
          </w:p>
        </w:tc>
        <w:tc>
          <w:tcPr>
            <w:tcW w:w="0" w:type="dxa"/>
            <w:vAlign w:val="bottom"/>
          </w:tcPr>
          <w:p>
            <w:pPr>
              <w:spacing w:after="0"/>
              <w:rPr>
                <w:sz w:val="1"/>
                <w:szCs w:val="1"/>
                <w:color w:val="auto"/>
              </w:rPr>
            </w:pPr>
          </w:p>
        </w:tc>
      </w:tr>
      <w:tr>
        <w:trPr>
          <w:trHeight w:val="145"/>
        </w:trPr>
        <w:tc>
          <w:tcPr>
            <w:tcW w:w="22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Property, net</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37,503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174</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37,797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37,325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184</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37,632</w:t>
            </w:r>
          </w:p>
        </w:tc>
        <w:tc>
          <w:tcPr>
            <w:tcW w:w="0" w:type="dxa"/>
            <w:vAlign w:val="bottom"/>
          </w:tcPr>
          <w:p>
            <w:pPr>
              <w:spacing w:after="0"/>
              <w:rPr>
                <w:sz w:val="1"/>
                <w:szCs w:val="1"/>
                <w:color w:val="auto"/>
              </w:rPr>
            </w:pPr>
          </w:p>
        </w:tc>
      </w:tr>
      <w:tr>
        <w:trPr>
          <w:trHeight w:val="131"/>
        </w:trPr>
        <w:tc>
          <w:tcPr>
            <w:tcW w:w="2260" w:type="dxa"/>
            <w:vAlign w:val="bottom"/>
          </w:tcPr>
          <w:p>
            <w:pPr>
              <w:ind w:left="120"/>
              <w:spacing w:after="0"/>
              <w:rPr>
                <w:sz w:val="20"/>
                <w:szCs w:val="20"/>
                <w:color w:val="auto"/>
              </w:rPr>
            </w:pPr>
            <w:r>
              <w:rPr>
                <w:rFonts w:ascii="Arial" w:cs="Arial" w:eastAsia="Arial" w:hAnsi="Arial"/>
                <w:sz w:val="10"/>
                <w:szCs w:val="10"/>
                <w:color w:val="auto"/>
              </w:rPr>
              <w:t>Goodwill and intangible assets, net</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3,116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730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11"/>
              <w:spacing w:after="0"/>
              <w:rPr>
                <w:sz w:val="20"/>
                <w:szCs w:val="20"/>
                <w:color w:val="auto"/>
              </w:rPr>
            </w:pPr>
            <w:r>
              <w:rPr>
                <w:rFonts w:ascii="Arial" w:cs="Arial" w:eastAsia="Arial" w:hAnsi="Arial"/>
                <w:sz w:val="10"/>
                <w:szCs w:val="10"/>
                <w:color w:val="auto"/>
              </w:rPr>
              <w:t>1,339</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5,185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3,152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735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1,343</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5,230</w:t>
            </w:r>
          </w:p>
        </w:tc>
        <w:tc>
          <w:tcPr>
            <w:tcW w:w="0" w:type="dxa"/>
            <w:vAlign w:val="bottom"/>
          </w:tcPr>
          <w:p>
            <w:pPr>
              <w:spacing w:after="0"/>
              <w:rPr>
                <w:sz w:val="1"/>
                <w:szCs w:val="1"/>
                <w:color w:val="auto"/>
              </w:rPr>
            </w:pPr>
          </w:p>
        </w:tc>
      </w:tr>
      <w:tr>
        <w:trPr>
          <w:trHeight w:val="145"/>
        </w:trPr>
        <w:tc>
          <w:tcPr>
            <w:tcW w:w="22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Equipment on operating leases, net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40,343</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40,343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39,819</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39,819</w:t>
            </w:r>
          </w:p>
        </w:tc>
        <w:tc>
          <w:tcPr>
            <w:tcW w:w="0" w:type="dxa"/>
            <w:vAlign w:val="bottom"/>
          </w:tcPr>
          <w:p>
            <w:pPr>
              <w:spacing w:after="0"/>
              <w:rPr>
                <w:sz w:val="1"/>
                <w:szCs w:val="1"/>
                <w:color w:val="auto"/>
              </w:rPr>
            </w:pPr>
          </w:p>
        </w:tc>
      </w:tr>
      <w:tr>
        <w:trPr>
          <w:trHeight w:val="131"/>
        </w:trPr>
        <w:tc>
          <w:tcPr>
            <w:tcW w:w="2260" w:type="dxa"/>
            <w:vAlign w:val="bottom"/>
          </w:tcPr>
          <w:p>
            <w:pPr>
              <w:ind w:left="120"/>
              <w:spacing w:after="0"/>
              <w:rPr>
                <w:sz w:val="20"/>
                <w:szCs w:val="20"/>
                <w:color w:val="auto"/>
              </w:rPr>
            </w:pPr>
            <w:r>
              <w:rPr>
                <w:rFonts w:ascii="Arial" w:cs="Arial" w:eastAsia="Arial" w:hAnsi="Arial"/>
                <w:sz w:val="10"/>
                <w:szCs w:val="10"/>
                <w:color w:val="auto"/>
              </w:rPr>
              <w:t>Deferred income taxes</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23,636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(546)</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23,090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23,853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617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(334)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24,136</w:t>
            </w:r>
          </w:p>
        </w:tc>
        <w:tc>
          <w:tcPr>
            <w:tcW w:w="0" w:type="dxa"/>
            <w:vAlign w:val="bottom"/>
          </w:tcPr>
          <w:p>
            <w:pPr>
              <w:spacing w:after="0"/>
              <w:rPr>
                <w:sz w:val="1"/>
                <w:szCs w:val="1"/>
                <w:color w:val="auto"/>
              </w:rPr>
            </w:pPr>
          </w:p>
        </w:tc>
      </w:tr>
      <w:tr>
        <w:trPr>
          <w:trHeight w:val="138"/>
        </w:trPr>
        <w:tc>
          <w:tcPr>
            <w:tcW w:w="22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Other assets</w:t>
            </w:r>
          </w:p>
        </w:tc>
        <w:tc>
          <w:tcPr>
            <w:tcW w:w="10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6,107</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368</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815</w:t>
            </w:r>
          </w:p>
        </w:tc>
        <w:tc>
          <w:tcPr>
            <w:tcW w:w="100" w:type="dxa"/>
            <w:vAlign w:val="bottom"/>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(53)</w:t>
            </w: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7,237</w:t>
            </w: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6,129</w:t>
            </w: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382</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805</w:t>
            </w:r>
          </w:p>
        </w:tc>
        <w:tc>
          <w:tcPr>
            <w:tcW w:w="100" w:type="dxa"/>
            <w:vAlign w:val="bottom"/>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(53)</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7,264</w:t>
            </w:r>
          </w:p>
        </w:tc>
        <w:tc>
          <w:tcPr>
            <w:tcW w:w="0" w:type="dxa"/>
            <w:vAlign w:val="bottom"/>
          </w:tcPr>
          <w:p>
            <w:pPr>
              <w:spacing w:after="0"/>
              <w:rPr>
                <w:sz w:val="1"/>
                <w:szCs w:val="1"/>
                <w:color w:val="auto"/>
              </w:rPr>
            </w:pPr>
          </w:p>
        </w:tc>
      </w:tr>
      <w:tr>
        <w:trPr>
          <w:trHeight w:val="129"/>
        </w:trPr>
        <w:tc>
          <w:tcPr>
            <w:tcW w:w="2260" w:type="dxa"/>
            <w:vAlign w:val="bottom"/>
            <w:tcBorders>
              <w:bottom w:val="single" w:sz="8" w:color="CCEEFF"/>
            </w:tcBorders>
          </w:tcPr>
          <w:p>
            <w:pPr>
              <w:ind w:left="120"/>
              <w:spacing w:after="0"/>
              <w:rPr>
                <w:sz w:val="20"/>
                <w:szCs w:val="20"/>
                <w:color w:val="auto"/>
              </w:rPr>
            </w:pPr>
            <w:r>
              <w:rPr>
                <w:rFonts w:ascii="Arial" w:cs="Arial" w:eastAsia="Arial" w:hAnsi="Arial"/>
                <w:sz w:val="10"/>
                <w:szCs w:val="10"/>
                <w:color w:val="auto"/>
              </w:rPr>
              <w:t>Total non-current assets</w:t>
            </w: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77,710</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1,218</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77,445</w:t>
            </w:r>
          </w:p>
        </w:tc>
        <w:tc>
          <w:tcPr>
            <w:tcW w:w="100" w:type="dxa"/>
            <w:vAlign w:val="bottom"/>
            <w:tcBorders>
              <w:bottom w:val="single" w:sz="8" w:color="CCEEFF"/>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(53)</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156,320</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77,284</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1,856</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75,182</w:t>
            </w:r>
          </w:p>
        </w:tc>
        <w:tc>
          <w:tcPr>
            <w:tcW w:w="10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(53)</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154,270</w:t>
            </w:r>
          </w:p>
        </w:tc>
        <w:tc>
          <w:tcPr>
            <w:tcW w:w="0" w:type="dxa"/>
            <w:vAlign w:val="bottom"/>
          </w:tcPr>
          <w:p>
            <w:pPr>
              <w:spacing w:after="0"/>
              <w:rPr>
                <w:sz w:val="1"/>
                <w:szCs w:val="1"/>
                <w:color w:val="auto"/>
              </w:rPr>
            </w:pPr>
          </w:p>
        </w:tc>
      </w:tr>
      <w:tr>
        <w:trPr>
          <w:trHeight w:val="161"/>
        </w:trPr>
        <w:tc>
          <w:tcPr>
            <w:tcW w:w="2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119,848</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5,324</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114,597</w:t>
            </w: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(1,358)</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238,411</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119,625</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3,625</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113,410</w:t>
            </w:r>
          </w:p>
        </w:tc>
        <w:tc>
          <w:tcPr>
            <w:tcW w:w="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(1,466)</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235,194</w:t>
            </w: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bottom w:val="single" w:sz="8" w:color="CCEEFF"/>
            </w:tcBorders>
            <w:vMerge w:val="restart"/>
          </w:tcPr>
          <w:p>
            <w:pPr>
              <w:ind w:left="520"/>
              <w:spacing w:after="0"/>
              <w:rPr>
                <w:sz w:val="20"/>
                <w:szCs w:val="20"/>
                <w:color w:val="auto"/>
              </w:rPr>
            </w:pPr>
            <w:r>
              <w:rPr>
                <w:rFonts w:ascii="Arial" w:cs="Arial" w:eastAsia="Arial" w:hAnsi="Arial"/>
                <w:sz w:val="10"/>
                <w:szCs w:val="10"/>
                <w:b w:val="1"/>
                <w:bCs w:val="1"/>
                <w:color w:val="auto"/>
              </w:rPr>
              <w:t>LIABILITIES AND EQUITY</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2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2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Current Liabilities</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260" w:type="dxa"/>
            <w:vAlign w:val="bottom"/>
          </w:tcPr>
          <w:p>
            <w:pPr>
              <w:ind w:left="120"/>
              <w:spacing w:after="0"/>
              <w:rPr>
                <w:sz w:val="20"/>
                <w:szCs w:val="20"/>
                <w:color w:val="auto"/>
              </w:rPr>
            </w:pPr>
            <w:r>
              <w:rPr>
                <w:rFonts w:ascii="Arial" w:cs="Arial" w:eastAsia="Arial" w:hAnsi="Arial"/>
                <w:sz w:val="10"/>
                <w:szCs w:val="10"/>
                <w:color w:val="auto"/>
              </w:rPr>
              <w:t>Accounts payable (principally trade)(b)</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0"/>
                <w:szCs w:val="10"/>
                <w:color w:val="auto"/>
              </w:rPr>
              <w:t>20,408</w:t>
            </w:r>
          </w:p>
        </w:tc>
        <w:tc>
          <w:tcPr>
            <w:tcW w:w="1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0"/>
                <w:szCs w:val="10"/>
                <w:color w:val="auto"/>
              </w:rPr>
              <w:t>101</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11"/>
              <w:spacing w:after="0"/>
              <w:rPr>
                <w:sz w:val="20"/>
                <w:szCs w:val="20"/>
                <w:color w:val="auto"/>
              </w:rPr>
            </w:pPr>
            <w:r>
              <w:rPr>
                <w:rFonts w:ascii="Arial" w:cs="Arial" w:eastAsia="Arial" w:hAnsi="Arial"/>
                <w:sz w:val="10"/>
                <w:szCs w:val="10"/>
                <w:color w:val="auto"/>
              </w:rPr>
              <w:t>870</w:t>
            </w:r>
          </w:p>
        </w:tc>
        <w:tc>
          <w:tcPr>
            <w:tcW w:w="10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0"/>
                <w:szCs w:val="10"/>
                <w:color w:val="auto"/>
              </w:rPr>
              <w:t>$</w:t>
            </w:r>
          </w:p>
        </w:tc>
        <w:tc>
          <w:tcPr>
            <w:tcW w:w="680" w:type="dxa"/>
            <w:vAlign w:val="bottom"/>
          </w:tcPr>
          <w:p>
            <w:pPr>
              <w:jc w:val="right"/>
              <w:spacing w:after="0"/>
              <w:rPr>
                <w:sz w:val="20"/>
                <w:szCs w:val="20"/>
                <w:color w:val="auto"/>
              </w:rPr>
            </w:pPr>
            <w:r>
              <w:rPr>
                <w:rFonts w:ascii="Arial" w:cs="Arial" w:eastAsia="Arial" w:hAnsi="Arial"/>
                <w:sz w:val="10"/>
                <w:szCs w:val="10"/>
                <w:color w:val="auto"/>
              </w:rPr>
              <w:t>(932)</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20,446</w:t>
            </w:r>
          </w:p>
        </w:tc>
        <w:tc>
          <w:tcPr>
            <w:tcW w:w="8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19,928</w:t>
            </w:r>
          </w:p>
        </w:tc>
        <w:tc>
          <w:tcPr>
            <w:tcW w:w="8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460" w:type="dxa"/>
            <w:vAlign w:val="bottom"/>
          </w:tcPr>
          <w:p>
            <w:pPr>
              <w:jc w:val="right"/>
              <w:spacing w:after="0"/>
              <w:rPr>
                <w:sz w:val="20"/>
                <w:szCs w:val="20"/>
                <w:color w:val="auto"/>
              </w:rPr>
            </w:pPr>
            <w:r>
              <w:rPr>
                <w:rFonts w:ascii="Arial" w:cs="Arial" w:eastAsia="Arial" w:hAnsi="Arial"/>
                <w:sz w:val="10"/>
                <w:szCs w:val="10"/>
                <w:color w:val="auto"/>
              </w:rPr>
              <w:t>93</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867</w:t>
            </w:r>
          </w:p>
        </w:tc>
        <w:tc>
          <w:tcPr>
            <w:tcW w:w="100" w:type="dxa"/>
            <w:vAlign w:val="bottom"/>
          </w:tcPr>
          <w:p>
            <w:pPr>
              <w:spacing w:after="0"/>
              <w:rPr>
                <w:sz w:val="11"/>
                <w:szCs w:val="11"/>
                <w:color w:val="auto"/>
              </w:rPr>
            </w:pPr>
          </w:p>
        </w:tc>
        <w:tc>
          <w:tcPr>
            <w:tcW w:w="620" w:type="dxa"/>
            <w:vAlign w:val="bottom"/>
          </w:tcPr>
          <w:p>
            <w:pPr>
              <w:ind w:left="20"/>
              <w:spacing w:after="0"/>
              <w:rPr>
                <w:sz w:val="20"/>
                <w:szCs w:val="20"/>
                <w:color w:val="auto"/>
              </w:rPr>
            </w:pPr>
            <w:r>
              <w:rPr>
                <w:rFonts w:ascii="Arial" w:cs="Arial" w:eastAsia="Arial" w:hAnsi="Arial"/>
                <w:sz w:val="10"/>
                <w:szCs w:val="10"/>
                <w:color w:val="auto"/>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(959)</w:t>
            </w:r>
          </w:p>
        </w:tc>
        <w:tc>
          <w:tcPr>
            <w:tcW w:w="1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0"/>
                <w:szCs w:val="10"/>
                <w:color w:val="auto"/>
              </w:rPr>
              <w:t>19,928</w:t>
            </w:r>
          </w:p>
        </w:tc>
        <w:tc>
          <w:tcPr>
            <w:tcW w:w="0" w:type="dxa"/>
            <w:vAlign w:val="bottom"/>
          </w:tcPr>
          <w:p>
            <w:pPr>
              <w:spacing w:after="0"/>
              <w:rPr>
                <w:sz w:val="1"/>
                <w:szCs w:val="1"/>
                <w:color w:val="auto"/>
              </w:rPr>
            </w:pPr>
          </w:p>
        </w:tc>
      </w:tr>
      <w:tr>
        <w:trPr>
          <w:trHeight w:val="109"/>
        </w:trPr>
        <w:tc>
          <w:tcPr>
            <w:tcW w:w="2260" w:type="dxa"/>
            <w:vAlign w:val="bottom"/>
            <w:shd w:val="clear" w:color="auto" w:fill="CCEEFF"/>
          </w:tcPr>
          <w:p>
            <w:pPr>
              <w:ind w:left="120"/>
              <w:spacing w:after="0" w:line="109" w:lineRule="exact"/>
              <w:rPr>
                <w:sz w:val="20"/>
                <w:szCs w:val="20"/>
                <w:color w:val="auto"/>
              </w:rPr>
            </w:pPr>
            <w:r>
              <w:rPr>
                <w:rFonts w:ascii="Arial" w:cs="Arial" w:eastAsia="Arial" w:hAnsi="Arial"/>
                <w:sz w:val="10"/>
                <w:szCs w:val="10"/>
                <w:color w:val="auto"/>
                <w:w w:val="99"/>
              </w:rPr>
              <w:t>Short-term debt and current portion of long-term</w:t>
            </w: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260" w:type="dxa"/>
            <w:vAlign w:val="bottom"/>
            <w:shd w:val="clear" w:color="auto" w:fill="CCEEFF"/>
          </w:tcPr>
          <w:p>
            <w:pPr>
              <w:ind w:left="240"/>
              <w:spacing w:after="0"/>
              <w:rPr>
                <w:sz w:val="20"/>
                <w:szCs w:val="20"/>
                <w:color w:val="auto"/>
              </w:rPr>
            </w:pPr>
            <w:r>
              <w:rPr>
                <w:rFonts w:ascii="Arial" w:cs="Arial" w:eastAsia="Arial" w:hAnsi="Arial"/>
                <w:sz w:val="10"/>
                <w:szCs w:val="10"/>
                <w:color w:val="auto"/>
              </w:rPr>
              <w:t>debt</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260" w:type="dxa"/>
            <w:vAlign w:val="bottom"/>
          </w:tcPr>
          <w:p>
            <w:pPr>
              <w:ind w:left="240"/>
              <w:spacing w:after="0"/>
              <w:rPr>
                <w:sz w:val="20"/>
                <w:szCs w:val="20"/>
                <w:color w:val="auto"/>
              </w:rPr>
            </w:pPr>
            <w:r>
              <w:rPr>
                <w:rFonts w:ascii="Arial" w:cs="Arial" w:eastAsia="Arial" w:hAnsi="Arial"/>
                <w:sz w:val="10"/>
                <w:szCs w:val="10"/>
                <w:color w:val="auto"/>
              </w:rPr>
              <w:t>Automotive (c)</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1,460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5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(314)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1,146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1,674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(398)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1,276</w:t>
            </w:r>
          </w:p>
        </w:tc>
        <w:tc>
          <w:tcPr>
            <w:tcW w:w="0" w:type="dxa"/>
            <w:vAlign w:val="bottom"/>
          </w:tcPr>
          <w:p>
            <w:pPr>
              <w:spacing w:after="0"/>
              <w:rPr>
                <w:sz w:val="1"/>
                <w:szCs w:val="1"/>
                <w:color w:val="auto"/>
              </w:rPr>
            </w:pPr>
          </w:p>
        </w:tc>
      </w:tr>
      <w:tr>
        <w:trPr>
          <w:trHeight w:val="145"/>
        </w:trPr>
        <w:tc>
          <w:tcPr>
            <w:tcW w:w="2260" w:type="dxa"/>
            <w:vAlign w:val="bottom"/>
            <w:shd w:val="clear" w:color="auto" w:fill="CCEEFF"/>
          </w:tcPr>
          <w:p>
            <w:pPr>
              <w:ind w:left="240"/>
              <w:spacing w:after="0"/>
              <w:rPr>
                <w:sz w:val="20"/>
                <w:szCs w:val="20"/>
                <w:color w:val="auto"/>
              </w:rPr>
            </w:pPr>
            <w:r>
              <w:rPr>
                <w:rFonts w:ascii="Arial" w:cs="Arial" w:eastAsia="Arial" w:hAnsi="Arial"/>
                <w:sz w:val="10"/>
                <w:szCs w:val="10"/>
                <w:color w:val="auto"/>
              </w:rPr>
              <w:t>GM Financial</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33,922</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33,922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35,637</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35,637</w:t>
            </w:r>
          </w:p>
        </w:tc>
        <w:tc>
          <w:tcPr>
            <w:tcW w:w="0" w:type="dxa"/>
            <w:vAlign w:val="bottom"/>
          </w:tcPr>
          <w:p>
            <w:pPr>
              <w:spacing w:after="0"/>
              <w:rPr>
                <w:sz w:val="1"/>
                <w:szCs w:val="1"/>
                <w:color w:val="auto"/>
              </w:rPr>
            </w:pPr>
          </w:p>
        </w:tc>
      </w:tr>
      <w:tr>
        <w:trPr>
          <w:trHeight w:val="131"/>
        </w:trPr>
        <w:tc>
          <w:tcPr>
            <w:tcW w:w="2260" w:type="dxa"/>
            <w:vAlign w:val="bottom"/>
            <w:tcBorders>
              <w:bottom w:val="single" w:sz="8" w:color="CCEEFF"/>
            </w:tcBorders>
          </w:tcPr>
          <w:p>
            <w:pPr>
              <w:ind w:left="120"/>
              <w:spacing w:after="0"/>
              <w:rPr>
                <w:sz w:val="20"/>
                <w:szCs w:val="20"/>
                <w:color w:val="auto"/>
              </w:rPr>
            </w:pPr>
            <w:r>
              <w:rPr>
                <w:rFonts w:ascii="Arial" w:cs="Arial" w:eastAsia="Arial" w:hAnsi="Arial"/>
                <w:sz w:val="10"/>
                <w:szCs w:val="10"/>
                <w:color w:val="auto"/>
              </w:rPr>
              <w:t>Accrued liabilities</w:t>
            </w: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16,743</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169</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3,928</w:t>
            </w:r>
          </w:p>
        </w:tc>
        <w:tc>
          <w:tcPr>
            <w:tcW w:w="100" w:type="dxa"/>
            <w:vAlign w:val="bottom"/>
            <w:tcBorders>
              <w:bottom w:val="single" w:sz="8" w:color="CCEEFF"/>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(31)</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20,809</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18,751</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133</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4,218</w:t>
            </w:r>
          </w:p>
        </w:tc>
        <w:tc>
          <w:tcPr>
            <w:tcW w:w="10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(34)</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23,069</w:t>
            </w:r>
          </w:p>
        </w:tc>
        <w:tc>
          <w:tcPr>
            <w:tcW w:w="0" w:type="dxa"/>
            <w:vAlign w:val="bottom"/>
          </w:tcPr>
          <w:p>
            <w:pPr>
              <w:spacing w:after="0"/>
              <w:rPr>
                <w:sz w:val="1"/>
                <w:szCs w:val="1"/>
                <w:color w:val="auto"/>
              </w:rPr>
            </w:pPr>
          </w:p>
        </w:tc>
      </w:tr>
      <w:tr>
        <w:trPr>
          <w:trHeight w:val="136"/>
        </w:trPr>
        <w:tc>
          <w:tcPr>
            <w:tcW w:w="22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Total current liabilities</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38,611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271</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38,720</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(1,277)</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76,323</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40,353</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226</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40,722</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(1,391)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79,910</w:t>
            </w:r>
          </w:p>
        </w:tc>
        <w:tc>
          <w:tcPr>
            <w:tcW w:w="0" w:type="dxa"/>
            <w:vAlign w:val="bottom"/>
          </w:tcPr>
          <w:p>
            <w:pPr>
              <w:spacing w:after="0"/>
              <w:rPr>
                <w:sz w:val="1"/>
                <w:szCs w:val="1"/>
                <w:color w:val="auto"/>
              </w:rPr>
            </w:pPr>
          </w:p>
        </w:tc>
      </w:tr>
      <w:tr>
        <w:trPr>
          <w:trHeight w:val="134"/>
        </w:trPr>
        <w:tc>
          <w:tcPr>
            <w:tcW w:w="2260" w:type="dxa"/>
            <w:vAlign w:val="bottom"/>
          </w:tcPr>
          <w:p>
            <w:pPr>
              <w:ind w:left="20"/>
              <w:spacing w:after="0"/>
              <w:rPr>
                <w:sz w:val="20"/>
                <w:szCs w:val="20"/>
                <w:color w:val="auto"/>
              </w:rPr>
            </w:pPr>
            <w:r>
              <w:rPr>
                <w:rFonts w:ascii="Arial" w:cs="Arial" w:eastAsia="Arial" w:hAnsi="Arial"/>
                <w:sz w:val="10"/>
                <w:szCs w:val="10"/>
                <w:b w:val="1"/>
                <w:bCs w:val="1"/>
                <w:color w:val="auto"/>
              </w:rPr>
              <w:t>Non-current Liabilities</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2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Long-term debt</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260" w:type="dxa"/>
            <w:vAlign w:val="bottom"/>
          </w:tcPr>
          <w:p>
            <w:pPr>
              <w:ind w:left="240"/>
              <w:spacing w:after="0"/>
              <w:rPr>
                <w:sz w:val="20"/>
                <w:szCs w:val="20"/>
                <w:color w:val="auto"/>
              </w:rPr>
            </w:pPr>
            <w:r>
              <w:rPr>
                <w:rFonts w:ascii="Arial" w:cs="Arial" w:eastAsia="Arial" w:hAnsi="Arial"/>
                <w:sz w:val="10"/>
                <w:szCs w:val="10"/>
                <w:color w:val="auto"/>
              </w:rPr>
              <w:t>Automotive</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16,406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56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16,406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16,193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16,193</w:t>
            </w:r>
          </w:p>
        </w:tc>
        <w:tc>
          <w:tcPr>
            <w:tcW w:w="0" w:type="dxa"/>
            <w:vAlign w:val="bottom"/>
          </w:tcPr>
          <w:p>
            <w:pPr>
              <w:spacing w:after="0"/>
              <w:rPr>
                <w:sz w:val="1"/>
                <w:szCs w:val="1"/>
                <w:color w:val="auto"/>
              </w:rPr>
            </w:pPr>
          </w:p>
        </w:tc>
      </w:tr>
      <w:tr>
        <w:trPr>
          <w:trHeight w:val="145"/>
        </w:trPr>
        <w:tc>
          <w:tcPr>
            <w:tcW w:w="2260" w:type="dxa"/>
            <w:vAlign w:val="bottom"/>
            <w:shd w:val="clear" w:color="auto" w:fill="CCEEFF"/>
          </w:tcPr>
          <w:p>
            <w:pPr>
              <w:ind w:left="240"/>
              <w:spacing w:after="0"/>
              <w:rPr>
                <w:sz w:val="20"/>
                <w:szCs w:val="20"/>
                <w:color w:val="auto"/>
              </w:rPr>
            </w:pPr>
            <w:r>
              <w:rPr>
                <w:rFonts w:ascii="Arial" w:cs="Arial" w:eastAsia="Arial" w:hAnsi="Arial"/>
                <w:sz w:val="10"/>
                <w:szCs w:val="10"/>
                <w:color w:val="auto"/>
              </w:rPr>
              <w:t>GM Financial</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59,773</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59,773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56,788</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56,788</w:t>
            </w:r>
          </w:p>
        </w:tc>
        <w:tc>
          <w:tcPr>
            <w:tcW w:w="0" w:type="dxa"/>
            <w:vAlign w:val="bottom"/>
          </w:tcPr>
          <w:p>
            <w:pPr>
              <w:spacing w:after="0"/>
              <w:rPr>
                <w:sz w:val="1"/>
                <w:szCs w:val="1"/>
                <w:color w:val="auto"/>
              </w:rPr>
            </w:pPr>
          </w:p>
        </w:tc>
      </w:tr>
      <w:tr>
        <w:trPr>
          <w:trHeight w:val="131"/>
        </w:trPr>
        <w:tc>
          <w:tcPr>
            <w:tcW w:w="2260" w:type="dxa"/>
            <w:vAlign w:val="bottom"/>
          </w:tcPr>
          <w:p>
            <w:pPr>
              <w:ind w:left="120"/>
              <w:spacing w:after="0"/>
              <w:rPr>
                <w:sz w:val="20"/>
                <w:szCs w:val="20"/>
                <w:color w:val="auto"/>
              </w:rPr>
            </w:pPr>
            <w:r>
              <w:rPr>
                <w:rFonts w:ascii="Arial" w:cs="Arial" w:eastAsia="Arial" w:hAnsi="Arial"/>
                <w:sz w:val="10"/>
                <w:szCs w:val="10"/>
                <w:color w:val="auto"/>
              </w:rPr>
              <w:t>Postretirement benefits other than pensions</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6,236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56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6,236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6,277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6,277</w:t>
            </w:r>
          </w:p>
        </w:tc>
        <w:tc>
          <w:tcPr>
            <w:tcW w:w="0" w:type="dxa"/>
            <w:vAlign w:val="bottom"/>
          </w:tcPr>
          <w:p>
            <w:pPr>
              <w:spacing w:after="0"/>
              <w:rPr>
                <w:sz w:val="1"/>
                <w:szCs w:val="1"/>
                <w:color w:val="auto"/>
              </w:rPr>
            </w:pPr>
          </w:p>
        </w:tc>
      </w:tr>
      <w:tr>
        <w:trPr>
          <w:trHeight w:val="145"/>
        </w:trPr>
        <w:tc>
          <w:tcPr>
            <w:tcW w:w="22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Pensions</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12,059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5</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12,064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12,897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12,902</w:t>
            </w:r>
          </w:p>
        </w:tc>
        <w:tc>
          <w:tcPr>
            <w:tcW w:w="0" w:type="dxa"/>
            <w:vAlign w:val="bottom"/>
          </w:tcPr>
          <w:p>
            <w:pPr>
              <w:spacing w:after="0"/>
              <w:rPr>
                <w:sz w:val="1"/>
                <w:szCs w:val="1"/>
                <w:color w:val="auto"/>
              </w:rPr>
            </w:pPr>
          </w:p>
        </w:tc>
      </w:tr>
      <w:tr>
        <w:trPr>
          <w:trHeight w:val="131"/>
        </w:trPr>
        <w:tc>
          <w:tcPr>
            <w:tcW w:w="2260" w:type="dxa"/>
            <w:vAlign w:val="bottom"/>
            <w:tcBorders>
              <w:bottom w:val="single" w:sz="8" w:color="CCEEFF"/>
            </w:tcBorders>
          </w:tcPr>
          <w:p>
            <w:pPr>
              <w:ind w:left="120"/>
              <w:spacing w:after="0"/>
              <w:rPr>
                <w:sz w:val="20"/>
                <w:szCs w:val="20"/>
                <w:color w:val="auto"/>
              </w:rPr>
            </w:pPr>
            <w:r>
              <w:rPr>
                <w:rFonts w:ascii="Arial" w:cs="Arial" w:eastAsia="Arial" w:hAnsi="Arial"/>
                <w:sz w:val="10"/>
                <w:szCs w:val="10"/>
                <w:color w:val="auto"/>
              </w:rPr>
              <w:t>Other liabilities</w:t>
            </w: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10,885</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533</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1,801</w:t>
            </w:r>
          </w:p>
        </w:tc>
        <w:tc>
          <w:tcPr>
            <w:tcW w:w="100" w:type="dxa"/>
            <w:vAlign w:val="bottom"/>
            <w:tcBorders>
              <w:bottom w:val="single" w:sz="8" w:color="CCEEFF"/>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(53)</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13,166</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11,151</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539</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1,810</w:t>
            </w:r>
          </w:p>
        </w:tc>
        <w:tc>
          <w:tcPr>
            <w:tcW w:w="10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(53)</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13,447</w:t>
            </w:r>
          </w:p>
        </w:tc>
        <w:tc>
          <w:tcPr>
            <w:tcW w:w="0" w:type="dxa"/>
            <w:vAlign w:val="bottom"/>
          </w:tcPr>
          <w:p>
            <w:pPr>
              <w:spacing w:after="0"/>
              <w:rPr>
                <w:sz w:val="1"/>
                <w:szCs w:val="1"/>
                <w:color w:val="auto"/>
              </w:rPr>
            </w:pPr>
          </w:p>
        </w:tc>
      </w:tr>
      <w:tr>
        <w:trPr>
          <w:trHeight w:val="136"/>
        </w:trPr>
        <w:tc>
          <w:tcPr>
            <w:tcW w:w="22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Total non-current liabilities</w:t>
            </w:r>
          </w:p>
        </w:tc>
        <w:tc>
          <w:tcPr>
            <w:tcW w:w="10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45,586</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533</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61,578</w:t>
            </w:r>
          </w:p>
        </w:tc>
        <w:tc>
          <w:tcPr>
            <w:tcW w:w="100" w:type="dxa"/>
            <w:vAlign w:val="bottom"/>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(53)</w:t>
            </w: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107,645</w:t>
            </w: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46,519</w:t>
            </w: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539</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58,602</w:t>
            </w:r>
          </w:p>
        </w:tc>
        <w:tc>
          <w:tcPr>
            <w:tcW w:w="100" w:type="dxa"/>
            <w:vAlign w:val="bottom"/>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(53)</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105,607</w:t>
            </w:r>
          </w:p>
        </w:tc>
        <w:tc>
          <w:tcPr>
            <w:tcW w:w="0" w:type="dxa"/>
            <w:vAlign w:val="bottom"/>
          </w:tcPr>
          <w:p>
            <w:pPr>
              <w:spacing w:after="0"/>
              <w:rPr>
                <w:sz w:val="1"/>
                <w:szCs w:val="1"/>
                <w:color w:val="auto"/>
              </w:rPr>
            </w:pPr>
          </w:p>
        </w:tc>
      </w:tr>
      <w:tr>
        <w:trPr>
          <w:trHeight w:val="121"/>
        </w:trPr>
        <w:tc>
          <w:tcPr>
            <w:tcW w:w="2260" w:type="dxa"/>
            <w:vAlign w:val="bottom"/>
          </w:tcPr>
          <w:p>
            <w:pPr>
              <w:ind w:left="20"/>
              <w:spacing w:after="0"/>
              <w:rPr>
                <w:sz w:val="20"/>
                <w:szCs w:val="20"/>
                <w:color w:val="auto"/>
              </w:rPr>
            </w:pPr>
            <w:r>
              <w:rPr>
                <w:rFonts w:ascii="Arial" w:cs="Arial" w:eastAsia="Arial" w:hAnsi="Arial"/>
                <w:sz w:val="10"/>
                <w:szCs w:val="10"/>
                <w:b w:val="1"/>
                <w:bCs w:val="1"/>
                <w:color w:val="auto"/>
              </w:rPr>
              <w:t>Total Liabilities</w:t>
            </w:r>
          </w:p>
        </w:tc>
        <w:tc>
          <w:tcPr>
            <w:tcW w:w="10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84,197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804</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ind w:right="11"/>
              <w:spacing w:after="0"/>
              <w:rPr>
                <w:sz w:val="20"/>
                <w:szCs w:val="20"/>
                <w:color w:val="auto"/>
              </w:rPr>
            </w:pPr>
            <w:r>
              <w:rPr>
                <w:rFonts w:ascii="Arial" w:cs="Arial" w:eastAsia="Arial" w:hAnsi="Arial"/>
                <w:sz w:val="10"/>
                <w:szCs w:val="10"/>
                <w:color w:val="auto"/>
              </w:rPr>
              <w:t>100,298</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(1,330)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183,968</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86,872</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764</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99,325</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(1,444)</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185,517</w:t>
            </w:r>
          </w:p>
        </w:tc>
        <w:tc>
          <w:tcPr>
            <w:tcW w:w="0" w:type="dxa"/>
            <w:vAlign w:val="bottom"/>
          </w:tcPr>
          <w:p>
            <w:pPr>
              <w:spacing w:after="0"/>
              <w:rPr>
                <w:sz w:val="1"/>
                <w:szCs w:val="1"/>
                <w:color w:val="auto"/>
              </w:rPr>
            </w:pPr>
          </w:p>
        </w:tc>
      </w:tr>
      <w:tr>
        <w:trPr>
          <w:trHeight w:val="145"/>
        </w:trPr>
        <w:tc>
          <w:tcPr>
            <w:tcW w:w="2260" w:type="dxa"/>
            <w:vAlign w:val="bottom"/>
            <w:shd w:val="clear" w:color="auto" w:fill="CCEEFF"/>
          </w:tcPr>
          <w:p>
            <w:pPr>
              <w:ind w:left="20"/>
              <w:spacing w:after="0"/>
              <w:rPr>
                <w:sz w:val="20"/>
                <w:szCs w:val="20"/>
                <w:color w:val="auto"/>
              </w:rPr>
            </w:pPr>
            <w:r>
              <w:rPr>
                <w:rFonts w:ascii="Arial" w:cs="Arial" w:eastAsia="Arial" w:hAnsi="Arial"/>
                <w:sz w:val="10"/>
                <w:szCs w:val="10"/>
                <w:color w:val="auto"/>
              </w:rPr>
              <w:t>Commitments and contingencies</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260" w:type="dxa"/>
            <w:vAlign w:val="bottom"/>
          </w:tcPr>
          <w:p>
            <w:pPr>
              <w:ind w:left="20"/>
              <w:spacing w:after="0"/>
              <w:rPr>
                <w:sz w:val="20"/>
                <w:szCs w:val="20"/>
                <w:color w:val="auto"/>
              </w:rPr>
            </w:pPr>
            <w:r>
              <w:rPr>
                <w:rFonts w:ascii="Arial" w:cs="Arial" w:eastAsia="Arial" w:hAnsi="Arial"/>
                <w:sz w:val="10"/>
                <w:szCs w:val="10"/>
                <w:b w:val="1"/>
                <w:bCs w:val="1"/>
                <w:color w:val="auto"/>
              </w:rPr>
              <w:t>Equity</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260" w:type="dxa"/>
            <w:vAlign w:val="bottom"/>
            <w:shd w:val="clear" w:color="auto" w:fill="CCEEFF"/>
          </w:tcPr>
          <w:p>
            <w:pPr>
              <w:ind w:left="80"/>
              <w:spacing w:after="0"/>
              <w:rPr>
                <w:sz w:val="20"/>
                <w:szCs w:val="20"/>
                <w:color w:val="auto"/>
              </w:rPr>
            </w:pPr>
            <w:r>
              <w:rPr>
                <w:rFonts w:ascii="Arial" w:cs="Arial" w:eastAsia="Arial" w:hAnsi="Arial"/>
                <w:sz w:val="10"/>
                <w:szCs w:val="10"/>
                <w:color w:val="auto"/>
              </w:rPr>
              <w:t>Common stock, $0.01 par value</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w:t>
            </w:r>
          </w:p>
        </w:tc>
        <w:tc>
          <w:tcPr>
            <w:tcW w:w="0" w:type="dxa"/>
            <w:vAlign w:val="bottom"/>
          </w:tcPr>
          <w:p>
            <w:pPr>
              <w:spacing w:after="0"/>
              <w:rPr>
                <w:sz w:val="1"/>
                <w:szCs w:val="1"/>
                <w:color w:val="auto"/>
              </w:rPr>
            </w:pPr>
          </w:p>
        </w:tc>
      </w:tr>
      <w:tr>
        <w:trPr>
          <w:trHeight w:val="131"/>
        </w:trPr>
        <w:tc>
          <w:tcPr>
            <w:tcW w:w="2260" w:type="dxa"/>
            <w:vAlign w:val="bottom"/>
          </w:tcPr>
          <w:p>
            <w:pPr>
              <w:ind w:left="80"/>
              <w:spacing w:after="0"/>
              <w:rPr>
                <w:sz w:val="20"/>
                <w:szCs w:val="20"/>
                <w:color w:val="auto"/>
              </w:rPr>
            </w:pPr>
            <w:r>
              <w:rPr>
                <w:rFonts w:ascii="Arial" w:cs="Arial" w:eastAsia="Arial" w:hAnsi="Arial"/>
                <w:sz w:val="10"/>
                <w:szCs w:val="10"/>
                <w:color w:val="auto"/>
              </w:rPr>
              <w:t>Preferred stock, $0.01 par value</w:t>
            </w:r>
          </w:p>
        </w:tc>
        <w:tc>
          <w:tcPr>
            <w:tcW w:w="10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56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5"/>
        </w:trPr>
        <w:tc>
          <w:tcPr>
            <w:tcW w:w="2260" w:type="dxa"/>
            <w:vAlign w:val="bottom"/>
            <w:shd w:val="clear" w:color="auto" w:fill="CCEEFF"/>
          </w:tcPr>
          <w:p>
            <w:pPr>
              <w:ind w:left="80"/>
              <w:spacing w:after="0"/>
              <w:rPr>
                <w:sz w:val="20"/>
                <w:szCs w:val="20"/>
                <w:color w:val="auto"/>
              </w:rPr>
            </w:pPr>
            <w:r>
              <w:rPr>
                <w:rFonts w:ascii="Arial" w:cs="Arial" w:eastAsia="Arial" w:hAnsi="Arial"/>
                <w:sz w:val="10"/>
                <w:szCs w:val="10"/>
                <w:color w:val="auto"/>
              </w:rPr>
              <w:t>Additional paid-in capital(d)</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26,675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1,670</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(1,761)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26,667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26,551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1,730</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(1,816)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26,542</w:t>
            </w:r>
          </w:p>
        </w:tc>
        <w:tc>
          <w:tcPr>
            <w:tcW w:w="0" w:type="dxa"/>
            <w:vAlign w:val="bottom"/>
          </w:tcPr>
          <w:p>
            <w:pPr>
              <w:spacing w:after="0"/>
              <w:rPr>
                <w:sz w:val="1"/>
                <w:szCs w:val="1"/>
                <w:color w:val="auto"/>
              </w:rPr>
            </w:pPr>
          </w:p>
        </w:tc>
      </w:tr>
      <w:tr>
        <w:trPr>
          <w:trHeight w:val="131"/>
        </w:trPr>
        <w:tc>
          <w:tcPr>
            <w:tcW w:w="2260" w:type="dxa"/>
            <w:vAlign w:val="bottom"/>
          </w:tcPr>
          <w:p>
            <w:pPr>
              <w:ind w:left="80"/>
              <w:spacing w:after="0"/>
              <w:rPr>
                <w:sz w:val="20"/>
                <w:szCs w:val="20"/>
                <w:color w:val="auto"/>
              </w:rPr>
            </w:pPr>
            <w:r>
              <w:rPr>
                <w:rFonts w:ascii="Arial" w:cs="Arial" w:eastAsia="Arial" w:hAnsi="Arial"/>
                <w:sz w:val="10"/>
                <w:szCs w:val="10"/>
                <w:color w:val="auto"/>
              </w:rPr>
              <w:t>Retained earnings</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20,015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1,053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11"/>
              <w:spacing w:after="0"/>
              <w:rPr>
                <w:sz w:val="20"/>
                <w:szCs w:val="20"/>
                <w:color w:val="auto"/>
              </w:rPr>
            </w:pPr>
            <w:r>
              <w:rPr>
                <w:rFonts w:ascii="Arial" w:cs="Arial" w:eastAsia="Arial" w:hAnsi="Arial"/>
                <w:sz w:val="10"/>
                <w:szCs w:val="10"/>
                <w:color w:val="auto"/>
              </w:rPr>
              <w:t>13,937</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34,988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17,444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891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13,640</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31,962</w:t>
            </w:r>
          </w:p>
        </w:tc>
        <w:tc>
          <w:tcPr>
            <w:tcW w:w="0" w:type="dxa"/>
            <w:vAlign w:val="bottom"/>
          </w:tcPr>
          <w:p>
            <w:pPr>
              <w:spacing w:after="0"/>
              <w:rPr>
                <w:sz w:val="1"/>
                <w:szCs w:val="1"/>
                <w:color w:val="auto"/>
              </w:rPr>
            </w:pPr>
          </w:p>
        </w:tc>
      </w:tr>
      <w:tr>
        <w:trPr>
          <w:trHeight w:val="138"/>
        </w:trPr>
        <w:tc>
          <w:tcPr>
            <w:tcW w:w="22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Accumulated other comprehensive loss</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(12,025)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(1,307)</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(13,326)</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(12,213)</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(1,284)</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(13,488)</w:t>
            </w:r>
          </w:p>
        </w:tc>
        <w:tc>
          <w:tcPr>
            <w:tcW w:w="0" w:type="dxa"/>
            <w:vAlign w:val="bottom"/>
          </w:tcPr>
          <w:p>
            <w:pPr>
              <w:spacing w:after="0"/>
              <w:rPr>
                <w:sz w:val="1"/>
                <w:szCs w:val="1"/>
                <w:color w:val="auto"/>
              </w:rPr>
            </w:pPr>
          </w:p>
        </w:tc>
      </w:tr>
      <w:tr>
        <w:trPr>
          <w:trHeight w:val="129"/>
        </w:trPr>
        <w:tc>
          <w:tcPr>
            <w:tcW w:w="2260" w:type="dxa"/>
            <w:vAlign w:val="bottom"/>
          </w:tcPr>
          <w:p>
            <w:pPr>
              <w:ind w:left="80"/>
              <w:spacing w:after="0"/>
              <w:rPr>
                <w:sz w:val="20"/>
                <w:szCs w:val="20"/>
                <w:color w:val="auto"/>
              </w:rPr>
            </w:pPr>
            <w:r>
              <w:rPr>
                <w:rFonts w:ascii="Arial" w:cs="Arial" w:eastAsia="Arial" w:hAnsi="Arial"/>
                <w:sz w:val="10"/>
                <w:szCs w:val="10"/>
                <w:color w:val="auto"/>
              </w:rPr>
              <w:t>Total stockholders’ equity</w:t>
            </w: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34,680</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1,142</w:t>
            </w: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14,299</w:t>
            </w:r>
          </w:p>
        </w:tc>
        <w:tc>
          <w:tcPr>
            <w:tcW w:w="10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(1,779)</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48,343</w:t>
            </w: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31,796</w:t>
            </w: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976</w:t>
            </w: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14,085</w:t>
            </w:r>
          </w:p>
        </w:tc>
        <w:tc>
          <w:tcPr>
            <w:tcW w:w="10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(1,829)</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45,030</w:t>
            </w:r>
          </w:p>
        </w:tc>
        <w:tc>
          <w:tcPr>
            <w:tcW w:w="0" w:type="dxa"/>
            <w:vAlign w:val="bottom"/>
          </w:tcPr>
          <w:p>
            <w:pPr>
              <w:spacing w:after="0"/>
              <w:rPr>
                <w:sz w:val="1"/>
                <w:szCs w:val="1"/>
                <w:color w:val="auto"/>
              </w:rPr>
            </w:pPr>
          </w:p>
        </w:tc>
      </w:tr>
      <w:tr>
        <w:trPr>
          <w:trHeight w:val="145"/>
        </w:trPr>
        <w:tc>
          <w:tcPr>
            <w:tcW w:w="2260" w:type="dxa"/>
            <w:vAlign w:val="bottom"/>
            <w:shd w:val="clear" w:color="auto" w:fill="CCEEFF"/>
          </w:tcPr>
          <w:p>
            <w:pPr>
              <w:ind w:left="80"/>
              <w:spacing w:after="0"/>
              <w:rPr>
                <w:sz w:val="20"/>
                <w:szCs w:val="20"/>
                <w:color w:val="auto"/>
              </w:rPr>
            </w:pPr>
            <w:r>
              <w:rPr>
                <w:rFonts w:ascii="Arial" w:cs="Arial" w:eastAsia="Arial" w:hAnsi="Arial"/>
                <w:sz w:val="10"/>
                <w:szCs w:val="10"/>
                <w:color w:val="auto"/>
              </w:rPr>
              <w:t>Noncontrolling interests(d)</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972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3,378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1,750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6,100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959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1,884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1,804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4,647</w:t>
            </w:r>
          </w:p>
        </w:tc>
        <w:tc>
          <w:tcPr>
            <w:tcW w:w="0" w:type="dxa"/>
            <w:vAlign w:val="bottom"/>
          </w:tcPr>
          <w:p>
            <w:pPr>
              <w:spacing w:after="0"/>
              <w:rPr>
                <w:sz w:val="1"/>
                <w:szCs w:val="1"/>
                <w:color w:val="auto"/>
              </w:rPr>
            </w:pPr>
          </w:p>
        </w:tc>
      </w:tr>
      <w:tr>
        <w:trPr>
          <w:trHeight w:val="121"/>
        </w:trPr>
        <w:tc>
          <w:tcPr>
            <w:tcW w:w="2260" w:type="dxa"/>
            <w:vAlign w:val="bottom"/>
            <w:tcBorders>
              <w:bottom w:val="single" w:sz="8" w:color="CCEEFF"/>
            </w:tcBorders>
          </w:tcPr>
          <w:p>
            <w:pPr>
              <w:ind w:left="20"/>
              <w:spacing w:after="0"/>
              <w:rPr>
                <w:sz w:val="20"/>
                <w:szCs w:val="20"/>
                <w:color w:val="auto"/>
              </w:rPr>
            </w:pPr>
            <w:r>
              <w:rPr>
                <w:rFonts w:ascii="Arial" w:cs="Arial" w:eastAsia="Arial" w:hAnsi="Arial"/>
                <w:sz w:val="10"/>
                <w:szCs w:val="10"/>
                <w:b w:val="1"/>
                <w:bCs w:val="1"/>
                <w:color w:val="auto"/>
              </w:rPr>
              <w:t>Total Equity</w:t>
            </w:r>
          </w:p>
        </w:tc>
        <w:tc>
          <w:tcPr>
            <w:tcW w:w="100" w:type="dxa"/>
            <w:vAlign w:val="bottom"/>
            <w:tcBorders>
              <w:top w:val="single" w:sz="8" w:color="auto"/>
              <w:bottom w:val="single" w:sz="8" w:color="auto"/>
            </w:tcBorders>
          </w:tcPr>
          <w:p>
            <w:pPr>
              <w:spacing w:after="0"/>
              <w:rPr>
                <w:sz w:val="10"/>
                <w:szCs w:val="1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35,652</w:t>
            </w:r>
          </w:p>
        </w:tc>
        <w:tc>
          <w:tcPr>
            <w:tcW w:w="100" w:type="dxa"/>
            <w:vAlign w:val="bottom"/>
            <w:tcBorders>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4,519</w:t>
            </w:r>
          </w:p>
        </w:tc>
        <w:tc>
          <w:tcPr>
            <w:tcW w:w="10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14,299</w:t>
            </w:r>
          </w:p>
        </w:tc>
        <w:tc>
          <w:tcPr>
            <w:tcW w:w="100" w:type="dxa"/>
            <w:vAlign w:val="bottom"/>
            <w:tcBorders>
              <w:bottom w:val="single" w:sz="8" w:color="CCEEFF"/>
            </w:tcBorders>
          </w:tcPr>
          <w:p>
            <w:pPr>
              <w:spacing w:after="0"/>
              <w:rPr>
                <w:sz w:val="10"/>
                <w:szCs w:val="10"/>
                <w:color w:val="auto"/>
              </w:rPr>
            </w:pPr>
          </w:p>
        </w:tc>
        <w:tc>
          <w:tcPr>
            <w:tcW w:w="560" w:type="dxa"/>
            <w:vAlign w:val="bottom"/>
            <w:tcBorders>
              <w:top w:val="single" w:sz="8" w:color="auto"/>
              <w:bottom w:val="single" w:sz="8" w:color="auto"/>
            </w:tcBorders>
          </w:tcPr>
          <w:p>
            <w:pPr>
              <w:spacing w:after="0"/>
              <w:rPr>
                <w:sz w:val="10"/>
                <w:szCs w:val="1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(28)</w:t>
            </w:r>
          </w:p>
        </w:tc>
        <w:tc>
          <w:tcPr>
            <w:tcW w:w="100" w:type="dxa"/>
            <w:vAlign w:val="bottom"/>
            <w:tcBorders>
              <w:bottom w:val="single" w:sz="8" w:color="CCEEFF"/>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54,443</w:t>
            </w:r>
          </w:p>
        </w:tc>
        <w:tc>
          <w:tcPr>
            <w:tcW w:w="80" w:type="dxa"/>
            <w:vAlign w:val="bottom"/>
            <w:tcBorders>
              <w:bottom w:val="single" w:sz="8" w:color="CCEEFF"/>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6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32,754</w:t>
            </w:r>
          </w:p>
        </w:tc>
        <w:tc>
          <w:tcPr>
            <w:tcW w:w="80" w:type="dxa"/>
            <w:vAlign w:val="bottom"/>
            <w:tcBorders>
              <w:bottom w:val="single" w:sz="8" w:color="CCEEFF"/>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2,861</w:t>
            </w:r>
          </w:p>
        </w:tc>
        <w:tc>
          <w:tcPr>
            <w:tcW w:w="10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14,085</w:t>
            </w:r>
          </w:p>
        </w:tc>
        <w:tc>
          <w:tcPr>
            <w:tcW w:w="100" w:type="dxa"/>
            <w:vAlign w:val="bottom"/>
            <w:tcBorders>
              <w:bottom w:val="single" w:sz="8" w:color="CCEEFF"/>
            </w:tcBorders>
          </w:tcPr>
          <w:p>
            <w:pPr>
              <w:spacing w:after="0"/>
              <w:rPr>
                <w:sz w:val="10"/>
                <w:szCs w:val="10"/>
                <w:color w:val="auto"/>
              </w:rPr>
            </w:pPr>
          </w:p>
        </w:tc>
        <w:tc>
          <w:tcPr>
            <w:tcW w:w="62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(23)</w:t>
            </w:r>
          </w:p>
        </w:tc>
        <w:tc>
          <w:tcPr>
            <w:tcW w:w="100" w:type="dxa"/>
            <w:vAlign w:val="bottom"/>
            <w:tcBorders>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49,677</w:t>
            </w:r>
          </w:p>
        </w:tc>
        <w:tc>
          <w:tcPr>
            <w:tcW w:w="0" w:type="dxa"/>
            <w:vAlign w:val="bottom"/>
          </w:tcPr>
          <w:p>
            <w:pPr>
              <w:spacing w:after="0"/>
              <w:rPr>
                <w:sz w:val="1"/>
                <w:szCs w:val="1"/>
                <w:color w:val="auto"/>
              </w:rPr>
            </w:pPr>
          </w:p>
        </w:tc>
      </w:tr>
      <w:tr>
        <w:trPr>
          <w:trHeight w:val="161"/>
        </w:trPr>
        <w:tc>
          <w:tcPr>
            <w:tcW w:w="2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Total Liabilities and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119,848</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5,324</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114,597</w:t>
            </w: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(1,358)</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238,411</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119,625</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3,625</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113,410</w:t>
            </w:r>
          </w:p>
        </w:tc>
        <w:tc>
          <w:tcPr>
            <w:tcW w:w="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(1,466)</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235,194</w:t>
            </w: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8"/>
                <w:szCs w:val="8"/>
                <w:color w:val="auto"/>
              </w:rPr>
              <w:t>_________</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22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260" w:hanging="255"/>
        <w:spacing w:after="0"/>
        <w:tabs>
          <w:tab w:leader="none" w:pos="260" w:val="left"/>
        </w:tabs>
        <w:numPr>
          <w:ilvl w:val="0"/>
          <w:numId w:val="9"/>
        </w:numPr>
        <w:rPr>
          <w:rFonts w:ascii="Arial" w:cs="Arial" w:eastAsia="Arial" w:hAnsi="Arial"/>
          <w:sz w:val="8"/>
          <w:szCs w:val="8"/>
          <w:color w:val="auto"/>
        </w:rPr>
      </w:pPr>
      <w:r>
        <w:rPr>
          <w:rFonts w:ascii="Arial" w:cs="Arial" w:eastAsia="Arial" w:hAnsi="Arial"/>
          <w:sz w:val="8"/>
          <w:szCs w:val="8"/>
          <w:color w:val="auto"/>
        </w:rPr>
        <w:t>Amounts may not sum due to rounding.</w:t>
      </w:r>
    </w:p>
    <w:p>
      <w:pPr>
        <w:spacing w:after="0" w:line="3" w:lineRule="exact"/>
        <w:rPr>
          <w:rFonts w:ascii="Arial" w:cs="Arial" w:eastAsia="Arial" w:hAnsi="Arial"/>
          <w:sz w:val="8"/>
          <w:szCs w:val="8"/>
          <w:color w:val="auto"/>
        </w:rPr>
      </w:pPr>
    </w:p>
    <w:p>
      <w:pPr>
        <w:ind w:left="260" w:hanging="255"/>
        <w:spacing w:after="0" w:line="249" w:lineRule="auto"/>
        <w:tabs>
          <w:tab w:leader="none" w:pos="257" w:val="left"/>
        </w:tabs>
        <w:numPr>
          <w:ilvl w:val="0"/>
          <w:numId w:val="9"/>
        </w:numPr>
        <w:rPr>
          <w:rFonts w:ascii="Arial" w:cs="Arial" w:eastAsia="Arial" w:hAnsi="Arial"/>
          <w:sz w:val="8"/>
          <w:szCs w:val="8"/>
          <w:color w:val="auto"/>
        </w:rPr>
      </w:pPr>
      <w:r>
        <w:rPr>
          <w:rFonts w:ascii="Arial" w:cs="Arial" w:eastAsia="Arial" w:hAnsi="Arial"/>
          <w:sz w:val="8"/>
          <w:szCs w:val="8"/>
          <w:color w:val="auto"/>
        </w:rPr>
        <w:t>Eliminations primarily include: GM Financial accounts and notes receivable of $669 million offset by Automotive accounts payable and Automotive accounts receivable of $257 million offset by GM Financial accounts payable at March 31, 2021; and GM Financial accounts and notes receivable of $643 million offset by Automotive accounts payable and Automotive accounts receivable of $268 million offset by GM Financial accounts payable at December 31, 2020.</w:t>
      </w:r>
    </w:p>
    <w:p>
      <w:pPr>
        <w:ind w:left="260" w:hanging="255"/>
        <w:spacing w:after="0"/>
        <w:tabs>
          <w:tab w:leader="none" w:pos="260" w:val="left"/>
        </w:tabs>
        <w:numPr>
          <w:ilvl w:val="0"/>
          <w:numId w:val="9"/>
        </w:numPr>
        <w:rPr>
          <w:rFonts w:ascii="Arial" w:cs="Arial" w:eastAsia="Arial" w:hAnsi="Arial"/>
          <w:sz w:val="8"/>
          <w:szCs w:val="8"/>
          <w:color w:val="auto"/>
        </w:rPr>
      </w:pPr>
      <w:r>
        <w:rPr>
          <w:rFonts w:ascii="Arial" w:cs="Arial" w:eastAsia="Arial" w:hAnsi="Arial"/>
          <w:sz w:val="8"/>
          <w:szCs w:val="8"/>
          <w:color w:val="auto"/>
        </w:rPr>
        <w:t>Eliminations include GM Financial loan receivable of $313 million and $398 million offset by an Automotive loan payable at March 31, 2021 and December 31, 2020.</w:t>
      </w:r>
    </w:p>
    <w:p>
      <w:pPr>
        <w:spacing w:after="0" w:line="3" w:lineRule="exact"/>
        <w:rPr>
          <w:rFonts w:ascii="Arial" w:cs="Arial" w:eastAsia="Arial" w:hAnsi="Arial"/>
          <w:sz w:val="8"/>
          <w:szCs w:val="8"/>
          <w:color w:val="auto"/>
        </w:rPr>
      </w:pPr>
    </w:p>
    <w:p>
      <w:pPr>
        <w:ind w:left="260" w:hanging="255"/>
        <w:spacing w:after="0"/>
        <w:tabs>
          <w:tab w:leader="none" w:pos="260" w:val="left"/>
        </w:tabs>
        <w:numPr>
          <w:ilvl w:val="0"/>
          <w:numId w:val="9"/>
        </w:numPr>
        <w:rPr>
          <w:rFonts w:ascii="Arial" w:cs="Arial" w:eastAsia="Arial" w:hAnsi="Arial"/>
          <w:sz w:val="8"/>
          <w:szCs w:val="8"/>
          <w:color w:val="auto"/>
        </w:rPr>
      </w:pPr>
      <w:r>
        <w:rPr>
          <w:rFonts w:ascii="Arial" w:cs="Arial" w:eastAsia="Arial" w:hAnsi="Arial"/>
          <w:sz w:val="8"/>
          <w:szCs w:val="8"/>
          <w:color w:val="auto"/>
        </w:rPr>
        <w:t>Primarily reclassification of GM Financial Cumulative Perpetual Preferred Stock, Series A, B and C. The preferred stock is classified as noncontrolling interests in our condensed consolidated balance sheets.</w:t>
      </w:r>
    </w:p>
    <w:p>
      <w:pPr>
        <w:spacing w:after="0" w:line="200" w:lineRule="exact"/>
        <w:rPr>
          <w:sz w:val="20"/>
          <w:szCs w:val="20"/>
          <w:color w:val="auto"/>
        </w:rPr>
      </w:pPr>
    </w:p>
    <w:p>
      <w:pPr>
        <w:spacing w:after="0" w:line="296"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12</w:t>
      </w:r>
    </w:p>
    <w:p>
      <w:pPr>
        <w:sectPr>
          <w:pgSz w:w="11900" w:h="16838" w:orient="portrait"/>
          <w:cols w:equalWidth="0" w:num="1">
            <w:col w:w="11280"/>
          </w:cols>
          <w:pgMar w:left="300" w:top="698" w:right="319" w:bottom="1440" w:gutter="0" w:footer="0" w:header="0"/>
        </w:sectPr>
      </w:pPr>
    </w:p>
    <w:bookmarkStart w:id="21" w:name="page22"/>
    <w:bookmarkEnd w:id="21"/>
    <w:p>
      <w:pPr>
        <w:ind w:left="4340"/>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05" w:lineRule="exact"/>
        <w:rPr>
          <w:sz w:val="20"/>
          <w:szCs w:val="20"/>
          <w:color w:val="auto"/>
        </w:rPr>
      </w:pPr>
    </w:p>
    <w:p>
      <w:pPr>
        <w:ind w:left="4600"/>
        <w:spacing w:after="0"/>
        <w:rPr>
          <w:sz w:val="20"/>
          <w:szCs w:val="20"/>
          <w:color w:val="auto"/>
        </w:rPr>
      </w:pPr>
      <w:r>
        <w:rPr>
          <w:rFonts w:ascii="Arial" w:cs="Arial" w:eastAsia="Arial" w:hAnsi="Arial"/>
          <w:sz w:val="13"/>
          <w:szCs w:val="13"/>
          <w:b w:val="1"/>
          <w:bCs w:val="1"/>
          <w:color w:val="auto"/>
        </w:rPr>
        <w:t>Combining Cash Flow Information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(In millions) (Unaudited)(a)</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3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140" w:type="dxa"/>
            <w:vAlign w:val="bottom"/>
            <w:tcBorders>
              <w:bottom w:val="single" w:sz="8" w:color="auto"/>
            </w:tcBorders>
            <w:gridSpan w:val="6"/>
          </w:tcPr>
          <w:p>
            <w:pPr>
              <w:ind w:left="340"/>
              <w:spacing w:after="0"/>
              <w:rPr>
                <w:sz w:val="20"/>
                <w:szCs w:val="20"/>
                <w:color w:val="auto"/>
              </w:rPr>
            </w:pPr>
            <w:r>
              <w:rPr>
                <w:rFonts w:ascii="Arial" w:cs="Arial" w:eastAsia="Arial" w:hAnsi="Arial"/>
                <w:sz w:val="10"/>
                <w:szCs w:val="10"/>
                <w:b w:val="1"/>
                <w:bCs w:val="1"/>
                <w:color w:val="auto"/>
              </w:rPr>
              <w:t>Three Months Ended March 31, 2021</w:t>
            </w: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0" w:type="dxa"/>
            <w:vAlign w:val="bottom"/>
            <w:tcBorders>
              <w:bottom w:val="single" w:sz="8" w:color="auto"/>
            </w:tcBorders>
            <w:gridSpan w:val="6"/>
          </w:tcPr>
          <w:p>
            <w:pPr>
              <w:ind w:left="360"/>
              <w:spacing w:after="0"/>
              <w:rPr>
                <w:sz w:val="20"/>
                <w:szCs w:val="20"/>
                <w:color w:val="auto"/>
              </w:rPr>
            </w:pPr>
            <w:r>
              <w:rPr>
                <w:rFonts w:ascii="Arial" w:cs="Arial" w:eastAsia="Arial" w:hAnsi="Arial"/>
                <w:sz w:val="10"/>
                <w:szCs w:val="10"/>
                <w:b w:val="1"/>
                <w:bCs w:val="1"/>
                <w:color w:val="auto"/>
              </w:rPr>
              <w:t>Three Months Ended March 31, 2020</w:t>
            </w:r>
          </w:p>
        </w:tc>
        <w:tc>
          <w:tcPr>
            <w:tcW w:w="3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8"/>
                <w:szCs w:val="8"/>
                <w:b w:val="1"/>
                <w:bCs w:val="1"/>
                <w:color w:val="auto"/>
              </w:rPr>
              <w:t>Automotive</w:t>
            </w:r>
          </w:p>
        </w:tc>
        <w:tc>
          <w:tcPr>
            <w:tcW w:w="120" w:type="dxa"/>
            <w:vAlign w:val="bottom"/>
          </w:tcPr>
          <w:p>
            <w:pPr>
              <w:spacing w:after="0"/>
              <w:rPr>
                <w:sz w:val="10"/>
                <w:szCs w:val="10"/>
                <w:color w:val="auto"/>
              </w:rPr>
            </w:pPr>
          </w:p>
        </w:tc>
        <w:tc>
          <w:tcPr>
            <w:tcW w:w="540" w:type="dxa"/>
            <w:vAlign w:val="bottom"/>
            <w:gridSpan w:val="2"/>
          </w:tcPr>
          <w:p>
            <w:pPr>
              <w:ind w:left="40"/>
              <w:spacing w:after="0"/>
              <w:rPr>
                <w:sz w:val="20"/>
                <w:szCs w:val="20"/>
                <w:color w:val="auto"/>
              </w:rPr>
            </w:pPr>
            <w:r>
              <w:rPr>
                <w:rFonts w:ascii="Arial" w:cs="Arial" w:eastAsia="Arial" w:hAnsi="Arial"/>
                <w:sz w:val="8"/>
                <w:szCs w:val="8"/>
                <w:b w:val="1"/>
                <w:bCs w:val="1"/>
                <w:color w:val="auto"/>
              </w:rPr>
              <w:t>Cruise</w:t>
            </w:r>
          </w:p>
        </w:tc>
        <w:tc>
          <w:tcPr>
            <w:tcW w:w="760" w:type="dxa"/>
            <w:vAlign w:val="bottom"/>
            <w:gridSpan w:val="3"/>
          </w:tcPr>
          <w:p>
            <w:pPr>
              <w:ind w:left="80"/>
              <w:spacing w:after="0"/>
              <w:rPr>
                <w:sz w:val="20"/>
                <w:szCs w:val="20"/>
                <w:color w:val="auto"/>
              </w:rPr>
            </w:pPr>
            <w:r>
              <w:rPr>
                <w:rFonts w:ascii="Arial" w:cs="Arial" w:eastAsia="Arial" w:hAnsi="Arial"/>
                <w:sz w:val="8"/>
                <w:szCs w:val="8"/>
                <w:b w:val="1"/>
                <w:bCs w:val="1"/>
                <w:color w:val="auto"/>
              </w:rPr>
              <w:t>GM Financial</w:t>
            </w:r>
          </w:p>
        </w:tc>
        <w:tc>
          <w:tcPr>
            <w:tcW w:w="1360" w:type="dxa"/>
            <w:vAlign w:val="bottom"/>
            <w:gridSpan w:val="3"/>
          </w:tcPr>
          <w:p>
            <w:pPr>
              <w:ind w:left="20"/>
              <w:spacing w:after="0"/>
              <w:rPr>
                <w:sz w:val="20"/>
                <w:szCs w:val="20"/>
                <w:color w:val="auto"/>
              </w:rPr>
            </w:pPr>
            <w:r>
              <w:rPr>
                <w:rFonts w:ascii="Arial" w:cs="Arial" w:eastAsia="Arial" w:hAnsi="Arial"/>
                <w:sz w:val="8"/>
                <w:szCs w:val="8"/>
                <w:b w:val="1"/>
                <w:bCs w:val="1"/>
                <w:color w:val="auto"/>
              </w:rPr>
              <w:t>Reclassifications/Eliminations</w:t>
            </w:r>
          </w:p>
        </w:tc>
        <w:tc>
          <w:tcPr>
            <w:tcW w:w="100" w:type="dxa"/>
            <w:vAlign w:val="bottom"/>
          </w:tcPr>
          <w:p>
            <w:pPr>
              <w:spacing w:after="0"/>
              <w:rPr>
                <w:sz w:val="10"/>
                <w:szCs w:val="10"/>
                <w:color w:val="auto"/>
              </w:rPr>
            </w:pPr>
          </w:p>
        </w:tc>
        <w:tc>
          <w:tcPr>
            <w:tcW w:w="640" w:type="dxa"/>
            <w:vAlign w:val="bottom"/>
          </w:tcPr>
          <w:p>
            <w:pPr>
              <w:jc w:val="right"/>
              <w:ind w:right="131"/>
              <w:spacing w:after="0"/>
              <w:rPr>
                <w:sz w:val="20"/>
                <w:szCs w:val="20"/>
                <w:color w:val="auto"/>
              </w:rPr>
            </w:pPr>
            <w:r>
              <w:rPr>
                <w:rFonts w:ascii="Arial" w:cs="Arial" w:eastAsia="Arial" w:hAnsi="Arial"/>
                <w:sz w:val="8"/>
                <w:szCs w:val="8"/>
                <w:b w:val="1"/>
                <w:bCs w:val="1"/>
                <w:color w:val="auto"/>
              </w:rPr>
              <w:t>Combined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8"/>
                <w:szCs w:val="8"/>
                <w:b w:val="1"/>
                <w:bCs w:val="1"/>
                <w:color w:val="auto"/>
              </w:rPr>
              <w:t>Automotive</w:t>
            </w:r>
          </w:p>
        </w:tc>
        <w:tc>
          <w:tcPr>
            <w:tcW w:w="100" w:type="dxa"/>
            <w:vAlign w:val="bottom"/>
          </w:tcPr>
          <w:p>
            <w:pPr>
              <w:spacing w:after="0"/>
              <w:rPr>
                <w:sz w:val="10"/>
                <w:szCs w:val="10"/>
                <w:color w:val="auto"/>
              </w:rPr>
            </w:pPr>
          </w:p>
        </w:tc>
        <w:tc>
          <w:tcPr>
            <w:tcW w:w="560" w:type="dxa"/>
            <w:vAlign w:val="bottom"/>
            <w:gridSpan w:val="2"/>
          </w:tcPr>
          <w:p>
            <w:pPr>
              <w:ind w:left="40"/>
              <w:spacing w:after="0"/>
              <w:rPr>
                <w:sz w:val="20"/>
                <w:szCs w:val="20"/>
                <w:color w:val="auto"/>
              </w:rPr>
            </w:pPr>
            <w:r>
              <w:rPr>
                <w:rFonts w:ascii="Arial" w:cs="Arial" w:eastAsia="Arial" w:hAnsi="Arial"/>
                <w:sz w:val="8"/>
                <w:szCs w:val="8"/>
                <w:b w:val="1"/>
                <w:bCs w:val="1"/>
                <w:color w:val="auto"/>
              </w:rPr>
              <w:t>Cruise</w:t>
            </w:r>
          </w:p>
        </w:tc>
        <w:tc>
          <w:tcPr>
            <w:tcW w:w="60" w:type="dxa"/>
            <w:vAlign w:val="bottom"/>
          </w:tcPr>
          <w:p>
            <w:pPr>
              <w:spacing w:after="0"/>
              <w:rPr>
                <w:sz w:val="10"/>
                <w:szCs w:val="10"/>
                <w:color w:val="auto"/>
              </w:rPr>
            </w:pPr>
          </w:p>
        </w:tc>
        <w:tc>
          <w:tcPr>
            <w:tcW w:w="700" w:type="dxa"/>
            <w:vAlign w:val="bottom"/>
            <w:gridSpan w:val="2"/>
          </w:tcPr>
          <w:p>
            <w:pPr>
              <w:spacing w:after="0"/>
              <w:rPr>
                <w:sz w:val="20"/>
                <w:szCs w:val="20"/>
                <w:color w:val="auto"/>
              </w:rPr>
            </w:pPr>
            <w:r>
              <w:rPr>
                <w:rFonts w:ascii="Arial" w:cs="Arial" w:eastAsia="Arial" w:hAnsi="Arial"/>
                <w:sz w:val="8"/>
                <w:szCs w:val="8"/>
                <w:b w:val="1"/>
                <w:bCs w:val="1"/>
                <w:color w:val="auto"/>
              </w:rPr>
              <w:t>GM Financial</w:t>
            </w:r>
          </w:p>
        </w:tc>
        <w:tc>
          <w:tcPr>
            <w:tcW w:w="1340" w:type="dxa"/>
            <w:vAlign w:val="bottom"/>
            <w:gridSpan w:val="3"/>
          </w:tcPr>
          <w:p>
            <w:pPr>
              <w:ind w:left="20"/>
              <w:spacing w:after="0"/>
              <w:rPr>
                <w:sz w:val="20"/>
                <w:szCs w:val="20"/>
                <w:color w:val="auto"/>
              </w:rPr>
            </w:pPr>
            <w:r>
              <w:rPr>
                <w:rFonts w:ascii="Arial" w:cs="Arial" w:eastAsia="Arial" w:hAnsi="Arial"/>
                <w:sz w:val="8"/>
                <w:szCs w:val="8"/>
                <w:b w:val="1"/>
                <w:bCs w:val="1"/>
                <w:color w:val="auto"/>
              </w:rPr>
              <w:t>Reclassifications/Eliminations</w:t>
            </w:r>
          </w:p>
        </w:tc>
        <w:tc>
          <w:tcPr>
            <w:tcW w:w="120" w:type="dxa"/>
            <w:vAlign w:val="bottom"/>
          </w:tcPr>
          <w:p>
            <w:pPr>
              <w:spacing w:after="0"/>
              <w:rPr>
                <w:sz w:val="10"/>
                <w:szCs w:val="10"/>
                <w:color w:val="auto"/>
              </w:rPr>
            </w:pPr>
          </w:p>
        </w:tc>
        <w:tc>
          <w:tcPr>
            <w:tcW w:w="640" w:type="dxa"/>
            <w:vAlign w:val="bottom"/>
          </w:tcPr>
          <w:p>
            <w:pPr>
              <w:jc w:val="right"/>
              <w:ind w:right="111"/>
              <w:spacing w:after="0"/>
              <w:rPr>
                <w:sz w:val="20"/>
                <w:szCs w:val="20"/>
                <w:color w:val="auto"/>
              </w:rPr>
            </w:pPr>
            <w:r>
              <w:rPr>
                <w:rFonts w:ascii="Arial" w:cs="Arial" w:eastAsia="Arial" w:hAnsi="Arial"/>
                <w:sz w:val="8"/>
                <w:szCs w:val="8"/>
                <w:b w:val="1"/>
                <w:bCs w:val="1"/>
                <w:color w:val="auto"/>
              </w:rPr>
              <w:t>Combined</w:t>
            </w:r>
          </w:p>
        </w:tc>
        <w:tc>
          <w:tcPr>
            <w:tcW w:w="0" w:type="dxa"/>
            <w:vAlign w:val="bottom"/>
          </w:tcPr>
          <w:p>
            <w:pPr>
              <w:spacing w:after="0"/>
              <w:rPr>
                <w:sz w:val="1"/>
                <w:szCs w:val="1"/>
                <w:color w:val="auto"/>
              </w:rPr>
            </w:pPr>
          </w:p>
        </w:tc>
      </w:tr>
      <w:tr>
        <w:trPr>
          <w:trHeight w:val="120"/>
        </w:trPr>
        <w:tc>
          <w:tcPr>
            <w:tcW w:w="2360" w:type="dxa"/>
            <w:vAlign w:val="bottom"/>
          </w:tcPr>
          <w:p>
            <w:pPr>
              <w:ind w:left="20"/>
              <w:spacing w:after="0" w:line="113" w:lineRule="exact"/>
              <w:rPr>
                <w:sz w:val="20"/>
                <w:szCs w:val="20"/>
                <w:color w:val="auto"/>
              </w:rPr>
            </w:pPr>
            <w:r>
              <w:rPr>
                <w:rFonts w:ascii="Arial" w:cs="Arial" w:eastAsia="Arial" w:hAnsi="Arial"/>
                <w:sz w:val="10"/>
                <w:szCs w:val="10"/>
                <w:b w:val="1"/>
                <w:bCs w:val="1"/>
                <w:color w:val="auto"/>
              </w:rPr>
              <w:t>Cash flows from operating activities</w:t>
            </w: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360" w:type="dxa"/>
            <w:vAlign w:val="bottom"/>
            <w:shd w:val="clear" w:color="auto" w:fill="CCEEFF"/>
          </w:tcPr>
          <w:p>
            <w:pPr>
              <w:ind w:left="100"/>
              <w:spacing w:after="0"/>
              <w:rPr>
                <w:sz w:val="20"/>
                <w:szCs w:val="20"/>
                <w:color w:val="auto"/>
              </w:rPr>
            </w:pPr>
            <w:r>
              <w:rPr>
                <w:rFonts w:ascii="Arial" w:cs="Arial" w:eastAsia="Arial" w:hAnsi="Arial"/>
                <w:sz w:val="10"/>
                <w:szCs w:val="10"/>
                <w:color w:val="auto"/>
              </w:rPr>
              <w:t>Net income (loss)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2,698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(564)</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53"/>
              <w:spacing w:after="0"/>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889</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3,014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265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170</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3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286</w:t>
            </w:r>
          </w:p>
        </w:tc>
        <w:tc>
          <w:tcPr>
            <w:tcW w:w="0" w:type="dxa"/>
            <w:vAlign w:val="bottom"/>
          </w:tcPr>
          <w:p>
            <w:pPr>
              <w:spacing w:after="0"/>
              <w:rPr>
                <w:sz w:val="1"/>
                <w:szCs w:val="1"/>
                <w:color w:val="auto"/>
              </w:rPr>
            </w:pPr>
          </w:p>
        </w:tc>
      </w:tr>
      <w:tr>
        <w:trPr>
          <w:trHeight w:val="101"/>
        </w:trPr>
        <w:tc>
          <w:tcPr>
            <w:tcW w:w="2360" w:type="dxa"/>
            <w:vAlign w:val="bottom"/>
          </w:tcPr>
          <w:p>
            <w:pPr>
              <w:ind w:left="120"/>
              <w:spacing w:after="0" w:line="102" w:lineRule="exact"/>
              <w:rPr>
                <w:sz w:val="20"/>
                <w:szCs w:val="20"/>
                <w:color w:val="auto"/>
              </w:rPr>
            </w:pPr>
            <w:r>
              <w:rPr>
                <w:rFonts w:ascii="Arial" w:cs="Arial" w:eastAsia="Arial" w:hAnsi="Arial"/>
                <w:sz w:val="10"/>
                <w:szCs w:val="10"/>
                <w:color w:val="auto"/>
              </w:rPr>
              <w:t>Depreciation and impairment of Equipment on</w:t>
            </w: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360" w:type="dxa"/>
            <w:vAlign w:val="bottom"/>
          </w:tcPr>
          <w:p>
            <w:pPr>
              <w:ind w:left="240"/>
              <w:spacing w:after="0"/>
              <w:rPr>
                <w:sz w:val="20"/>
                <w:szCs w:val="20"/>
                <w:color w:val="auto"/>
              </w:rPr>
            </w:pPr>
            <w:r>
              <w:rPr>
                <w:rFonts w:ascii="Arial" w:cs="Arial" w:eastAsia="Arial" w:hAnsi="Arial"/>
                <w:sz w:val="10"/>
                <w:szCs w:val="10"/>
                <w:color w:val="auto"/>
              </w:rPr>
              <w:t>operating leases, net</w:t>
            </w:r>
          </w:p>
        </w:tc>
        <w:tc>
          <w:tcPr>
            <w:tcW w:w="120" w:type="dxa"/>
            <w:vAlign w:val="bottom"/>
          </w:tcPr>
          <w:p>
            <w:pPr>
              <w:spacing w:after="0"/>
              <w:rPr>
                <w:sz w:val="10"/>
                <w:szCs w:val="1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1,653</w:t>
            </w: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1,653</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ind w:right="11"/>
              <w:spacing w:after="0"/>
              <w:rPr>
                <w:sz w:val="20"/>
                <w:szCs w:val="20"/>
                <w:color w:val="auto"/>
              </w:rPr>
            </w:pPr>
            <w:r>
              <w:rPr>
                <w:rFonts w:ascii="Arial" w:cs="Arial" w:eastAsia="Arial" w:hAnsi="Arial"/>
                <w:sz w:val="10"/>
                <w:szCs w:val="10"/>
                <w:color w:val="auto"/>
              </w:rPr>
              <w:t>36</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1,770</w:t>
            </w: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1,806</w:t>
            </w:r>
          </w:p>
        </w:tc>
        <w:tc>
          <w:tcPr>
            <w:tcW w:w="0" w:type="dxa"/>
            <w:vAlign w:val="bottom"/>
          </w:tcPr>
          <w:p>
            <w:pPr>
              <w:spacing w:after="0"/>
              <w:rPr>
                <w:sz w:val="1"/>
                <w:szCs w:val="1"/>
                <w:color w:val="auto"/>
              </w:rPr>
            </w:pPr>
          </w:p>
        </w:tc>
      </w:tr>
      <w:tr>
        <w:trPr>
          <w:trHeight w:val="109"/>
        </w:trPr>
        <w:tc>
          <w:tcPr>
            <w:tcW w:w="2360" w:type="dxa"/>
            <w:vAlign w:val="bottom"/>
            <w:shd w:val="clear" w:color="auto" w:fill="CCEEFF"/>
          </w:tcPr>
          <w:p>
            <w:pPr>
              <w:ind w:left="120"/>
              <w:spacing w:after="0" w:line="109" w:lineRule="exact"/>
              <w:rPr>
                <w:sz w:val="20"/>
                <w:szCs w:val="20"/>
                <w:color w:val="auto"/>
              </w:rPr>
            </w:pPr>
            <w:r>
              <w:rPr>
                <w:rFonts w:ascii="Arial" w:cs="Arial" w:eastAsia="Arial" w:hAnsi="Arial"/>
                <w:sz w:val="10"/>
                <w:szCs w:val="10"/>
                <w:color w:val="auto"/>
              </w:rPr>
              <w:t>Depreciation, amortization and impairment</w:t>
            </w: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360" w:type="dxa"/>
            <w:vAlign w:val="bottom"/>
            <w:shd w:val="clear" w:color="auto" w:fill="CCEEFF"/>
          </w:tcPr>
          <w:p>
            <w:pPr>
              <w:ind w:left="240"/>
              <w:spacing w:after="0"/>
              <w:rPr>
                <w:sz w:val="20"/>
                <w:szCs w:val="20"/>
                <w:color w:val="auto"/>
              </w:rPr>
            </w:pPr>
            <w:r>
              <w:rPr>
                <w:rFonts w:ascii="Arial" w:cs="Arial" w:eastAsia="Arial" w:hAnsi="Arial"/>
                <w:sz w:val="10"/>
                <w:szCs w:val="10"/>
                <w:color w:val="auto"/>
              </w:rPr>
              <w:t>charges on Property, net</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1,336</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11</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w:t>
            </w: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1,362</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1,476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1,502</w:t>
            </w:r>
          </w:p>
        </w:tc>
        <w:tc>
          <w:tcPr>
            <w:tcW w:w="0" w:type="dxa"/>
            <w:vAlign w:val="bottom"/>
          </w:tcPr>
          <w:p>
            <w:pPr>
              <w:spacing w:after="0"/>
              <w:rPr>
                <w:sz w:val="1"/>
                <w:szCs w:val="1"/>
                <w:color w:val="auto"/>
              </w:rPr>
            </w:pPr>
          </w:p>
        </w:tc>
      </w:tr>
      <w:tr>
        <w:trPr>
          <w:trHeight w:val="101"/>
        </w:trPr>
        <w:tc>
          <w:tcPr>
            <w:tcW w:w="2360" w:type="dxa"/>
            <w:vAlign w:val="bottom"/>
          </w:tcPr>
          <w:p>
            <w:pPr>
              <w:ind w:left="120"/>
              <w:spacing w:after="0" w:line="102" w:lineRule="exact"/>
              <w:rPr>
                <w:sz w:val="20"/>
                <w:szCs w:val="20"/>
                <w:color w:val="auto"/>
              </w:rPr>
            </w:pPr>
            <w:r>
              <w:rPr>
                <w:rFonts w:ascii="Arial" w:cs="Arial" w:eastAsia="Arial" w:hAnsi="Arial"/>
                <w:sz w:val="10"/>
                <w:szCs w:val="10"/>
                <w:color w:val="auto"/>
              </w:rPr>
              <w:t>Foreign currency remeasurement and transaction</w:t>
            </w: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360" w:type="dxa"/>
            <w:vAlign w:val="bottom"/>
          </w:tcPr>
          <w:p>
            <w:pPr>
              <w:ind w:left="240"/>
              <w:spacing w:after="0"/>
              <w:rPr>
                <w:sz w:val="20"/>
                <w:szCs w:val="20"/>
                <w:color w:val="auto"/>
              </w:rPr>
            </w:pPr>
            <w:r>
              <w:rPr>
                <w:rFonts w:ascii="Arial" w:cs="Arial" w:eastAsia="Arial" w:hAnsi="Arial"/>
                <w:sz w:val="10"/>
                <w:szCs w:val="10"/>
                <w:color w:val="auto"/>
              </w:rPr>
              <w:t>(gains) losses</w:t>
            </w:r>
          </w:p>
        </w:tc>
        <w:tc>
          <w:tcPr>
            <w:tcW w:w="12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(70)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(3)</w:t>
            </w: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(73)</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(117)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(116)</w:t>
            </w:r>
          </w:p>
        </w:tc>
        <w:tc>
          <w:tcPr>
            <w:tcW w:w="0" w:type="dxa"/>
            <w:vAlign w:val="bottom"/>
          </w:tcPr>
          <w:p>
            <w:pPr>
              <w:spacing w:after="0"/>
              <w:rPr>
                <w:sz w:val="1"/>
                <w:szCs w:val="1"/>
                <w:color w:val="auto"/>
              </w:rPr>
            </w:pPr>
          </w:p>
        </w:tc>
      </w:tr>
      <w:tr>
        <w:trPr>
          <w:trHeight w:val="109"/>
        </w:trPr>
        <w:tc>
          <w:tcPr>
            <w:tcW w:w="2360" w:type="dxa"/>
            <w:vAlign w:val="bottom"/>
            <w:shd w:val="clear" w:color="auto" w:fill="CCEEFF"/>
          </w:tcPr>
          <w:p>
            <w:pPr>
              <w:ind w:left="120"/>
              <w:spacing w:after="0" w:line="109" w:lineRule="exact"/>
              <w:rPr>
                <w:sz w:val="20"/>
                <w:szCs w:val="20"/>
                <w:color w:val="auto"/>
              </w:rPr>
            </w:pPr>
            <w:r>
              <w:rPr>
                <w:rFonts w:ascii="Arial" w:cs="Arial" w:eastAsia="Arial" w:hAnsi="Arial"/>
                <w:sz w:val="10"/>
                <w:szCs w:val="10"/>
                <w:color w:val="auto"/>
              </w:rPr>
              <w:t>Undistributed earnings of nonconsolidated</w:t>
            </w: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360" w:type="dxa"/>
            <w:vAlign w:val="bottom"/>
            <w:shd w:val="clear" w:color="auto" w:fill="CCEEFF"/>
          </w:tcPr>
          <w:p>
            <w:pPr>
              <w:ind w:left="240"/>
              <w:spacing w:after="0"/>
              <w:rPr>
                <w:sz w:val="20"/>
                <w:szCs w:val="20"/>
                <w:color w:val="auto"/>
              </w:rPr>
            </w:pPr>
            <w:r>
              <w:rPr>
                <w:rFonts w:ascii="Arial" w:cs="Arial" w:eastAsia="Arial" w:hAnsi="Arial"/>
                <w:sz w:val="10"/>
                <w:szCs w:val="10"/>
                <w:color w:val="auto"/>
              </w:rPr>
              <w:t>affiliates, net</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(295)</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(54)</w:t>
            </w: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(349)</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158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132</w:t>
            </w:r>
          </w:p>
        </w:tc>
        <w:tc>
          <w:tcPr>
            <w:tcW w:w="0" w:type="dxa"/>
            <w:vAlign w:val="bottom"/>
          </w:tcPr>
          <w:p>
            <w:pPr>
              <w:spacing w:after="0"/>
              <w:rPr>
                <w:sz w:val="1"/>
                <w:szCs w:val="1"/>
                <w:color w:val="auto"/>
              </w:rPr>
            </w:pPr>
          </w:p>
        </w:tc>
      </w:tr>
      <w:tr>
        <w:trPr>
          <w:trHeight w:val="131"/>
        </w:trPr>
        <w:tc>
          <w:tcPr>
            <w:tcW w:w="2360" w:type="dxa"/>
            <w:vAlign w:val="bottom"/>
          </w:tcPr>
          <w:p>
            <w:pPr>
              <w:ind w:left="120"/>
              <w:spacing w:after="0"/>
              <w:rPr>
                <w:sz w:val="20"/>
                <w:szCs w:val="20"/>
                <w:color w:val="auto"/>
              </w:rPr>
            </w:pPr>
            <w:r>
              <w:rPr>
                <w:rFonts w:ascii="Arial" w:cs="Arial" w:eastAsia="Arial" w:hAnsi="Arial"/>
                <w:sz w:val="10"/>
                <w:szCs w:val="10"/>
                <w:color w:val="auto"/>
              </w:rPr>
              <w:t>Pension contributions and OPEB payments</w:t>
            </w: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(222)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40" w:type="dxa"/>
            <w:vAlign w:val="bottom"/>
          </w:tcPr>
          <w:p>
            <w:pPr>
              <w:spacing w:after="0"/>
              <w:rPr>
                <w:sz w:val="11"/>
                <w:szCs w:val="11"/>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(222)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(212)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80" w:type="dxa"/>
            <w:vAlign w:val="bottom"/>
          </w:tcPr>
          <w:p>
            <w:pPr>
              <w:spacing w:after="0"/>
              <w:rPr>
                <w:sz w:val="11"/>
                <w:szCs w:val="11"/>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(213)</w:t>
            </w:r>
          </w:p>
        </w:tc>
        <w:tc>
          <w:tcPr>
            <w:tcW w:w="0" w:type="dxa"/>
            <w:vAlign w:val="bottom"/>
          </w:tcPr>
          <w:p>
            <w:pPr>
              <w:spacing w:after="0"/>
              <w:rPr>
                <w:sz w:val="1"/>
                <w:szCs w:val="1"/>
                <w:color w:val="auto"/>
              </w:rPr>
            </w:pPr>
          </w:p>
        </w:tc>
      </w:tr>
      <w:tr>
        <w:trPr>
          <w:trHeight w:val="145"/>
        </w:trPr>
        <w:tc>
          <w:tcPr>
            <w:tcW w:w="23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Pension and OPEB income, net</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(397)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(397)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(263)</w:t>
            </w:r>
          </w:p>
        </w:tc>
        <w:tc>
          <w:tcPr>
            <w:tcW w:w="0" w:type="dxa"/>
            <w:vAlign w:val="bottom"/>
          </w:tcPr>
          <w:p>
            <w:pPr>
              <w:spacing w:after="0"/>
              <w:rPr>
                <w:sz w:val="1"/>
                <w:szCs w:val="1"/>
                <w:color w:val="auto"/>
              </w:rPr>
            </w:pPr>
          </w:p>
        </w:tc>
      </w:tr>
      <w:tr>
        <w:trPr>
          <w:trHeight w:val="131"/>
        </w:trPr>
        <w:tc>
          <w:tcPr>
            <w:tcW w:w="2360" w:type="dxa"/>
            <w:vAlign w:val="bottom"/>
          </w:tcPr>
          <w:p>
            <w:pPr>
              <w:ind w:left="120"/>
              <w:spacing w:after="0"/>
              <w:rPr>
                <w:sz w:val="20"/>
                <w:szCs w:val="20"/>
                <w:color w:val="auto"/>
              </w:rPr>
            </w:pPr>
            <w:r>
              <w:rPr>
                <w:rFonts w:ascii="Arial" w:cs="Arial" w:eastAsia="Arial" w:hAnsi="Arial"/>
                <w:sz w:val="10"/>
                <w:szCs w:val="10"/>
                <w:color w:val="auto"/>
              </w:rPr>
              <w:t>Provision (benefit) for deferred taxes</w:t>
            </w: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566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ind w:right="11"/>
              <w:spacing w:after="0"/>
              <w:rPr>
                <w:sz w:val="20"/>
                <w:szCs w:val="20"/>
                <w:color w:val="auto"/>
              </w:rPr>
            </w:pPr>
            <w:r>
              <w:rPr>
                <w:rFonts w:ascii="Arial" w:cs="Arial" w:eastAsia="Arial" w:hAnsi="Arial"/>
                <w:sz w:val="10"/>
                <w:szCs w:val="10"/>
                <w:color w:val="auto"/>
              </w:rPr>
              <w:t>316</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204</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1,085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ind w:right="11"/>
              <w:spacing w:after="0"/>
              <w:rPr>
                <w:sz w:val="20"/>
                <w:szCs w:val="20"/>
                <w:color w:val="auto"/>
              </w:rPr>
            </w:pPr>
            <w:r>
              <w:rPr>
                <w:rFonts w:ascii="Arial" w:cs="Arial" w:eastAsia="Arial" w:hAnsi="Arial"/>
                <w:sz w:val="10"/>
                <w:szCs w:val="10"/>
                <w:color w:val="auto"/>
              </w:rPr>
              <w:t>212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(70)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46</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188</w:t>
            </w:r>
          </w:p>
        </w:tc>
        <w:tc>
          <w:tcPr>
            <w:tcW w:w="0" w:type="dxa"/>
            <w:vAlign w:val="bottom"/>
          </w:tcPr>
          <w:p>
            <w:pPr>
              <w:spacing w:after="0"/>
              <w:rPr>
                <w:sz w:val="1"/>
                <w:szCs w:val="1"/>
                <w:color w:val="auto"/>
              </w:rPr>
            </w:pPr>
          </w:p>
        </w:tc>
      </w:tr>
      <w:tr>
        <w:trPr>
          <w:trHeight w:val="109"/>
        </w:trPr>
        <w:tc>
          <w:tcPr>
            <w:tcW w:w="2360" w:type="dxa"/>
            <w:vAlign w:val="bottom"/>
            <w:shd w:val="clear" w:color="auto" w:fill="CCEEFF"/>
          </w:tcPr>
          <w:p>
            <w:pPr>
              <w:ind w:left="120"/>
              <w:spacing w:after="0" w:line="109" w:lineRule="exact"/>
              <w:rPr>
                <w:sz w:val="20"/>
                <w:szCs w:val="20"/>
                <w:color w:val="auto"/>
              </w:rPr>
            </w:pPr>
            <w:r>
              <w:rPr>
                <w:rFonts w:ascii="Arial" w:cs="Arial" w:eastAsia="Arial" w:hAnsi="Arial"/>
                <w:sz w:val="10"/>
                <w:szCs w:val="10"/>
                <w:color w:val="auto"/>
              </w:rPr>
              <w:t>Change in other operating assets and liabilities(b)</w:t>
            </w: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360" w:type="dxa"/>
            <w:vAlign w:val="bottom"/>
            <w:shd w:val="clear" w:color="auto" w:fill="CCEEFF"/>
          </w:tcPr>
          <w:p>
            <w:pPr>
              <w:ind w:left="240"/>
              <w:spacing w:after="0"/>
              <w:rPr>
                <w:sz w:val="20"/>
                <w:szCs w:val="20"/>
                <w:color w:val="auto"/>
              </w:rPr>
            </w:pPr>
            <w:r>
              <w:rPr>
                <w:rFonts w:ascii="Arial" w:cs="Arial" w:eastAsia="Arial" w:hAnsi="Arial"/>
                <w:sz w:val="10"/>
                <w:szCs w:val="10"/>
                <w:color w:val="auto"/>
              </w:rPr>
              <w:t>(c)(d)</w:t>
            </w:r>
          </w:p>
        </w:tc>
        <w:tc>
          <w:tcPr>
            <w:tcW w:w="12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(4,711)</w:t>
            </w: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39</w:t>
            </w:r>
          </w:p>
        </w:tc>
        <w:tc>
          <w:tcPr>
            <w:tcW w:w="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(1,181)</w:t>
            </w:r>
          </w:p>
        </w:tc>
        <w:tc>
          <w:tcPr>
            <w:tcW w:w="100" w:type="dxa"/>
            <w:vAlign w:val="bottom"/>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1,044</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(4,807)</w:t>
            </w: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(1,217)</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20</w:t>
            </w: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234</w:t>
            </w:r>
          </w:p>
        </w:tc>
        <w:tc>
          <w:tcPr>
            <w:tcW w:w="100" w:type="dxa"/>
            <w:vAlign w:val="bottom"/>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(798)</w:t>
            </w: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(1,761)</w:t>
            </w:r>
          </w:p>
        </w:tc>
        <w:tc>
          <w:tcPr>
            <w:tcW w:w="0" w:type="dxa"/>
            <w:vAlign w:val="bottom"/>
          </w:tcPr>
          <w:p>
            <w:pPr>
              <w:spacing w:after="0"/>
              <w:rPr>
                <w:sz w:val="1"/>
                <w:szCs w:val="1"/>
                <w:color w:val="auto"/>
              </w:rPr>
            </w:pPr>
          </w:p>
        </w:tc>
      </w:tr>
      <w:tr>
        <w:trPr>
          <w:trHeight w:val="75"/>
        </w:trPr>
        <w:tc>
          <w:tcPr>
            <w:tcW w:w="2360" w:type="dxa"/>
            <w:vAlign w:val="bottom"/>
          </w:tcPr>
          <w:p>
            <w:pPr>
              <w:ind w:left="20"/>
              <w:spacing w:after="0" w:line="76" w:lineRule="exact"/>
              <w:rPr>
                <w:sz w:val="20"/>
                <w:szCs w:val="20"/>
                <w:color w:val="auto"/>
              </w:rPr>
            </w:pPr>
            <w:r>
              <w:rPr>
                <w:rFonts w:ascii="Arial" w:cs="Arial" w:eastAsia="Arial" w:hAnsi="Arial"/>
                <w:sz w:val="7"/>
                <w:szCs w:val="7"/>
                <w:b w:val="1"/>
                <w:bCs w:val="1"/>
                <w:color w:val="auto"/>
              </w:rPr>
              <w:t>Net cash provided by (used in) operating</w:t>
            </w: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360" w:type="dxa"/>
            <w:vAlign w:val="bottom"/>
          </w:tcPr>
          <w:p>
            <w:pPr>
              <w:ind w:left="140"/>
              <w:spacing w:after="0"/>
              <w:rPr>
                <w:sz w:val="20"/>
                <w:szCs w:val="20"/>
                <w:color w:val="auto"/>
              </w:rPr>
            </w:pPr>
            <w:r>
              <w:rPr>
                <w:rFonts w:ascii="Arial" w:cs="Arial" w:eastAsia="Arial" w:hAnsi="Arial"/>
                <w:sz w:val="10"/>
                <w:szCs w:val="10"/>
                <w:b w:val="1"/>
                <w:bCs w:val="1"/>
                <w:color w:val="auto"/>
              </w:rPr>
              <w:t>activities</w:t>
            </w: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(1,096)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(197)</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1,524</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jc w:val="right"/>
              <w:ind w:right="11"/>
              <w:spacing w:after="0"/>
              <w:rPr>
                <w:sz w:val="20"/>
                <w:szCs w:val="20"/>
                <w:color w:val="auto"/>
              </w:rPr>
            </w:pPr>
            <w:r>
              <w:rPr>
                <w:rFonts w:ascii="Arial" w:cs="Arial" w:eastAsia="Arial" w:hAnsi="Arial"/>
                <w:sz w:val="10"/>
                <w:szCs w:val="10"/>
                <w:color w:val="auto"/>
              </w:rPr>
              <w:t>1,036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1,266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ind w:right="11"/>
              <w:spacing w:after="0"/>
              <w:rPr>
                <w:sz w:val="20"/>
                <w:szCs w:val="20"/>
                <w:color w:val="auto"/>
              </w:rPr>
            </w:pPr>
            <w:r>
              <w:rPr>
                <w:rFonts w:ascii="Arial" w:cs="Arial" w:eastAsia="Arial" w:hAnsi="Arial"/>
                <w:sz w:val="10"/>
                <w:szCs w:val="10"/>
                <w:color w:val="auto"/>
              </w:rPr>
              <w:t>337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(208)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2,213</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auto"/>
              </w:rPr>
              <w:t>(781)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1,561</w:t>
            </w:r>
          </w:p>
        </w:tc>
        <w:tc>
          <w:tcPr>
            <w:tcW w:w="0" w:type="dxa"/>
            <w:vAlign w:val="bottom"/>
          </w:tcPr>
          <w:p>
            <w:pPr>
              <w:spacing w:after="0"/>
              <w:rPr>
                <w:sz w:val="1"/>
                <w:szCs w:val="1"/>
                <w:color w:val="auto"/>
              </w:rPr>
            </w:pPr>
          </w:p>
        </w:tc>
      </w:tr>
      <w:tr>
        <w:trPr>
          <w:trHeight w:val="142"/>
        </w:trPr>
        <w:tc>
          <w:tcPr>
            <w:tcW w:w="23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Cash flows from investing activities</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360" w:type="dxa"/>
            <w:vAlign w:val="bottom"/>
          </w:tcPr>
          <w:p>
            <w:pPr>
              <w:ind w:left="120"/>
              <w:spacing w:after="0"/>
              <w:rPr>
                <w:sz w:val="20"/>
                <w:szCs w:val="20"/>
                <w:color w:val="auto"/>
              </w:rPr>
            </w:pPr>
            <w:r>
              <w:rPr>
                <w:rFonts w:ascii="Arial" w:cs="Arial" w:eastAsia="Arial" w:hAnsi="Arial"/>
                <w:sz w:val="10"/>
                <w:szCs w:val="10"/>
                <w:color w:val="auto"/>
              </w:rPr>
              <w:t>Expenditures for property</w:t>
            </w: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(860)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(13)</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(5)</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(878)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(1,205)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(5)</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(14)</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(1,224)</w:t>
            </w:r>
          </w:p>
        </w:tc>
        <w:tc>
          <w:tcPr>
            <w:tcW w:w="0" w:type="dxa"/>
            <w:vAlign w:val="bottom"/>
          </w:tcPr>
          <w:p>
            <w:pPr>
              <w:spacing w:after="0"/>
              <w:rPr>
                <w:sz w:val="1"/>
                <w:szCs w:val="1"/>
                <w:color w:val="auto"/>
              </w:rPr>
            </w:pPr>
          </w:p>
        </w:tc>
      </w:tr>
      <w:tr>
        <w:trPr>
          <w:trHeight w:val="109"/>
        </w:trPr>
        <w:tc>
          <w:tcPr>
            <w:tcW w:w="2360" w:type="dxa"/>
            <w:vAlign w:val="bottom"/>
            <w:shd w:val="clear" w:color="auto" w:fill="CCEEFF"/>
          </w:tcPr>
          <w:p>
            <w:pPr>
              <w:ind w:left="120"/>
              <w:spacing w:after="0" w:line="109" w:lineRule="exact"/>
              <w:rPr>
                <w:sz w:val="20"/>
                <w:szCs w:val="20"/>
                <w:color w:val="auto"/>
              </w:rPr>
            </w:pPr>
            <w:r>
              <w:rPr>
                <w:rFonts w:ascii="Arial" w:cs="Arial" w:eastAsia="Arial" w:hAnsi="Arial"/>
                <w:sz w:val="10"/>
                <w:szCs w:val="10"/>
                <w:color w:val="auto"/>
              </w:rPr>
              <w:t>Available-for-sale marketable securities,</w:t>
            </w: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360" w:type="dxa"/>
            <w:vAlign w:val="bottom"/>
            <w:shd w:val="clear" w:color="auto" w:fill="CCEEFF"/>
          </w:tcPr>
          <w:p>
            <w:pPr>
              <w:ind w:left="240"/>
              <w:spacing w:after="0"/>
              <w:rPr>
                <w:sz w:val="20"/>
                <w:szCs w:val="20"/>
                <w:color w:val="auto"/>
              </w:rPr>
            </w:pPr>
            <w:r>
              <w:rPr>
                <w:rFonts w:ascii="Arial" w:cs="Arial" w:eastAsia="Arial" w:hAnsi="Arial"/>
                <w:sz w:val="10"/>
                <w:szCs w:val="10"/>
                <w:color w:val="auto"/>
              </w:rPr>
              <w:t>acquisitions</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(640)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(1,726)</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(2,366)</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(3,281)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(810)</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(4,091)</w:t>
            </w:r>
          </w:p>
        </w:tc>
        <w:tc>
          <w:tcPr>
            <w:tcW w:w="0" w:type="dxa"/>
            <w:vAlign w:val="bottom"/>
          </w:tcPr>
          <w:p>
            <w:pPr>
              <w:spacing w:after="0"/>
              <w:rPr>
                <w:sz w:val="1"/>
                <w:szCs w:val="1"/>
                <w:color w:val="auto"/>
              </w:rPr>
            </w:pPr>
          </w:p>
        </w:tc>
      </w:tr>
      <w:tr>
        <w:trPr>
          <w:trHeight w:val="101"/>
        </w:trPr>
        <w:tc>
          <w:tcPr>
            <w:tcW w:w="2360" w:type="dxa"/>
            <w:vAlign w:val="bottom"/>
          </w:tcPr>
          <w:p>
            <w:pPr>
              <w:ind w:left="120"/>
              <w:spacing w:after="0" w:line="102" w:lineRule="exact"/>
              <w:rPr>
                <w:sz w:val="20"/>
                <w:szCs w:val="20"/>
                <w:color w:val="auto"/>
              </w:rPr>
            </w:pPr>
            <w:r>
              <w:rPr>
                <w:rFonts w:ascii="Arial" w:cs="Arial" w:eastAsia="Arial" w:hAnsi="Arial"/>
                <w:sz w:val="10"/>
                <w:szCs w:val="10"/>
                <w:color w:val="auto"/>
              </w:rPr>
              <w:t>Available-for-sale marketable securities,</w:t>
            </w: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360" w:type="dxa"/>
            <w:vAlign w:val="bottom"/>
          </w:tcPr>
          <w:p>
            <w:pPr>
              <w:ind w:left="240"/>
              <w:spacing w:after="0"/>
              <w:rPr>
                <w:sz w:val="20"/>
                <w:szCs w:val="20"/>
                <w:color w:val="auto"/>
              </w:rPr>
            </w:pPr>
            <w:r>
              <w:rPr>
                <w:rFonts w:ascii="Arial" w:cs="Arial" w:eastAsia="Arial" w:hAnsi="Arial"/>
                <w:sz w:val="10"/>
                <w:szCs w:val="10"/>
                <w:color w:val="auto"/>
              </w:rPr>
              <w:t>liquidations</w:t>
            </w:r>
          </w:p>
        </w:tc>
        <w:tc>
          <w:tcPr>
            <w:tcW w:w="12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2,826</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ind w:right="11"/>
              <w:spacing w:after="0"/>
              <w:rPr>
                <w:sz w:val="20"/>
                <w:szCs w:val="20"/>
                <w:color w:val="auto"/>
              </w:rPr>
            </w:pPr>
            <w:r>
              <w:rPr>
                <w:rFonts w:ascii="Arial" w:cs="Arial" w:eastAsia="Arial" w:hAnsi="Arial"/>
                <w:sz w:val="10"/>
                <w:szCs w:val="10"/>
                <w:color w:val="auto"/>
              </w:rPr>
              <w:t>811</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4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(6)</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3,632</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ind w:right="11"/>
              <w:spacing w:after="0"/>
              <w:rPr>
                <w:sz w:val="20"/>
                <w:szCs w:val="20"/>
                <w:color w:val="auto"/>
              </w:rPr>
            </w:pPr>
            <w:r>
              <w:rPr>
                <w:rFonts w:ascii="Arial" w:cs="Arial" w:eastAsia="Arial" w:hAnsi="Arial"/>
                <w:sz w:val="10"/>
                <w:szCs w:val="10"/>
                <w:color w:val="auto"/>
              </w:rPr>
              <w:t>911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208</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8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auto"/>
              </w:rPr>
              <w:t>(6)</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1,113</w:t>
            </w:r>
          </w:p>
        </w:tc>
        <w:tc>
          <w:tcPr>
            <w:tcW w:w="0" w:type="dxa"/>
            <w:vAlign w:val="bottom"/>
          </w:tcPr>
          <w:p>
            <w:pPr>
              <w:spacing w:after="0"/>
              <w:rPr>
                <w:sz w:val="1"/>
                <w:szCs w:val="1"/>
                <w:color w:val="auto"/>
              </w:rPr>
            </w:pPr>
          </w:p>
        </w:tc>
      </w:tr>
      <w:tr>
        <w:trPr>
          <w:trHeight w:val="145"/>
        </w:trPr>
        <w:tc>
          <w:tcPr>
            <w:tcW w:w="23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Purchases of finance receivables, net(b)(c)</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(8,245)</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72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(8,173)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(6,939)</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565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(6,374)</w:t>
            </w:r>
          </w:p>
        </w:tc>
        <w:tc>
          <w:tcPr>
            <w:tcW w:w="0" w:type="dxa"/>
            <w:vAlign w:val="bottom"/>
          </w:tcPr>
          <w:p>
            <w:pPr>
              <w:spacing w:after="0"/>
              <w:rPr>
                <w:sz w:val="1"/>
                <w:szCs w:val="1"/>
                <w:color w:val="auto"/>
              </w:rPr>
            </w:pPr>
          </w:p>
        </w:tc>
      </w:tr>
      <w:tr>
        <w:trPr>
          <w:trHeight w:val="101"/>
        </w:trPr>
        <w:tc>
          <w:tcPr>
            <w:tcW w:w="2360" w:type="dxa"/>
            <w:vAlign w:val="bottom"/>
          </w:tcPr>
          <w:p>
            <w:pPr>
              <w:ind w:left="120"/>
              <w:spacing w:after="0" w:line="102" w:lineRule="exact"/>
              <w:rPr>
                <w:sz w:val="20"/>
                <w:szCs w:val="20"/>
                <w:color w:val="auto"/>
              </w:rPr>
            </w:pPr>
            <w:r>
              <w:rPr>
                <w:rFonts w:ascii="Arial" w:cs="Arial" w:eastAsia="Arial" w:hAnsi="Arial"/>
                <w:sz w:val="10"/>
                <w:szCs w:val="10"/>
                <w:color w:val="auto"/>
              </w:rPr>
              <w:t>Principal collections and recoveries on finance</w:t>
            </w: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360" w:type="dxa"/>
            <w:vAlign w:val="bottom"/>
          </w:tcPr>
          <w:p>
            <w:pPr>
              <w:ind w:left="240"/>
              <w:spacing w:after="0"/>
              <w:rPr>
                <w:sz w:val="20"/>
                <w:szCs w:val="20"/>
                <w:color w:val="auto"/>
              </w:rPr>
            </w:pPr>
            <w:r>
              <w:rPr>
                <w:rFonts w:ascii="Arial" w:cs="Arial" w:eastAsia="Arial" w:hAnsi="Arial"/>
                <w:sz w:val="10"/>
                <w:szCs w:val="10"/>
                <w:color w:val="auto"/>
              </w:rPr>
              <w:t>receivables(b)(c)</w:t>
            </w:r>
          </w:p>
        </w:tc>
        <w:tc>
          <w:tcPr>
            <w:tcW w:w="120" w:type="dxa"/>
            <w:vAlign w:val="bottom"/>
          </w:tcPr>
          <w:p>
            <w:pPr>
              <w:spacing w:after="0"/>
              <w:rPr>
                <w:sz w:val="10"/>
                <w:szCs w:val="1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7,828</w:t>
            </w: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(1,743)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6,085</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4,890</w:t>
            </w: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auto"/>
              </w:rPr>
              <w:t>(151)</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4,739</w:t>
            </w:r>
          </w:p>
        </w:tc>
        <w:tc>
          <w:tcPr>
            <w:tcW w:w="0" w:type="dxa"/>
            <w:vAlign w:val="bottom"/>
          </w:tcPr>
          <w:p>
            <w:pPr>
              <w:spacing w:after="0"/>
              <w:rPr>
                <w:sz w:val="1"/>
                <w:szCs w:val="1"/>
                <w:color w:val="auto"/>
              </w:rPr>
            </w:pPr>
          </w:p>
        </w:tc>
      </w:tr>
      <w:tr>
        <w:trPr>
          <w:trHeight w:val="145"/>
        </w:trPr>
        <w:tc>
          <w:tcPr>
            <w:tcW w:w="23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Purchases of leased vehicles, net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(6,066)</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(6,113)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(3,733)</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(3,733)</w:t>
            </w:r>
          </w:p>
        </w:tc>
        <w:tc>
          <w:tcPr>
            <w:tcW w:w="0" w:type="dxa"/>
            <w:vAlign w:val="bottom"/>
          </w:tcPr>
          <w:p>
            <w:pPr>
              <w:spacing w:after="0"/>
              <w:rPr>
                <w:sz w:val="1"/>
                <w:szCs w:val="1"/>
                <w:color w:val="auto"/>
              </w:rPr>
            </w:pPr>
          </w:p>
        </w:tc>
      </w:tr>
      <w:tr>
        <w:trPr>
          <w:trHeight w:val="131"/>
        </w:trPr>
        <w:tc>
          <w:tcPr>
            <w:tcW w:w="2360" w:type="dxa"/>
            <w:vAlign w:val="bottom"/>
          </w:tcPr>
          <w:p>
            <w:pPr>
              <w:ind w:left="120"/>
              <w:spacing w:after="0"/>
              <w:rPr>
                <w:sz w:val="20"/>
                <w:szCs w:val="20"/>
                <w:color w:val="auto"/>
              </w:rPr>
            </w:pPr>
            <w:r>
              <w:rPr>
                <w:rFonts w:ascii="Arial" w:cs="Arial" w:eastAsia="Arial" w:hAnsi="Arial"/>
                <w:sz w:val="10"/>
                <w:szCs w:val="10"/>
                <w:color w:val="auto"/>
              </w:rPr>
              <w:t>Proceeds from termination of leased vehicles</w:t>
            </w:r>
          </w:p>
        </w:tc>
        <w:tc>
          <w:tcPr>
            <w:tcW w:w="12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4,919</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4,919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3,088</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3,088</w:t>
            </w:r>
          </w:p>
        </w:tc>
        <w:tc>
          <w:tcPr>
            <w:tcW w:w="0" w:type="dxa"/>
            <w:vAlign w:val="bottom"/>
          </w:tcPr>
          <w:p>
            <w:pPr>
              <w:spacing w:after="0"/>
              <w:rPr>
                <w:sz w:val="1"/>
                <w:szCs w:val="1"/>
                <w:color w:val="auto"/>
              </w:rPr>
            </w:pPr>
          </w:p>
        </w:tc>
      </w:tr>
      <w:tr>
        <w:trPr>
          <w:trHeight w:val="145"/>
        </w:trPr>
        <w:tc>
          <w:tcPr>
            <w:tcW w:w="23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Other investing activities(e)</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(1,094)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1,016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(88)</w:t>
            </w:r>
          </w:p>
        </w:tc>
        <w:tc>
          <w:tcPr>
            <w:tcW w:w="0" w:type="dxa"/>
            <w:vAlign w:val="bottom"/>
          </w:tcPr>
          <w:p>
            <w:pPr>
              <w:spacing w:after="0"/>
              <w:rPr>
                <w:sz w:val="1"/>
                <w:szCs w:val="1"/>
                <w:color w:val="auto"/>
              </w:rPr>
            </w:pPr>
          </w:p>
        </w:tc>
      </w:tr>
      <w:tr>
        <w:trPr>
          <w:trHeight w:val="75"/>
        </w:trPr>
        <w:tc>
          <w:tcPr>
            <w:tcW w:w="2360" w:type="dxa"/>
            <w:vAlign w:val="bottom"/>
          </w:tcPr>
          <w:p>
            <w:pPr>
              <w:ind w:left="20"/>
              <w:spacing w:after="0" w:line="76" w:lineRule="exact"/>
              <w:rPr>
                <w:sz w:val="20"/>
                <w:szCs w:val="20"/>
                <w:color w:val="auto"/>
              </w:rPr>
            </w:pPr>
            <w:r>
              <w:rPr>
                <w:rFonts w:ascii="Arial" w:cs="Arial" w:eastAsia="Arial" w:hAnsi="Arial"/>
                <w:sz w:val="7"/>
                <w:szCs w:val="7"/>
                <w:b w:val="1"/>
                <w:bCs w:val="1"/>
                <w:color w:val="auto"/>
              </w:rPr>
              <w:t>Net cash provided by (used in) investing</w:t>
            </w:r>
          </w:p>
        </w:tc>
        <w:tc>
          <w:tcPr>
            <w:tcW w:w="12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360" w:type="dxa"/>
            <w:vAlign w:val="bottom"/>
          </w:tcPr>
          <w:p>
            <w:pPr>
              <w:ind w:left="140"/>
              <w:spacing w:after="0"/>
              <w:rPr>
                <w:sz w:val="20"/>
                <w:szCs w:val="20"/>
                <w:color w:val="auto"/>
              </w:rPr>
            </w:pPr>
            <w:r>
              <w:rPr>
                <w:rFonts w:ascii="Arial" w:cs="Arial" w:eastAsia="Arial" w:hAnsi="Arial"/>
                <w:sz w:val="10"/>
                <w:szCs w:val="10"/>
                <w:b w:val="1"/>
                <w:bCs w:val="1"/>
                <w:color w:val="auto"/>
              </w:rPr>
              <w:t>activities</w:t>
            </w: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231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(928)</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(1,580)</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(707)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(2,984)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(3,592)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(607)</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(2,710)</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80" w:type="dxa"/>
            <w:vAlign w:val="bottom"/>
          </w:tcPr>
          <w:p>
            <w:pPr>
              <w:jc w:val="right"/>
              <w:ind w:right="11"/>
              <w:spacing w:after="0"/>
              <w:rPr>
                <w:sz w:val="20"/>
                <w:szCs w:val="20"/>
                <w:color w:val="auto"/>
              </w:rPr>
            </w:pPr>
            <w:r>
              <w:rPr>
                <w:rFonts w:ascii="Arial" w:cs="Arial" w:eastAsia="Arial" w:hAnsi="Arial"/>
                <w:sz w:val="10"/>
                <w:szCs w:val="10"/>
                <w:color w:val="auto"/>
              </w:rPr>
              <w:t>338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(6,570)</w:t>
            </w:r>
          </w:p>
        </w:tc>
        <w:tc>
          <w:tcPr>
            <w:tcW w:w="0" w:type="dxa"/>
            <w:vAlign w:val="bottom"/>
          </w:tcPr>
          <w:p>
            <w:pPr>
              <w:spacing w:after="0"/>
              <w:rPr>
                <w:sz w:val="1"/>
                <w:szCs w:val="1"/>
                <w:color w:val="auto"/>
              </w:rPr>
            </w:pPr>
          </w:p>
        </w:tc>
      </w:tr>
      <w:tr>
        <w:trPr>
          <w:trHeight w:val="142"/>
        </w:trPr>
        <w:tc>
          <w:tcPr>
            <w:tcW w:w="23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Cash flows from financing activities</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360" w:type="dxa"/>
            <w:vAlign w:val="bottom"/>
          </w:tcPr>
          <w:p>
            <w:pPr>
              <w:ind w:left="120"/>
              <w:spacing w:after="0"/>
              <w:rPr>
                <w:sz w:val="20"/>
                <w:szCs w:val="20"/>
                <w:color w:val="auto"/>
              </w:rPr>
            </w:pPr>
            <w:r>
              <w:rPr>
                <w:rFonts w:ascii="Arial" w:cs="Arial" w:eastAsia="Arial" w:hAnsi="Arial"/>
                <w:sz w:val="10"/>
                <w:szCs w:val="10"/>
                <w:color w:val="auto"/>
              </w:rPr>
              <w:t>Net increase (decrease) in short-term debt</w:t>
            </w: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1,547</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1,543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13</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13</w:t>
            </w:r>
          </w:p>
        </w:tc>
        <w:tc>
          <w:tcPr>
            <w:tcW w:w="0" w:type="dxa"/>
            <w:vAlign w:val="bottom"/>
          </w:tcPr>
          <w:p>
            <w:pPr>
              <w:spacing w:after="0"/>
              <w:rPr>
                <w:sz w:val="1"/>
                <w:szCs w:val="1"/>
                <w:color w:val="auto"/>
              </w:rPr>
            </w:pPr>
          </w:p>
        </w:tc>
      </w:tr>
      <w:tr>
        <w:trPr>
          <w:trHeight w:val="109"/>
        </w:trPr>
        <w:tc>
          <w:tcPr>
            <w:tcW w:w="2360" w:type="dxa"/>
            <w:vAlign w:val="bottom"/>
            <w:shd w:val="clear" w:color="auto" w:fill="CCEEFF"/>
          </w:tcPr>
          <w:p>
            <w:pPr>
              <w:ind w:left="120"/>
              <w:spacing w:after="0" w:line="109" w:lineRule="exact"/>
              <w:rPr>
                <w:sz w:val="20"/>
                <w:szCs w:val="20"/>
                <w:color w:val="auto"/>
              </w:rPr>
            </w:pPr>
            <w:r>
              <w:rPr>
                <w:rFonts w:ascii="Arial" w:cs="Arial" w:eastAsia="Arial" w:hAnsi="Arial"/>
                <w:sz w:val="10"/>
                <w:szCs w:val="10"/>
                <w:color w:val="auto"/>
                <w:w w:val="98"/>
              </w:rPr>
              <w:t>Proceeds from issuance of debt (original maturities</w:t>
            </w: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360" w:type="dxa"/>
            <w:vAlign w:val="bottom"/>
            <w:shd w:val="clear" w:color="auto" w:fill="CCEEFF"/>
          </w:tcPr>
          <w:p>
            <w:pPr>
              <w:ind w:left="240"/>
              <w:spacing w:after="0"/>
              <w:rPr>
                <w:sz w:val="20"/>
                <w:szCs w:val="20"/>
                <w:color w:val="auto"/>
              </w:rPr>
            </w:pPr>
            <w:r>
              <w:rPr>
                <w:rFonts w:ascii="Arial" w:cs="Arial" w:eastAsia="Arial" w:hAnsi="Arial"/>
                <w:sz w:val="10"/>
                <w:szCs w:val="10"/>
                <w:color w:val="auto"/>
              </w:rPr>
              <w:t>greater than three months)</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246</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13,105</w:t>
            </w: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13,350</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16,362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19,502</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35,863</w:t>
            </w:r>
          </w:p>
        </w:tc>
        <w:tc>
          <w:tcPr>
            <w:tcW w:w="0" w:type="dxa"/>
            <w:vAlign w:val="bottom"/>
          </w:tcPr>
          <w:p>
            <w:pPr>
              <w:spacing w:after="0"/>
              <w:rPr>
                <w:sz w:val="1"/>
                <w:szCs w:val="1"/>
                <w:color w:val="auto"/>
              </w:rPr>
            </w:pPr>
          </w:p>
        </w:tc>
      </w:tr>
      <w:tr>
        <w:trPr>
          <w:trHeight w:val="101"/>
        </w:trPr>
        <w:tc>
          <w:tcPr>
            <w:tcW w:w="2360" w:type="dxa"/>
            <w:vAlign w:val="bottom"/>
          </w:tcPr>
          <w:p>
            <w:pPr>
              <w:ind w:left="120"/>
              <w:spacing w:after="0" w:line="102" w:lineRule="exact"/>
              <w:rPr>
                <w:sz w:val="20"/>
                <w:szCs w:val="20"/>
                <w:color w:val="auto"/>
              </w:rPr>
            </w:pPr>
            <w:r>
              <w:rPr>
                <w:rFonts w:ascii="Arial" w:cs="Arial" w:eastAsia="Arial" w:hAnsi="Arial"/>
                <w:sz w:val="10"/>
                <w:szCs w:val="10"/>
                <w:color w:val="auto"/>
              </w:rPr>
              <w:t>Payments on debt (original maturities greater than</w:t>
            </w: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360" w:type="dxa"/>
            <w:vAlign w:val="bottom"/>
          </w:tcPr>
          <w:p>
            <w:pPr>
              <w:ind w:left="240"/>
              <w:spacing w:after="0"/>
              <w:rPr>
                <w:sz w:val="20"/>
                <w:szCs w:val="20"/>
                <w:color w:val="auto"/>
              </w:rPr>
            </w:pPr>
            <w:r>
              <w:rPr>
                <w:rFonts w:ascii="Arial" w:cs="Arial" w:eastAsia="Arial" w:hAnsi="Arial"/>
                <w:sz w:val="10"/>
                <w:szCs w:val="10"/>
                <w:color w:val="auto"/>
              </w:rPr>
              <w:t>three months)</w:t>
            </w:r>
          </w:p>
        </w:tc>
        <w:tc>
          <w:tcPr>
            <w:tcW w:w="12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(231)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(12,542)</w:t>
            </w: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jc w:val="right"/>
              <w:ind w:right="11"/>
              <w:spacing w:after="0"/>
              <w:rPr>
                <w:sz w:val="20"/>
                <w:szCs w:val="20"/>
                <w:color w:val="auto"/>
              </w:rPr>
            </w:pPr>
            <w:r>
              <w:rPr>
                <w:rFonts w:ascii="Arial" w:cs="Arial" w:eastAsia="Arial" w:hAnsi="Arial"/>
                <w:sz w:val="10"/>
                <w:szCs w:val="10"/>
                <w:color w:val="auto"/>
              </w:rPr>
              <w:t>71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(12,702)</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(104)</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(11,259)</w:t>
            </w: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80" w:type="dxa"/>
            <w:vAlign w:val="bottom"/>
          </w:tcPr>
          <w:p>
            <w:pPr>
              <w:jc w:val="right"/>
              <w:ind w:right="11"/>
              <w:spacing w:after="0"/>
              <w:rPr>
                <w:sz w:val="20"/>
                <w:szCs w:val="20"/>
                <w:color w:val="auto"/>
              </w:rPr>
            </w:pPr>
            <w:r>
              <w:rPr>
                <w:rFonts w:ascii="Arial" w:cs="Arial" w:eastAsia="Arial" w:hAnsi="Arial"/>
                <w:sz w:val="10"/>
                <w:szCs w:val="10"/>
                <w:color w:val="auto"/>
              </w:rPr>
              <w:t>25</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(11,339)</w:t>
            </w:r>
          </w:p>
        </w:tc>
        <w:tc>
          <w:tcPr>
            <w:tcW w:w="0" w:type="dxa"/>
            <w:vAlign w:val="bottom"/>
          </w:tcPr>
          <w:p>
            <w:pPr>
              <w:spacing w:after="0"/>
              <w:rPr>
                <w:sz w:val="1"/>
                <w:szCs w:val="1"/>
                <w:color w:val="auto"/>
              </w:rPr>
            </w:pPr>
          </w:p>
        </w:tc>
      </w:tr>
      <w:tr>
        <w:trPr>
          <w:trHeight w:val="145"/>
        </w:trPr>
        <w:tc>
          <w:tcPr>
            <w:tcW w:w="23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Proceeds from issuance of preferred stock(e)</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2,537</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1,537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1"/>
        </w:trPr>
        <w:tc>
          <w:tcPr>
            <w:tcW w:w="2360" w:type="dxa"/>
            <w:vAlign w:val="bottom"/>
          </w:tcPr>
          <w:p>
            <w:pPr>
              <w:ind w:left="120"/>
              <w:spacing w:after="0"/>
              <w:rPr>
                <w:sz w:val="20"/>
                <w:szCs w:val="20"/>
                <w:color w:val="auto"/>
              </w:rPr>
            </w:pPr>
            <w:r>
              <w:rPr>
                <w:rFonts w:ascii="Arial" w:cs="Arial" w:eastAsia="Arial" w:hAnsi="Arial"/>
                <w:sz w:val="10"/>
                <w:szCs w:val="10"/>
                <w:color w:val="auto"/>
              </w:rPr>
              <w:t>Dividends paid(d)</w:t>
            </w:r>
          </w:p>
        </w:tc>
        <w:tc>
          <w:tcPr>
            <w:tcW w:w="12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(16)</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(660)</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jc w:val="right"/>
              <w:ind w:right="11"/>
              <w:spacing w:after="0"/>
              <w:rPr>
                <w:sz w:val="20"/>
                <w:szCs w:val="20"/>
                <w:color w:val="auto"/>
              </w:rPr>
            </w:pPr>
            <w:r>
              <w:rPr>
                <w:rFonts w:ascii="Arial" w:cs="Arial" w:eastAsia="Arial" w:hAnsi="Arial"/>
                <w:sz w:val="10"/>
                <w:szCs w:val="10"/>
                <w:color w:val="auto"/>
              </w:rPr>
              <w:t>600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(76)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(545)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(445)</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80" w:type="dxa"/>
            <w:vAlign w:val="bottom"/>
          </w:tcPr>
          <w:p>
            <w:pPr>
              <w:jc w:val="right"/>
              <w:ind w:right="11"/>
              <w:spacing w:after="0"/>
              <w:rPr>
                <w:sz w:val="20"/>
                <w:szCs w:val="20"/>
                <w:color w:val="auto"/>
              </w:rPr>
            </w:pPr>
            <w:r>
              <w:rPr>
                <w:rFonts w:ascii="Arial" w:cs="Arial" w:eastAsia="Arial" w:hAnsi="Arial"/>
                <w:sz w:val="10"/>
                <w:szCs w:val="10"/>
                <w:color w:val="auto"/>
              </w:rPr>
              <w:t>400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(590)</w:t>
            </w:r>
          </w:p>
        </w:tc>
        <w:tc>
          <w:tcPr>
            <w:tcW w:w="0" w:type="dxa"/>
            <w:vAlign w:val="bottom"/>
          </w:tcPr>
          <w:p>
            <w:pPr>
              <w:spacing w:after="0"/>
              <w:rPr>
                <w:sz w:val="1"/>
                <w:szCs w:val="1"/>
                <w:color w:val="auto"/>
              </w:rPr>
            </w:pPr>
          </w:p>
        </w:tc>
      </w:tr>
      <w:tr>
        <w:trPr>
          <w:trHeight w:val="145"/>
        </w:trPr>
        <w:tc>
          <w:tcPr>
            <w:tcW w:w="23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Other financing activities</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(46)</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(267)</w:t>
            </w:r>
          </w:p>
        </w:tc>
        <w:tc>
          <w:tcPr>
            <w:tcW w:w="0" w:type="dxa"/>
            <w:vAlign w:val="bottom"/>
          </w:tcPr>
          <w:p>
            <w:pPr>
              <w:spacing w:after="0"/>
              <w:rPr>
                <w:sz w:val="1"/>
                <w:szCs w:val="1"/>
                <w:color w:val="auto"/>
              </w:rPr>
            </w:pPr>
          </w:p>
        </w:tc>
      </w:tr>
      <w:tr>
        <w:trPr>
          <w:trHeight w:val="75"/>
        </w:trPr>
        <w:tc>
          <w:tcPr>
            <w:tcW w:w="2360" w:type="dxa"/>
            <w:vAlign w:val="bottom"/>
          </w:tcPr>
          <w:p>
            <w:pPr>
              <w:ind w:left="20"/>
              <w:spacing w:after="0" w:line="76" w:lineRule="exact"/>
              <w:rPr>
                <w:sz w:val="20"/>
                <w:szCs w:val="20"/>
                <w:color w:val="auto"/>
              </w:rPr>
            </w:pPr>
            <w:r>
              <w:rPr>
                <w:rFonts w:ascii="Arial" w:cs="Arial" w:eastAsia="Arial" w:hAnsi="Arial"/>
                <w:sz w:val="7"/>
                <w:szCs w:val="7"/>
                <w:b w:val="1"/>
                <w:bCs w:val="1"/>
                <w:color w:val="auto"/>
              </w:rPr>
              <w:t>Net cash provided by (used in) financing</w:t>
            </w:r>
          </w:p>
        </w:tc>
        <w:tc>
          <w:tcPr>
            <w:tcW w:w="12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360" w:type="dxa"/>
            <w:vAlign w:val="bottom"/>
          </w:tcPr>
          <w:p>
            <w:pPr>
              <w:ind w:left="140"/>
              <w:spacing w:after="0"/>
              <w:rPr>
                <w:sz w:val="20"/>
                <w:szCs w:val="20"/>
                <w:color w:val="auto"/>
              </w:rPr>
            </w:pPr>
            <w:r>
              <w:rPr>
                <w:rFonts w:ascii="Arial" w:cs="Arial" w:eastAsia="Arial" w:hAnsi="Arial"/>
                <w:sz w:val="10"/>
                <w:szCs w:val="10"/>
                <w:b w:val="1"/>
                <w:bCs w:val="1"/>
                <w:color w:val="auto"/>
              </w:rPr>
              <w:t>activities</w:t>
            </w: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ind w:right="11"/>
              <w:spacing w:after="0"/>
              <w:rPr>
                <w:sz w:val="20"/>
                <w:szCs w:val="20"/>
                <w:color w:val="auto"/>
              </w:rPr>
            </w:pPr>
            <w:r>
              <w:rPr>
                <w:rFonts w:ascii="Arial" w:cs="Arial" w:eastAsia="Arial" w:hAnsi="Arial"/>
                <w:sz w:val="10"/>
                <w:szCs w:val="10"/>
                <w:color w:val="auto"/>
              </w:rPr>
              <w:t>2,524</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1,403</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(328)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3,617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ind w:right="11"/>
              <w:spacing w:after="0"/>
              <w:rPr>
                <w:sz w:val="20"/>
                <w:szCs w:val="20"/>
                <w:color w:val="auto"/>
              </w:rPr>
            </w:pPr>
            <w:r>
              <w:rPr>
                <w:rFonts w:ascii="Arial" w:cs="Arial" w:eastAsia="Arial" w:hAnsi="Arial"/>
                <w:sz w:val="10"/>
                <w:szCs w:val="10"/>
                <w:color w:val="auto"/>
              </w:rPr>
              <w:t>15,455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7,782</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80" w:type="dxa"/>
            <w:vAlign w:val="bottom"/>
          </w:tcPr>
          <w:p>
            <w:pPr>
              <w:jc w:val="right"/>
              <w:ind w:right="11"/>
              <w:spacing w:after="0"/>
              <w:rPr>
                <w:sz w:val="20"/>
                <w:szCs w:val="20"/>
                <w:color w:val="auto"/>
              </w:rPr>
            </w:pPr>
            <w:r>
              <w:rPr>
                <w:rFonts w:ascii="Arial" w:cs="Arial" w:eastAsia="Arial" w:hAnsi="Arial"/>
                <w:sz w:val="10"/>
                <w:szCs w:val="10"/>
                <w:color w:val="auto"/>
              </w:rPr>
              <w:t>442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23,680</w:t>
            </w:r>
          </w:p>
        </w:tc>
        <w:tc>
          <w:tcPr>
            <w:tcW w:w="0" w:type="dxa"/>
            <w:vAlign w:val="bottom"/>
          </w:tcPr>
          <w:p>
            <w:pPr>
              <w:spacing w:after="0"/>
              <w:rPr>
                <w:sz w:val="1"/>
                <w:szCs w:val="1"/>
                <w:color w:val="auto"/>
              </w:rPr>
            </w:pPr>
          </w:p>
        </w:tc>
      </w:tr>
      <w:tr>
        <w:trPr>
          <w:trHeight w:val="106"/>
        </w:trPr>
        <w:tc>
          <w:tcPr>
            <w:tcW w:w="2360" w:type="dxa"/>
            <w:vAlign w:val="bottom"/>
            <w:shd w:val="clear" w:color="auto" w:fill="CCEEFF"/>
          </w:tcPr>
          <w:p>
            <w:pPr>
              <w:ind w:left="120"/>
              <w:spacing w:after="0" w:line="106" w:lineRule="exact"/>
              <w:rPr>
                <w:sz w:val="20"/>
                <w:szCs w:val="20"/>
                <w:color w:val="auto"/>
              </w:rPr>
            </w:pPr>
            <w:r>
              <w:rPr>
                <w:rFonts w:ascii="Arial" w:cs="Arial" w:eastAsia="Arial" w:hAnsi="Arial"/>
                <w:sz w:val="10"/>
                <w:szCs w:val="10"/>
                <w:color w:val="auto"/>
              </w:rPr>
              <w:t>Effect of exchange rate changes on cash, cash</w:t>
            </w: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360" w:type="dxa"/>
            <w:vAlign w:val="bottom"/>
            <w:shd w:val="clear" w:color="auto" w:fill="CCEEFF"/>
          </w:tcPr>
          <w:p>
            <w:pPr>
              <w:ind w:left="240"/>
              <w:spacing w:after="0"/>
              <w:rPr>
                <w:sz w:val="20"/>
                <w:szCs w:val="20"/>
                <w:color w:val="auto"/>
              </w:rPr>
            </w:pPr>
            <w:r>
              <w:rPr>
                <w:rFonts w:ascii="Arial" w:cs="Arial" w:eastAsia="Arial" w:hAnsi="Arial"/>
                <w:sz w:val="10"/>
                <w:szCs w:val="10"/>
                <w:color w:val="auto"/>
              </w:rPr>
              <w:t>equivalents and restricted cash</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(50)</w:t>
            </w: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(140)</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(159)</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(448)</w:t>
            </w:r>
          </w:p>
        </w:tc>
        <w:tc>
          <w:tcPr>
            <w:tcW w:w="0" w:type="dxa"/>
            <w:vAlign w:val="bottom"/>
          </w:tcPr>
          <w:p>
            <w:pPr>
              <w:spacing w:after="0"/>
              <w:rPr>
                <w:sz w:val="1"/>
                <w:szCs w:val="1"/>
                <w:color w:val="auto"/>
              </w:rPr>
            </w:pPr>
          </w:p>
        </w:tc>
      </w:tr>
      <w:tr>
        <w:trPr>
          <w:trHeight w:val="81"/>
        </w:trPr>
        <w:tc>
          <w:tcPr>
            <w:tcW w:w="2360" w:type="dxa"/>
            <w:vAlign w:val="bottom"/>
          </w:tcPr>
          <w:p>
            <w:pPr>
              <w:ind w:left="120"/>
              <w:spacing w:after="0" w:line="82" w:lineRule="exact"/>
              <w:rPr>
                <w:sz w:val="20"/>
                <w:szCs w:val="20"/>
                <w:color w:val="auto"/>
              </w:rPr>
            </w:pPr>
            <w:r>
              <w:rPr>
                <w:rFonts w:ascii="Arial" w:cs="Arial" w:eastAsia="Arial" w:hAnsi="Arial"/>
                <w:sz w:val="9"/>
                <w:szCs w:val="9"/>
                <w:color w:val="auto"/>
              </w:rPr>
              <w:t>Net increase (decrease) in cash, cash equivalents</w:t>
            </w:r>
          </w:p>
        </w:tc>
        <w:tc>
          <w:tcPr>
            <w:tcW w:w="12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360" w:type="dxa"/>
            <w:vAlign w:val="bottom"/>
          </w:tcPr>
          <w:p>
            <w:pPr>
              <w:ind w:left="240"/>
              <w:spacing w:after="0"/>
              <w:rPr>
                <w:sz w:val="20"/>
                <w:szCs w:val="20"/>
                <w:color w:val="auto"/>
              </w:rPr>
            </w:pPr>
            <w:r>
              <w:rPr>
                <w:rFonts w:ascii="Arial" w:cs="Arial" w:eastAsia="Arial" w:hAnsi="Arial"/>
                <w:sz w:val="10"/>
                <w:szCs w:val="10"/>
                <w:color w:val="auto"/>
              </w:rPr>
              <w:t>and restricted cash</w:t>
            </w:r>
          </w:p>
        </w:tc>
        <w:tc>
          <w:tcPr>
            <w:tcW w:w="12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(937)</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ind w:right="11"/>
              <w:spacing w:after="0"/>
              <w:rPr>
                <w:sz w:val="20"/>
                <w:szCs w:val="20"/>
                <w:color w:val="auto"/>
              </w:rPr>
            </w:pPr>
            <w:r>
              <w:rPr>
                <w:rFonts w:ascii="Arial" w:cs="Arial" w:eastAsia="Arial" w:hAnsi="Arial"/>
                <w:sz w:val="10"/>
                <w:szCs w:val="10"/>
                <w:color w:val="auto"/>
              </w:rPr>
              <w:t>1,399</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1,297</w:t>
            </w: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1,759</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ind w:right="11"/>
              <w:spacing w:after="0"/>
              <w:rPr>
                <w:sz w:val="20"/>
                <w:szCs w:val="20"/>
                <w:color w:val="auto"/>
              </w:rPr>
            </w:pPr>
            <w:r>
              <w:rPr>
                <w:rFonts w:ascii="Arial" w:cs="Arial" w:eastAsia="Arial" w:hAnsi="Arial"/>
                <w:sz w:val="10"/>
                <w:szCs w:val="10"/>
                <w:color w:val="auto"/>
              </w:rPr>
              <w:t>11,912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(815)</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7,126</w:t>
            </w: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18,223</w:t>
            </w:r>
          </w:p>
        </w:tc>
        <w:tc>
          <w:tcPr>
            <w:tcW w:w="0" w:type="dxa"/>
            <w:vAlign w:val="bottom"/>
          </w:tcPr>
          <w:p>
            <w:pPr>
              <w:spacing w:after="0"/>
              <w:rPr>
                <w:sz w:val="1"/>
                <w:szCs w:val="1"/>
                <w:color w:val="auto"/>
              </w:rPr>
            </w:pPr>
          </w:p>
        </w:tc>
      </w:tr>
      <w:tr>
        <w:trPr>
          <w:trHeight w:val="109"/>
        </w:trPr>
        <w:tc>
          <w:tcPr>
            <w:tcW w:w="2360" w:type="dxa"/>
            <w:vAlign w:val="bottom"/>
            <w:shd w:val="clear" w:color="auto" w:fill="CCEEFF"/>
          </w:tcPr>
          <w:p>
            <w:pPr>
              <w:ind w:left="20"/>
              <w:spacing w:after="0" w:line="109" w:lineRule="exact"/>
              <w:rPr>
                <w:sz w:val="20"/>
                <w:szCs w:val="20"/>
                <w:color w:val="auto"/>
              </w:rPr>
            </w:pPr>
            <w:r>
              <w:rPr>
                <w:rFonts w:ascii="Arial" w:cs="Arial" w:eastAsia="Arial" w:hAnsi="Arial"/>
                <w:sz w:val="10"/>
                <w:szCs w:val="10"/>
                <w:color w:val="auto"/>
              </w:rPr>
              <w:t>Cash, cash equivalents and restricted cash at</w:t>
            </w: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360" w:type="dxa"/>
            <w:vAlign w:val="bottom"/>
            <w:shd w:val="clear" w:color="auto" w:fill="CCEEFF"/>
          </w:tcPr>
          <w:p>
            <w:pPr>
              <w:ind w:left="140"/>
              <w:spacing w:after="0"/>
              <w:rPr>
                <w:sz w:val="20"/>
                <w:szCs w:val="20"/>
                <w:color w:val="auto"/>
              </w:rPr>
            </w:pPr>
            <w:r>
              <w:rPr>
                <w:rFonts w:ascii="Arial" w:cs="Arial" w:eastAsia="Arial" w:hAnsi="Arial"/>
                <w:sz w:val="10"/>
                <w:szCs w:val="10"/>
                <w:color w:val="auto"/>
              </w:rPr>
              <w:t>beginning of period</w:t>
            </w:r>
          </w:p>
        </w:tc>
        <w:tc>
          <w:tcPr>
            <w:tcW w:w="12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14,225</w:t>
            </w: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766</w:t>
            </w:r>
          </w:p>
        </w:tc>
        <w:tc>
          <w:tcPr>
            <w:tcW w:w="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8,126</w:t>
            </w:r>
          </w:p>
        </w:tc>
        <w:tc>
          <w:tcPr>
            <w:tcW w:w="100" w:type="dxa"/>
            <w:vAlign w:val="bottom"/>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23,117</w:t>
            </w: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13,487</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2,355</w:t>
            </w: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7,102</w:t>
            </w:r>
          </w:p>
        </w:tc>
        <w:tc>
          <w:tcPr>
            <w:tcW w:w="100" w:type="dxa"/>
            <w:vAlign w:val="bottom"/>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22,943</w:t>
            </w:r>
          </w:p>
        </w:tc>
        <w:tc>
          <w:tcPr>
            <w:tcW w:w="0" w:type="dxa"/>
            <w:vAlign w:val="bottom"/>
          </w:tcPr>
          <w:p>
            <w:pPr>
              <w:spacing w:after="0"/>
              <w:rPr>
                <w:sz w:val="1"/>
                <w:szCs w:val="1"/>
                <w:color w:val="auto"/>
              </w:rPr>
            </w:pPr>
          </w:p>
        </w:tc>
      </w:tr>
      <w:tr>
        <w:trPr>
          <w:trHeight w:val="75"/>
        </w:trPr>
        <w:tc>
          <w:tcPr>
            <w:tcW w:w="2360" w:type="dxa"/>
            <w:vAlign w:val="bottom"/>
          </w:tcPr>
          <w:p>
            <w:pPr>
              <w:ind w:left="20"/>
              <w:spacing w:after="0" w:line="76" w:lineRule="exact"/>
              <w:rPr>
                <w:sz w:val="20"/>
                <w:szCs w:val="20"/>
                <w:color w:val="auto"/>
              </w:rPr>
            </w:pPr>
            <w:r>
              <w:rPr>
                <w:rFonts w:ascii="Arial" w:cs="Arial" w:eastAsia="Arial" w:hAnsi="Arial"/>
                <w:sz w:val="7"/>
                <w:szCs w:val="7"/>
                <w:b w:val="1"/>
                <w:bCs w:val="1"/>
                <w:color w:val="auto"/>
              </w:rPr>
              <w:t>Cash, cash equivalents and restricted cash at</w:t>
            </w:r>
          </w:p>
        </w:tc>
        <w:tc>
          <w:tcPr>
            <w:tcW w:w="120" w:type="dxa"/>
            <w:vAlign w:val="bottom"/>
            <w:vMerge w:val="restart"/>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vMerge w:val="restart"/>
          </w:tcPr>
          <w:p>
            <w:pPr>
              <w:jc w:val="right"/>
              <w:spacing w:after="0"/>
              <w:rPr>
                <w:sz w:val="20"/>
                <w:szCs w:val="20"/>
                <w:color w:val="auto"/>
              </w:rPr>
            </w:pPr>
            <w:r>
              <w:rPr>
                <w:rFonts w:ascii="Arial" w:cs="Arial" w:eastAsia="Arial" w:hAnsi="Arial"/>
                <w:sz w:val="10"/>
                <w:szCs w:val="10"/>
                <w:color w:val="auto"/>
              </w:rPr>
              <w:t>13,288</w:t>
            </w:r>
          </w:p>
        </w:tc>
        <w:tc>
          <w:tcPr>
            <w:tcW w:w="100" w:type="dxa"/>
            <w:vAlign w:val="bottom"/>
          </w:tcPr>
          <w:p>
            <w:pPr>
              <w:spacing w:after="0"/>
              <w:rPr>
                <w:sz w:val="6"/>
                <w:szCs w:val="6"/>
                <w:color w:val="auto"/>
              </w:rPr>
            </w:pPr>
          </w:p>
        </w:tc>
        <w:tc>
          <w:tcPr>
            <w:tcW w:w="1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460" w:type="dxa"/>
            <w:vAlign w:val="bottom"/>
            <w:vMerge w:val="restart"/>
          </w:tcPr>
          <w:p>
            <w:pPr>
              <w:jc w:val="right"/>
              <w:ind w:right="11"/>
              <w:spacing w:after="0"/>
              <w:rPr>
                <w:sz w:val="20"/>
                <w:szCs w:val="20"/>
                <w:color w:val="auto"/>
              </w:rPr>
            </w:pPr>
            <w:r>
              <w:rPr>
                <w:rFonts w:ascii="Arial" w:cs="Arial" w:eastAsia="Arial" w:hAnsi="Arial"/>
                <w:sz w:val="10"/>
                <w:szCs w:val="10"/>
                <w:color w:val="auto"/>
              </w:rPr>
              <w:t>2,165</w:t>
            </w:r>
          </w:p>
        </w:tc>
        <w:tc>
          <w:tcPr>
            <w:tcW w:w="80" w:type="dxa"/>
            <w:vAlign w:val="bottom"/>
          </w:tcPr>
          <w:p>
            <w:pPr>
              <w:spacing w:after="0"/>
              <w:rPr>
                <w:sz w:val="6"/>
                <w:szCs w:val="6"/>
                <w:color w:val="auto"/>
              </w:rPr>
            </w:pPr>
          </w:p>
        </w:tc>
        <w:tc>
          <w:tcPr>
            <w:tcW w:w="180" w:type="dxa"/>
            <w:vAlign w:val="bottom"/>
            <w:vMerge w:val="restart"/>
          </w:tcPr>
          <w:p>
            <w:pPr>
              <w:jc w:val="right"/>
              <w:ind w:right="53"/>
              <w:spacing w:after="0"/>
              <w:rPr>
                <w:sz w:val="20"/>
                <w:szCs w:val="20"/>
                <w:color w:val="auto"/>
              </w:rPr>
            </w:pPr>
            <w:r>
              <w:rPr>
                <w:rFonts w:ascii="Arial" w:cs="Arial" w:eastAsia="Arial" w:hAnsi="Arial"/>
                <w:sz w:val="10"/>
                <w:szCs w:val="10"/>
                <w:color w:val="auto"/>
              </w:rPr>
              <w:t>$</w:t>
            </w:r>
          </w:p>
        </w:tc>
        <w:tc>
          <w:tcPr>
            <w:tcW w:w="480" w:type="dxa"/>
            <w:vAlign w:val="bottom"/>
            <w:vMerge w:val="restart"/>
          </w:tcPr>
          <w:p>
            <w:pPr>
              <w:jc w:val="right"/>
              <w:spacing w:after="0"/>
              <w:rPr>
                <w:sz w:val="20"/>
                <w:szCs w:val="20"/>
                <w:color w:val="auto"/>
              </w:rPr>
            </w:pPr>
            <w:r>
              <w:rPr>
                <w:rFonts w:ascii="Arial" w:cs="Arial" w:eastAsia="Arial" w:hAnsi="Arial"/>
                <w:sz w:val="10"/>
                <w:szCs w:val="10"/>
                <w:color w:val="auto"/>
              </w:rPr>
              <w:t>9,423</w:t>
            </w:r>
          </w:p>
        </w:tc>
        <w:tc>
          <w:tcPr>
            <w:tcW w:w="100" w:type="dxa"/>
            <w:vAlign w:val="bottom"/>
          </w:tcPr>
          <w:p>
            <w:pPr>
              <w:spacing w:after="0"/>
              <w:rPr>
                <w:sz w:val="6"/>
                <w:szCs w:val="6"/>
                <w:color w:val="auto"/>
              </w:rPr>
            </w:pPr>
          </w:p>
        </w:tc>
        <w:tc>
          <w:tcPr>
            <w:tcW w:w="840" w:type="dxa"/>
            <w:vAlign w:val="bottom"/>
            <w:vMerge w:val="restart"/>
          </w:tcPr>
          <w:p>
            <w:pPr>
              <w:ind w:left="20"/>
              <w:spacing w:after="0"/>
              <w:rPr>
                <w:sz w:val="20"/>
                <w:szCs w:val="20"/>
                <w:color w:val="auto"/>
              </w:rPr>
            </w:pPr>
            <w:r>
              <w:rPr>
                <w:rFonts w:ascii="Arial" w:cs="Arial" w:eastAsia="Arial" w:hAnsi="Arial"/>
                <w:sz w:val="10"/>
                <w:szCs w:val="10"/>
                <w:color w:val="auto"/>
              </w:rPr>
              <w:t>$</w:t>
            </w:r>
          </w:p>
        </w:tc>
        <w:tc>
          <w:tcPr>
            <w:tcW w:w="52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vMerge w:val="restart"/>
          </w:tcPr>
          <w:p>
            <w:pPr>
              <w:jc w:val="right"/>
              <w:ind w:right="11"/>
              <w:spacing w:after="0"/>
              <w:rPr>
                <w:sz w:val="20"/>
                <w:szCs w:val="20"/>
                <w:color w:val="auto"/>
              </w:rPr>
            </w:pPr>
            <w:r>
              <w:rPr>
                <w:rFonts w:ascii="Arial" w:cs="Arial" w:eastAsia="Arial" w:hAnsi="Arial"/>
                <w:sz w:val="10"/>
                <w:szCs w:val="10"/>
                <w:color w:val="auto"/>
              </w:rPr>
              <w:t>24,876</w:t>
            </w:r>
          </w:p>
        </w:tc>
        <w:tc>
          <w:tcPr>
            <w:tcW w:w="80" w:type="dxa"/>
            <w:vAlign w:val="bottom"/>
          </w:tcPr>
          <w:p>
            <w:pPr>
              <w:spacing w:after="0"/>
              <w:rPr>
                <w:sz w:val="6"/>
                <w:szCs w:val="6"/>
                <w:color w:val="auto"/>
              </w:rPr>
            </w:pPr>
          </w:p>
        </w:tc>
        <w:tc>
          <w:tcPr>
            <w:tcW w:w="1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700" w:type="dxa"/>
            <w:vAlign w:val="bottom"/>
            <w:vMerge w:val="restart"/>
          </w:tcPr>
          <w:p>
            <w:pPr>
              <w:jc w:val="right"/>
              <w:ind w:right="11"/>
              <w:spacing w:after="0"/>
              <w:rPr>
                <w:sz w:val="20"/>
                <w:szCs w:val="20"/>
                <w:color w:val="auto"/>
              </w:rPr>
            </w:pPr>
            <w:r>
              <w:rPr>
                <w:rFonts w:ascii="Arial" w:cs="Arial" w:eastAsia="Arial" w:hAnsi="Arial"/>
                <w:sz w:val="10"/>
                <w:szCs w:val="10"/>
                <w:color w:val="auto"/>
              </w:rPr>
              <w:t>25,398</w:t>
            </w:r>
          </w:p>
        </w:tc>
        <w:tc>
          <w:tcPr>
            <w:tcW w:w="100" w:type="dxa"/>
            <w:vAlign w:val="bottom"/>
          </w:tcPr>
          <w:p>
            <w:pPr>
              <w:spacing w:after="0"/>
              <w:rPr>
                <w:sz w:val="6"/>
                <w:szCs w:val="6"/>
                <w:color w:val="auto"/>
              </w:rPr>
            </w:pP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vMerge w:val="restart"/>
          </w:tcPr>
          <w:p>
            <w:pPr>
              <w:jc w:val="right"/>
              <w:spacing w:after="0"/>
              <w:rPr>
                <w:sz w:val="20"/>
                <w:szCs w:val="20"/>
                <w:color w:val="auto"/>
              </w:rPr>
            </w:pPr>
            <w:r>
              <w:rPr>
                <w:rFonts w:ascii="Arial" w:cs="Arial" w:eastAsia="Arial" w:hAnsi="Arial"/>
                <w:sz w:val="10"/>
                <w:szCs w:val="10"/>
                <w:color w:val="auto"/>
              </w:rPr>
              <w:t>1,540</w:t>
            </w:r>
          </w:p>
        </w:tc>
        <w:tc>
          <w:tcPr>
            <w:tcW w:w="100" w:type="dxa"/>
            <w:vAlign w:val="bottom"/>
          </w:tcPr>
          <w:p>
            <w:pPr>
              <w:spacing w:after="0"/>
              <w:rPr>
                <w:sz w:val="6"/>
                <w:szCs w:val="6"/>
                <w:color w:val="auto"/>
              </w:rPr>
            </w:pPr>
          </w:p>
        </w:tc>
        <w:tc>
          <w:tcPr>
            <w:tcW w:w="6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vMerge w:val="restart"/>
          </w:tcPr>
          <w:p>
            <w:pPr>
              <w:jc w:val="right"/>
              <w:spacing w:after="0"/>
              <w:rPr>
                <w:sz w:val="20"/>
                <w:szCs w:val="20"/>
                <w:color w:val="auto"/>
              </w:rPr>
            </w:pPr>
            <w:r>
              <w:rPr>
                <w:rFonts w:ascii="Arial" w:cs="Arial" w:eastAsia="Arial" w:hAnsi="Arial"/>
                <w:sz w:val="10"/>
                <w:szCs w:val="10"/>
                <w:color w:val="auto"/>
              </w:rPr>
              <w:t>14,228</w:t>
            </w:r>
          </w:p>
        </w:tc>
        <w:tc>
          <w:tcPr>
            <w:tcW w:w="100" w:type="dxa"/>
            <w:vAlign w:val="bottom"/>
          </w:tcPr>
          <w:p>
            <w:pPr>
              <w:spacing w:after="0"/>
              <w:rPr>
                <w:sz w:val="6"/>
                <w:szCs w:val="6"/>
                <w:color w:val="auto"/>
              </w:rPr>
            </w:pPr>
          </w:p>
        </w:tc>
        <w:tc>
          <w:tcPr>
            <w:tcW w:w="880" w:type="dxa"/>
            <w:vAlign w:val="bottom"/>
            <w:vMerge w:val="restart"/>
          </w:tcPr>
          <w:p>
            <w:pPr>
              <w:ind w:left="20"/>
              <w:spacing w:after="0"/>
              <w:rPr>
                <w:sz w:val="20"/>
                <w:szCs w:val="20"/>
                <w:color w:val="auto"/>
              </w:rPr>
            </w:pPr>
            <w:r>
              <w:rPr>
                <w:rFonts w:ascii="Arial" w:cs="Arial" w:eastAsia="Arial" w:hAnsi="Arial"/>
                <w:sz w:val="10"/>
                <w:szCs w:val="10"/>
                <w:color w:val="auto"/>
              </w:rPr>
              <w:t>$</w:t>
            </w: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640" w:type="dxa"/>
            <w:vAlign w:val="bottom"/>
            <w:vMerge w:val="restart"/>
          </w:tcPr>
          <w:p>
            <w:pPr>
              <w:jc w:val="right"/>
              <w:spacing w:after="0"/>
              <w:rPr>
                <w:sz w:val="20"/>
                <w:szCs w:val="20"/>
                <w:color w:val="auto"/>
              </w:rPr>
            </w:pPr>
            <w:r>
              <w:rPr>
                <w:rFonts w:ascii="Arial" w:cs="Arial" w:eastAsia="Arial" w:hAnsi="Arial"/>
                <w:sz w:val="10"/>
                <w:szCs w:val="10"/>
                <w:color w:val="auto"/>
              </w:rPr>
              <w:t>41,166</w:t>
            </w:r>
          </w:p>
        </w:tc>
        <w:tc>
          <w:tcPr>
            <w:tcW w:w="0" w:type="dxa"/>
            <w:vAlign w:val="bottom"/>
          </w:tcPr>
          <w:p>
            <w:pPr>
              <w:spacing w:after="0"/>
              <w:rPr>
                <w:sz w:val="1"/>
                <w:szCs w:val="1"/>
                <w:color w:val="auto"/>
              </w:rPr>
            </w:pPr>
          </w:p>
        </w:tc>
      </w:tr>
      <w:tr>
        <w:trPr>
          <w:trHeight w:val="130"/>
        </w:trPr>
        <w:tc>
          <w:tcPr>
            <w:tcW w:w="2360" w:type="dxa"/>
            <w:vAlign w:val="bottom"/>
          </w:tcPr>
          <w:p>
            <w:pPr>
              <w:ind w:left="140"/>
              <w:spacing w:after="0"/>
              <w:rPr>
                <w:sz w:val="20"/>
                <w:szCs w:val="20"/>
                <w:color w:val="auto"/>
              </w:rPr>
            </w:pPr>
            <w:r>
              <w:rPr>
                <w:rFonts w:ascii="Arial" w:cs="Arial" w:eastAsia="Arial" w:hAnsi="Arial"/>
                <w:sz w:val="10"/>
                <w:szCs w:val="10"/>
                <w:b w:val="1"/>
                <w:bCs w:val="1"/>
                <w:color w:val="auto"/>
              </w:rPr>
              <w:t>end of period</w:t>
            </w:r>
          </w:p>
        </w:tc>
        <w:tc>
          <w:tcPr>
            <w:tcW w:w="12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1498600</wp:posOffset>
            </wp:positionH>
            <wp:positionV relativeFrom="paragraph">
              <wp:posOffset>-7620</wp:posOffset>
            </wp:positionV>
            <wp:extent cx="5666105"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66105" cy="6985"/>
                    </a:xfrm>
                    <a:prstGeom prst="rect">
                      <a:avLst/>
                    </a:prstGeom>
                    <a:noFill/>
                  </pic:spPr>
                </pic:pic>
              </a:graphicData>
            </a:graphic>
          </wp:anchor>
        </w:drawing>
      </w:r>
    </w:p>
    <w:p>
      <w:pPr>
        <w:spacing w:after="0"/>
        <w:rPr>
          <w:sz w:val="20"/>
          <w:szCs w:val="20"/>
          <w:color w:val="auto"/>
        </w:rPr>
      </w:pPr>
      <w:r>
        <w:rPr>
          <w:rFonts w:ascii="Arial" w:cs="Arial" w:eastAsia="Arial" w:hAnsi="Arial"/>
          <w:sz w:val="8"/>
          <w:szCs w:val="8"/>
          <w:color w:val="auto"/>
        </w:rPr>
        <w:t>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1498600</wp:posOffset>
            </wp:positionH>
            <wp:positionV relativeFrom="paragraph">
              <wp:posOffset>-49530</wp:posOffset>
            </wp:positionV>
            <wp:extent cx="5666105"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66105" cy="6985"/>
                    </a:xfrm>
                    <a:prstGeom prst="rect">
                      <a:avLst/>
                    </a:prstGeom>
                    <a:noFill/>
                  </pic:spPr>
                </pic:pic>
              </a:graphicData>
            </a:graphic>
          </wp:anchor>
        </w:drawing>
      </w:r>
    </w:p>
    <w:p>
      <w:pPr>
        <w:ind w:left="260" w:hanging="255"/>
        <w:spacing w:after="0"/>
        <w:tabs>
          <w:tab w:leader="none" w:pos="260" w:val="left"/>
        </w:tabs>
        <w:numPr>
          <w:ilvl w:val="0"/>
          <w:numId w:val="10"/>
        </w:numPr>
        <w:rPr>
          <w:rFonts w:ascii="Arial" w:cs="Arial" w:eastAsia="Arial" w:hAnsi="Arial"/>
          <w:sz w:val="8"/>
          <w:szCs w:val="8"/>
          <w:color w:val="auto"/>
        </w:rPr>
      </w:pPr>
      <w:r>
        <w:rPr>
          <w:rFonts w:ascii="Arial" w:cs="Arial" w:eastAsia="Arial" w:hAnsi="Arial"/>
          <w:sz w:val="8"/>
          <w:szCs w:val="8"/>
          <w:color w:val="auto"/>
        </w:rPr>
        <w:t>Amounts may not sum due to rounding.</w:t>
      </w:r>
    </w:p>
    <w:p>
      <w:pPr>
        <w:spacing w:after="0" w:line="3" w:lineRule="exact"/>
        <w:rPr>
          <w:rFonts w:ascii="Arial" w:cs="Arial" w:eastAsia="Arial" w:hAnsi="Arial"/>
          <w:sz w:val="8"/>
          <w:szCs w:val="8"/>
          <w:color w:val="auto"/>
        </w:rPr>
      </w:pPr>
    </w:p>
    <w:p>
      <w:pPr>
        <w:ind w:left="260" w:hanging="255"/>
        <w:spacing w:after="0"/>
        <w:tabs>
          <w:tab w:leader="none" w:pos="260" w:val="left"/>
        </w:tabs>
        <w:numPr>
          <w:ilvl w:val="0"/>
          <w:numId w:val="10"/>
        </w:numPr>
        <w:rPr>
          <w:rFonts w:ascii="Arial" w:cs="Arial" w:eastAsia="Arial" w:hAnsi="Arial"/>
          <w:sz w:val="8"/>
          <w:szCs w:val="8"/>
          <w:color w:val="auto"/>
        </w:rPr>
      </w:pPr>
      <w:r>
        <w:rPr>
          <w:rFonts w:ascii="Arial" w:cs="Arial" w:eastAsia="Arial" w:hAnsi="Arial"/>
          <w:sz w:val="8"/>
          <w:szCs w:val="8"/>
          <w:color w:val="auto"/>
        </w:rPr>
        <w:t>Includes reclassifications of $1.6 billion and $325 million in the three months ended March 31, 2021 and 2020 for purchases/collections of wholesale finance receivables resulting from vehicles sold by GM to dealers that have arranged their inventory floor plan financing through GM Financial.</w:t>
      </w:r>
    </w:p>
    <w:p>
      <w:pPr>
        <w:spacing w:after="0" w:line="3" w:lineRule="exact"/>
        <w:rPr>
          <w:rFonts w:ascii="Arial" w:cs="Arial" w:eastAsia="Arial" w:hAnsi="Arial"/>
          <w:sz w:val="8"/>
          <w:szCs w:val="8"/>
          <w:color w:val="auto"/>
        </w:rPr>
      </w:pPr>
    </w:p>
    <w:p>
      <w:pPr>
        <w:ind w:left="260" w:hanging="255"/>
        <w:spacing w:after="0" w:line="249" w:lineRule="auto"/>
        <w:tabs>
          <w:tab w:leader="none" w:pos="253" w:val="left"/>
        </w:tabs>
        <w:numPr>
          <w:ilvl w:val="0"/>
          <w:numId w:val="10"/>
        </w:numPr>
        <w:rPr>
          <w:rFonts w:ascii="Arial" w:cs="Arial" w:eastAsia="Arial" w:hAnsi="Arial"/>
          <w:sz w:val="8"/>
          <w:szCs w:val="8"/>
          <w:color w:val="auto"/>
        </w:rPr>
      </w:pPr>
      <w:r>
        <w:rPr>
          <w:rFonts w:ascii="Arial" w:cs="Arial" w:eastAsia="Arial" w:hAnsi="Arial"/>
          <w:sz w:val="8"/>
          <w:szCs w:val="8"/>
          <w:color w:val="auto"/>
        </w:rPr>
        <w:t>Eliminations include $72 million and $240 million in Purchases of finance receivables, net in the three months ended March 31, 2021 and 2020; and $124 million and $151 million in Principal collections and recoveries on finance receivables in the three months ended March 31, 2021 and 2020 primarily related to the re-timing of cash receipts and payments between Automotive and GM Financial.</w:t>
      </w:r>
    </w:p>
    <w:p>
      <w:pPr>
        <w:ind w:left="260" w:hanging="255"/>
        <w:spacing w:after="0"/>
        <w:tabs>
          <w:tab w:leader="none" w:pos="260" w:val="left"/>
        </w:tabs>
        <w:numPr>
          <w:ilvl w:val="0"/>
          <w:numId w:val="10"/>
        </w:numPr>
        <w:rPr>
          <w:rFonts w:ascii="Arial" w:cs="Arial" w:eastAsia="Arial" w:hAnsi="Arial"/>
          <w:sz w:val="8"/>
          <w:szCs w:val="8"/>
          <w:color w:val="auto"/>
        </w:rPr>
      </w:pPr>
      <w:r>
        <w:rPr>
          <w:rFonts w:ascii="Arial" w:cs="Arial" w:eastAsia="Arial" w:hAnsi="Arial"/>
          <w:sz w:val="8"/>
          <w:szCs w:val="8"/>
          <w:color w:val="auto"/>
        </w:rPr>
        <w:t>Eliminations include dividends issued by GM Financial to Automotive.</w:t>
      </w:r>
    </w:p>
    <w:p>
      <w:pPr>
        <w:spacing w:after="0" w:line="3" w:lineRule="exact"/>
        <w:rPr>
          <w:rFonts w:ascii="Arial" w:cs="Arial" w:eastAsia="Arial" w:hAnsi="Arial"/>
          <w:sz w:val="8"/>
          <w:szCs w:val="8"/>
          <w:color w:val="auto"/>
        </w:rPr>
      </w:pPr>
    </w:p>
    <w:p>
      <w:pPr>
        <w:ind w:left="260" w:hanging="255"/>
        <w:spacing w:after="0"/>
        <w:tabs>
          <w:tab w:leader="none" w:pos="260" w:val="left"/>
        </w:tabs>
        <w:numPr>
          <w:ilvl w:val="0"/>
          <w:numId w:val="10"/>
        </w:numPr>
        <w:rPr>
          <w:rFonts w:ascii="Arial" w:cs="Arial" w:eastAsia="Arial" w:hAnsi="Arial"/>
          <w:sz w:val="8"/>
          <w:szCs w:val="8"/>
          <w:color w:val="auto"/>
        </w:rPr>
      </w:pPr>
      <w:r>
        <w:rPr>
          <w:rFonts w:ascii="Arial" w:cs="Arial" w:eastAsia="Arial" w:hAnsi="Arial"/>
          <w:sz w:val="8"/>
          <w:szCs w:val="8"/>
          <w:color w:val="auto"/>
        </w:rPr>
        <w:t>Eliminations include $1.0 billion in the three months ended March 31, 2021 for Automotive investments in Cruise Preferred Shares.</w:t>
      </w:r>
    </w:p>
    <w:p>
      <w:pPr>
        <w:spacing w:after="0" w:line="200" w:lineRule="exact"/>
        <w:rPr>
          <w:sz w:val="20"/>
          <w:szCs w:val="20"/>
          <w:color w:val="auto"/>
        </w:rPr>
      </w:pPr>
    </w:p>
    <w:p>
      <w:pPr>
        <w:spacing w:after="0" w:line="296"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13</w:t>
      </w:r>
    </w:p>
    <w:sectPr>
      <w:pgSz w:w="11900" w:h="16838" w:orient="portrait"/>
      <w:cols w:equalWidth="0" w:num="1">
        <w:col w:w="11280"/>
      </w:cols>
      <w:pgMar w:left="300" w:top="69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1"/>
    </w:lvl>
  </w:abstractNum>
  <w:abstractNum w:abstractNumId="2">
    <w:nsid w:val="2EB141F2"/>
    <w:multiLevelType w:val="hybridMultilevel"/>
    <w:lvl w:ilvl="0">
      <w:lvlJc w:val="left"/>
      <w:lvlText w:val="(%1)"/>
      <w:numFmt w:val="lowerLetter"/>
      <w:start w:val="1"/>
    </w:lvl>
  </w:abstractNum>
  <w:abstractNum w:abstractNumId="3">
    <w:nsid w:val="41B71EFB"/>
    <w:multiLevelType w:val="hybridMultilevel"/>
    <w:lvl w:ilvl="0">
      <w:lvlJc w:val="left"/>
      <w:lvlText w:val="(%1)"/>
      <w:numFmt w:val="lowerLetter"/>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2021-05-05T08:15:49Z</dcterms:created>
  <dcterms:modified xsi:type="dcterms:W3CDTF">2021-05-05T08:15:49Z</dcterms:modified>
</cp:coreProperties>
</file>