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Hatto Christopher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20"/>
        <w:spacing w:after="0" w:line="365" w:lineRule="auto"/>
        <w:rPr>
          <w:sz w:val="20"/>
          <w:szCs w:val="20"/>
          <w:color w:val="auto"/>
        </w:rPr>
      </w:pPr>
      <w:r>
        <w:rPr>
          <w:rFonts w:ascii="Times New Roman" w:cs="Times New Roman" w:eastAsia="Times New Roman" w:hAnsi="Times New Roman"/>
          <w:sz w:val="17"/>
          <w:szCs w:val="17"/>
          <w:color w:val="0000FF"/>
        </w:rPr>
        <w:t>300 RENAISSANCE CENTER M/C: 482-C23-A68</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48265</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General Motors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02/26/2024</w:t>
            </w: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Vice President &amp; CAO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02/26/2024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10,910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26,107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02/26/2024</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7"/>
                <w:szCs w:val="17"/>
                <w:color w:val="0000FF"/>
              </w:rPr>
              <w:t>4,600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w:t>
            </w:r>
          </w:p>
        </w:tc>
        <w:tc>
          <w:tcPr>
            <w:tcW w:w="20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21,507</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$40.00 to $40.09, inclusive. The Reporting Person undertakes to provide to the SEC, GM and any security holder, upon request, full information regarding the number of shares sold at each price point within the ranges set forth in this footnote.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02/28/2024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Mr. Hatto</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921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2024-02-28T16:48:07Z</dcterms:created>
  <dcterms:modified xsi:type="dcterms:W3CDTF">2024-02-28T16:48:07Z</dcterms:modified>
</cp:coreProperties>
</file>