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68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6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Title of Each</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940" w:type="dxa"/>
            <w:vAlign w:val="bottom"/>
            <w:tcBorders>
              <w:right w:val="single" w:sz="8" w:color="auto"/>
            </w:tcBorders>
          </w:tcPr>
          <w:p>
            <w:pPr>
              <w:jc w:val="center"/>
              <w:ind w:left="1"/>
              <w:spacing w:after="0" w:line="106" w:lineRule="exact"/>
              <w:rPr>
                <w:sz w:val="20"/>
                <w:szCs w:val="20"/>
                <w:color w:val="auto"/>
              </w:rPr>
            </w:pPr>
            <w:r>
              <w:rPr>
                <w:rFonts w:ascii="Arial" w:cs="Arial" w:eastAsia="Arial" w:hAnsi="Arial"/>
                <w:sz w:val="12"/>
                <w:szCs w:val="12"/>
                <w:b w:val="1"/>
                <w:bCs w:val="1"/>
                <w:color w:val="auto"/>
              </w:rPr>
              <w:t>Proposed Maximum</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192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3680" w:type="dxa"/>
            <w:vAlign w:val="bottom"/>
            <w:tcBorders>
              <w:right w:val="single" w:sz="8" w:color="auto"/>
            </w:tcBorders>
            <w:vMerge w:val="continue"/>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Offering Price</w:t>
            </w:r>
          </w:p>
        </w:tc>
        <w:tc>
          <w:tcPr>
            <w:tcW w:w="1920" w:type="dxa"/>
            <w:vAlign w:val="bottom"/>
            <w:tcBorders>
              <w:right w:val="single" w:sz="8" w:color="auto"/>
            </w:tcBorders>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Class of Securities to be Registered</w:t>
            </w:r>
          </w:p>
        </w:tc>
        <w:tc>
          <w:tcPr>
            <w:tcW w:w="196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1"/>
              </w:rPr>
              <w:t>Registered</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 (1)</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Aggregate Offering Price</w:t>
            </w:r>
          </w:p>
        </w:tc>
        <w:tc>
          <w:tcPr>
            <w:tcW w:w="192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3"/>
              </w:rPr>
              <w:t>Registration Fee (1)</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4.000% Senior Notes due 2025</w:t>
            </w:r>
          </w:p>
        </w:tc>
        <w:tc>
          <w:tcPr>
            <w:tcW w:w="196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88"/>
              </w:rPr>
              <w:t>$500,000,000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99.273%</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$496,365,000</w:t>
            </w:r>
          </w:p>
        </w:tc>
        <w:tc>
          <w:tcPr>
            <w:tcW w:w="192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89"/>
              </w:rPr>
              <w:t>$57,678</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5.000% Senior Notes due 2035</w:t>
            </w:r>
          </w:p>
        </w:tc>
        <w:tc>
          <w:tcPr>
            <w:tcW w:w="196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88"/>
              </w:rPr>
              <w:t>$750,000,000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98.759%</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$740,692,500</w:t>
            </w:r>
          </w:p>
        </w:tc>
        <w:tc>
          <w:tcPr>
            <w:tcW w:w="192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89"/>
              </w:rPr>
              <w:t>$86,069</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5.200% Senior Notes due 2045</w:t>
            </w:r>
          </w:p>
        </w:tc>
        <w:tc>
          <w:tcPr>
            <w:tcW w:w="196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91"/>
              </w:rPr>
              <w:t>$1,250,000,000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99.266%</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$1,240,825,000</w:t>
            </w:r>
          </w:p>
        </w:tc>
        <w:tc>
          <w:tcPr>
            <w:tcW w:w="192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87"/>
              </w:rPr>
              <w:t>$144,184</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This registration fee is calculated pursuant to Rule 457(r) under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424(b)(2)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333-195601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April 30, 2014)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94615</wp:posOffset>
            </wp:positionV>
            <wp:extent cx="45281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 4.000% Senior Notes due 2025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5.000% Senior Notes due 2035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$1,250,000,000 5.200% Senior Notes due 2045</w:t>
      </w:r>
    </w:p>
    <w:p>
      <w:pPr>
        <w:spacing w:after="0" w:line="215" w:lineRule="exact"/>
        <w:rPr>
          <w:sz w:val="20"/>
          <w:szCs w:val="20"/>
          <w:color w:val="auto"/>
        </w:rPr>
      </w:pPr>
    </w:p>
    <w:p>
      <w:pPr>
        <w:ind w:right="280" w:firstLine="799"/>
        <w:spacing w:after="0" w:line="278" w:lineRule="auto"/>
        <w:rPr>
          <w:sz w:val="20"/>
          <w:szCs w:val="20"/>
          <w:color w:val="auto"/>
        </w:rPr>
      </w:pPr>
      <w:r>
        <w:rPr>
          <w:rFonts w:ascii="Arial" w:cs="Arial" w:eastAsia="Arial" w:hAnsi="Arial"/>
          <w:sz w:val="16"/>
          <w:szCs w:val="16"/>
          <w:color w:val="auto"/>
        </w:rPr>
        <w:t>General Motors Company is offering $500,000,000 in aggregate principal amount of 4.000% Senior Notes due 2025 (the “2025 Notes”), $750,000,000 in aggregate principal amount of 5.000% Senior Notes due 2035 (the “2035 Notes”) and $1,250,000,000 in aggregate principal amount of 5.200% Senior Notes due 2045 (the “2045 Notes” and, together with the 2025 Notes and the 2035 Notes, the “Notes”).</w:t>
      </w:r>
    </w:p>
    <w:p>
      <w:pPr>
        <w:spacing w:after="0" w:line="76" w:lineRule="exact"/>
        <w:rPr>
          <w:sz w:val="20"/>
          <w:szCs w:val="20"/>
          <w:color w:val="auto"/>
        </w:rPr>
      </w:pPr>
    </w:p>
    <w:p>
      <w:pPr>
        <w:ind w:right="100" w:firstLine="799"/>
        <w:spacing w:after="0" w:line="278" w:lineRule="auto"/>
        <w:rPr>
          <w:sz w:val="20"/>
          <w:szCs w:val="20"/>
          <w:color w:val="auto"/>
        </w:rPr>
      </w:pPr>
      <w:r>
        <w:rPr>
          <w:rFonts w:ascii="Arial" w:cs="Arial" w:eastAsia="Arial" w:hAnsi="Arial"/>
          <w:sz w:val="16"/>
          <w:szCs w:val="16"/>
          <w:color w:val="auto"/>
        </w:rPr>
        <w:t>The 2025 Notes will mature on April 1, 2025, the 2035 Notes will mature on April 1, 2035 and the 2045 Notes will mature on April 1, 2045. Interest on the Notes will accrue from November 12, 2014. We will pay interest on the Notes on April 1 and October 1 of each year, commencing on April 1, 2015. The Notes will be our senior unsecured obligations and will rank equally in right of payment with all of our existing and future senior unsecured indebtedness.</w:t>
      </w:r>
    </w:p>
    <w:p>
      <w:pPr>
        <w:spacing w:after="0" w:line="76" w:lineRule="exact"/>
        <w:rPr>
          <w:sz w:val="20"/>
          <w:szCs w:val="20"/>
          <w:color w:val="auto"/>
        </w:rPr>
      </w:pPr>
    </w:p>
    <w:p>
      <w:pPr>
        <w:ind w:right="160" w:firstLine="799"/>
        <w:spacing w:after="0" w:line="293" w:lineRule="auto"/>
        <w:rPr>
          <w:sz w:val="20"/>
          <w:szCs w:val="20"/>
          <w:color w:val="auto"/>
        </w:rPr>
      </w:pPr>
      <w:r>
        <w:rPr>
          <w:rFonts w:ascii="Arial" w:cs="Arial" w:eastAsia="Arial" w:hAnsi="Arial"/>
          <w:sz w:val="16"/>
          <w:szCs w:val="16"/>
          <w:color w:val="auto"/>
        </w:rPr>
        <w:t>We may, at our option, redeem some or all of the Notes at any time and from time to time at the applicable redemption prices described under “Description of the Notes—Optional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0"/>
          <w:szCs w:val="20"/>
          <w:color w:val="auto"/>
        </w:rPr>
      </w:pPr>
    </w:p>
    <w:p>
      <w:pPr>
        <w:ind w:right="20" w:firstLine="799"/>
        <w:spacing w:after="0" w:line="298"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Notes involves risks. See “</w:t>
      </w:r>
      <w:hyperlink w:anchor="page1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S-7 of this prospectus supplement, in the accompanying prospectus and in our periodic reports filed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121920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9" w:lineRule="exact"/>
        <w:rPr>
          <w:sz w:val="20"/>
          <w:szCs w:val="20"/>
          <w:color w:val="auto"/>
        </w:rPr>
      </w:pPr>
    </w:p>
    <w:p>
      <w:pPr>
        <w:ind w:right="80" w:firstLine="799"/>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130175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Per 2025</w:t>
            </w:r>
          </w:p>
        </w:tc>
        <w:tc>
          <w:tcPr>
            <w:tcW w:w="80" w:type="dxa"/>
            <w:vAlign w:val="bottom"/>
          </w:tcPr>
          <w:p>
            <w:pPr>
              <w:spacing w:after="0"/>
              <w:rPr>
                <w:sz w:val="14"/>
                <w:szCs w:val="14"/>
                <w:color w:val="auto"/>
              </w:rPr>
            </w:pPr>
          </w:p>
        </w:tc>
        <w:tc>
          <w:tcPr>
            <w:tcW w:w="7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500" w:type="dxa"/>
            <w:vAlign w:val="bottom"/>
            <w:vMerge w:val="restart"/>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 2035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500" w:type="dxa"/>
            <w:vAlign w:val="bottom"/>
            <w:vMerge w:val="restart"/>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Per 2045</w:t>
            </w:r>
          </w:p>
        </w:tc>
        <w:tc>
          <w:tcPr>
            <w:tcW w:w="80" w:type="dxa"/>
            <w:vAlign w:val="bottom"/>
          </w:tcPr>
          <w:p>
            <w:pPr>
              <w:spacing w:after="0"/>
              <w:rPr>
                <w:sz w:val="14"/>
                <w:szCs w:val="14"/>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Note</w:t>
            </w: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Price to Public (1)</w:t>
            </w:r>
          </w:p>
        </w:tc>
        <w:tc>
          <w:tcPr>
            <w:tcW w:w="156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99.273%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496,365,000</w:t>
            </w:r>
          </w:p>
        </w:tc>
        <w:tc>
          <w:tcPr>
            <w:tcW w:w="5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98.759%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740,692,500</w:t>
            </w:r>
          </w:p>
        </w:tc>
        <w:tc>
          <w:tcPr>
            <w:tcW w:w="5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2" w:lineRule="exact"/>
              <w:rPr>
                <w:sz w:val="20"/>
                <w:szCs w:val="20"/>
                <w:color w:val="auto"/>
              </w:rPr>
            </w:pPr>
            <w:r>
              <w:rPr>
                <w:rFonts w:ascii="Arial" w:cs="Arial" w:eastAsia="Arial" w:hAnsi="Arial"/>
                <w:sz w:val="14"/>
                <w:szCs w:val="14"/>
                <w:color w:val="auto"/>
              </w:rPr>
              <w:t>99.266%</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1,240,825,000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Underwriting Discounts</w:t>
            </w: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0.650%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3,250,000</w:t>
            </w:r>
          </w:p>
        </w:tc>
        <w:tc>
          <w:tcPr>
            <w:tcW w:w="5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0.775%</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5,812,500</w:t>
            </w: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0.875%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10,937,500</w:t>
            </w:r>
          </w:p>
        </w:tc>
        <w:tc>
          <w:tcPr>
            <w:tcW w:w="0" w:type="dxa"/>
            <w:vAlign w:val="bottom"/>
          </w:tcPr>
          <w:p>
            <w:pPr>
              <w:spacing w:after="0"/>
              <w:rPr>
                <w:sz w:val="1"/>
                <w:szCs w:val="1"/>
                <w:color w:val="auto"/>
              </w:rPr>
            </w:pPr>
          </w:p>
        </w:tc>
      </w:tr>
      <w:tr>
        <w:trPr>
          <w:trHeight w:val="130"/>
        </w:trPr>
        <w:tc>
          <w:tcPr>
            <w:tcW w:w="3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Proceeds, before</w:t>
            </w: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expenses, to us (1)</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98.623%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89"/>
              </w:rPr>
              <w:t>493,115,000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97.984%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w w:val="89"/>
              </w:rPr>
              <w:t>734,880,000</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98.391%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1,229,887,500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Plus accrued interest, if any, from November 12, 2014.</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Notes will not be listed on any securities exchange or automated quotation system. Currently there is no market for the Notes.</w:t>
      </w:r>
    </w:p>
    <w:p>
      <w:pPr>
        <w:spacing w:after="0" w:line="127" w:lineRule="exact"/>
        <w:rPr>
          <w:sz w:val="20"/>
          <w:szCs w:val="20"/>
          <w:color w:val="auto"/>
        </w:rPr>
      </w:pPr>
    </w:p>
    <w:p>
      <w:pPr>
        <w:ind w:right="580" w:firstLine="799"/>
        <w:spacing w:after="0" w:line="293" w:lineRule="auto"/>
        <w:rPr>
          <w:sz w:val="20"/>
          <w:szCs w:val="20"/>
          <w:color w:val="auto"/>
        </w:rPr>
      </w:pPr>
      <w:r>
        <w:rPr>
          <w:rFonts w:ascii="Arial" w:cs="Arial" w:eastAsia="Arial" w:hAnsi="Arial"/>
          <w:sz w:val="16"/>
          <w:szCs w:val="16"/>
          <w:color w:val="auto"/>
        </w:rPr>
        <w:t xml:space="preserve">The underwriters expect to deliver the Notes to purchasers in book-entry form through the facilities of The Depository Trust Company and its participants, including Euroclear Bank S.A./N.V.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on or about November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Joint Book-Running Managers</w:t>
      </w:r>
    </w:p>
    <w:p>
      <w:pPr>
        <w:spacing w:after="0" w:line="123" w:lineRule="exact"/>
        <w:rPr>
          <w:sz w:val="20"/>
          <w:szCs w:val="20"/>
          <w:color w:val="auto"/>
        </w:rPr>
      </w:pPr>
    </w:p>
    <w:p>
      <w:pPr>
        <w:ind w:left="1160"/>
        <w:spacing w:after="0"/>
        <w:tabs>
          <w:tab w:leader="none" w:pos="4660" w:val="left"/>
          <w:tab w:leader="none" w:pos="872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Goldman, Sachs &amp; Co.</w:t>
      </w:r>
      <w:r>
        <w:rPr>
          <w:sz w:val="20"/>
          <w:szCs w:val="20"/>
          <w:color w:val="auto"/>
        </w:rPr>
        <w:tab/>
      </w:r>
      <w:r>
        <w:rPr>
          <w:rFonts w:ascii="Arial" w:cs="Arial" w:eastAsia="Arial" w:hAnsi="Arial"/>
          <w:sz w:val="19"/>
          <w:szCs w:val="19"/>
          <w:b w:val="1"/>
          <w:bCs w:val="1"/>
          <w:color w:val="auto"/>
        </w:rPr>
        <w:t>Morgan Stanley</w:t>
      </w:r>
    </w:p>
    <w:p>
      <w:pPr>
        <w:spacing w:after="0" w:line="247" w:lineRule="exact"/>
        <w:rPr>
          <w:sz w:val="20"/>
          <w:szCs w:val="20"/>
          <w:color w:val="auto"/>
        </w:rPr>
      </w:pPr>
    </w:p>
    <w:p>
      <w:pPr>
        <w:ind w:left="2460"/>
        <w:spacing w:after="0"/>
        <w:tabs>
          <w:tab w:leader="none" w:pos="7680" w:val="left"/>
        </w:tabs>
        <w:rPr>
          <w:sz w:val="20"/>
          <w:szCs w:val="20"/>
          <w:color w:val="auto"/>
        </w:rPr>
      </w:pP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2"/>
          <w:szCs w:val="22"/>
          <w:b w:val="1"/>
          <w:bCs w:val="1"/>
          <w:color w:val="auto"/>
        </w:rPr>
        <w:t>BofA Merrill Lynch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Joint Lead Managers</w:t>
      </w:r>
    </w:p>
    <w:p>
      <w:pPr>
        <w:spacing w:after="0" w:line="132" w:lineRule="exact"/>
        <w:rPr>
          <w:sz w:val="20"/>
          <w:szCs w:val="20"/>
          <w:color w:val="auto"/>
        </w:rPr>
      </w:pPr>
    </w:p>
    <w:p>
      <w:pPr>
        <w:ind w:left="1020"/>
        <w:spacing w:after="0"/>
        <w:tabs>
          <w:tab w:leader="none" w:pos="5440" w:val="left"/>
          <w:tab w:leader="none" w:pos="9420" w:val="left"/>
        </w:tabs>
        <w:rPr>
          <w:sz w:val="20"/>
          <w:szCs w:val="20"/>
          <w:color w:val="auto"/>
        </w:rPr>
      </w:pPr>
      <w:r>
        <w:rPr>
          <w:rFonts w:ascii="Arial" w:cs="Arial" w:eastAsia="Arial" w:hAnsi="Arial"/>
          <w:sz w:val="18"/>
          <w:szCs w:val="18"/>
          <w:b w:val="1"/>
          <w:bCs w:val="1"/>
          <w:color w:val="auto"/>
        </w:rPr>
        <w:t>BNP PARIBAS</w:t>
      </w:r>
      <w:r>
        <w:rPr>
          <w:sz w:val="20"/>
          <w:szCs w:val="20"/>
          <w:color w:val="auto"/>
        </w:rPr>
        <w:tab/>
      </w:r>
      <w:r>
        <w:rPr>
          <w:rFonts w:ascii="Arial" w:cs="Arial" w:eastAsia="Arial" w:hAnsi="Arial"/>
          <w:sz w:val="18"/>
          <w:szCs w:val="18"/>
          <w:b w:val="1"/>
          <w:bCs w:val="1"/>
          <w:color w:val="auto"/>
        </w:rPr>
        <w:t>Citigroup</w:t>
      </w:r>
      <w:r>
        <w:rPr>
          <w:sz w:val="20"/>
          <w:szCs w:val="20"/>
          <w:color w:val="auto"/>
        </w:rPr>
        <w:tab/>
      </w:r>
      <w:r>
        <w:rPr>
          <w:rFonts w:ascii="Arial" w:cs="Arial" w:eastAsia="Arial" w:hAnsi="Arial"/>
          <w:sz w:val="15"/>
          <w:szCs w:val="15"/>
          <w:b w:val="1"/>
          <w:bCs w:val="1"/>
          <w:color w:val="auto"/>
        </w:rPr>
        <w:t>Credit Suisse</w:t>
      </w:r>
    </w:p>
    <w:p>
      <w:pPr>
        <w:spacing w:after="0" w:line="27" w:lineRule="exact"/>
        <w:rPr>
          <w:sz w:val="20"/>
          <w:szCs w:val="20"/>
          <w:color w:val="auto"/>
        </w:rPr>
      </w:pPr>
    </w:p>
    <w:p>
      <w:pPr>
        <w:ind w:left="640"/>
        <w:spacing w:after="0"/>
        <w:tabs>
          <w:tab w:leader="none" w:pos="5160" w:val="left"/>
          <w:tab w:leader="none" w:pos="9080" w:val="left"/>
        </w:tabs>
        <w:rPr>
          <w:sz w:val="20"/>
          <w:szCs w:val="20"/>
          <w:color w:val="auto"/>
        </w:rPr>
      </w:pPr>
      <w:r>
        <w:rPr>
          <w:rFonts w:ascii="Arial" w:cs="Arial" w:eastAsia="Arial" w:hAnsi="Arial"/>
          <w:sz w:val="18"/>
          <w:szCs w:val="18"/>
          <w:b w:val="1"/>
          <w:bCs w:val="1"/>
          <w:color w:val="auto"/>
        </w:rPr>
        <w:t>Deutsche Bank Securities</w:t>
      </w:r>
      <w:r>
        <w:rPr>
          <w:sz w:val="20"/>
          <w:szCs w:val="20"/>
          <w:color w:val="auto"/>
        </w:rPr>
        <w:tab/>
      </w:r>
      <w:r>
        <w:rPr>
          <w:rFonts w:ascii="Arial" w:cs="Arial" w:eastAsia="Arial" w:hAnsi="Arial"/>
          <w:sz w:val="18"/>
          <w:szCs w:val="18"/>
          <w:b w:val="1"/>
          <w:bCs w:val="1"/>
          <w:color w:val="auto"/>
        </w:rPr>
        <w:t>Lloyds Securities</w:t>
      </w:r>
      <w:r>
        <w:rPr>
          <w:sz w:val="20"/>
          <w:szCs w:val="20"/>
          <w:color w:val="auto"/>
        </w:rPr>
        <w:tab/>
      </w:r>
      <w:r>
        <w:rPr>
          <w:rFonts w:ascii="Arial" w:cs="Arial" w:eastAsia="Arial" w:hAnsi="Arial"/>
          <w:sz w:val="17"/>
          <w:szCs w:val="17"/>
          <w:b w:val="1"/>
          <w:bCs w:val="1"/>
          <w:color w:val="auto"/>
        </w:rPr>
        <w:t>RBC Capital Markets</w:t>
      </w:r>
    </w:p>
    <w:p>
      <w:pPr>
        <w:spacing w:after="0" w:line="9" w:lineRule="exact"/>
        <w:rPr>
          <w:sz w:val="20"/>
          <w:szCs w:val="20"/>
          <w:color w:val="auto"/>
        </w:rPr>
      </w:pPr>
    </w:p>
    <w:p>
      <w:pPr>
        <w:ind w:left="1440"/>
        <w:spacing w:after="0"/>
        <w:tabs>
          <w:tab w:leader="none" w:pos="4600" w:val="left"/>
          <w:tab w:leader="none" w:pos="9400" w:val="left"/>
        </w:tabs>
        <w:rPr>
          <w:sz w:val="20"/>
          <w:szCs w:val="20"/>
          <w:color w:val="auto"/>
        </w:rPr>
      </w:pPr>
      <w:r>
        <w:rPr>
          <w:rFonts w:ascii="Arial" w:cs="Arial" w:eastAsia="Arial" w:hAnsi="Arial"/>
          <w:sz w:val="18"/>
          <w:szCs w:val="18"/>
          <w:b w:val="1"/>
          <w:bCs w:val="1"/>
          <w:color w:val="auto"/>
        </w:rPr>
        <w:t>RBS</w:t>
      </w:r>
      <w:r>
        <w:rPr>
          <w:sz w:val="20"/>
          <w:szCs w:val="20"/>
          <w:color w:val="auto"/>
        </w:rPr>
        <w:tab/>
      </w:r>
      <w:r>
        <w:rPr>
          <w:rFonts w:ascii="Arial" w:cs="Arial" w:eastAsia="Arial" w:hAnsi="Arial"/>
          <w:sz w:val="18"/>
          <w:szCs w:val="18"/>
          <w:b w:val="1"/>
          <w:bCs w:val="1"/>
          <w:color w:val="auto"/>
        </w:rPr>
        <w:t>Sandler O’Neill + Partners, L.P.</w:t>
      </w:r>
      <w:r>
        <w:rPr>
          <w:sz w:val="20"/>
          <w:szCs w:val="20"/>
          <w:color w:val="auto"/>
        </w:rPr>
        <w:tab/>
      </w:r>
      <w:r>
        <w:rPr>
          <w:rFonts w:ascii="Arial" w:cs="Arial" w:eastAsia="Arial" w:hAnsi="Arial"/>
          <w:sz w:val="16"/>
          <w:szCs w:val="16"/>
          <w:b w:val="1"/>
          <w:bCs w:val="1"/>
          <w:color w:val="auto"/>
        </w:rPr>
        <w:t>TD Securities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Co-Managers</w:t>
      </w:r>
    </w:p>
    <w:p>
      <w:pPr>
        <w:spacing w:after="0" w:line="127" w:lineRule="exact"/>
        <w:rPr>
          <w:sz w:val="20"/>
          <w:szCs w:val="20"/>
          <w:color w:val="auto"/>
        </w:rPr>
      </w:pPr>
    </w:p>
    <w:p>
      <w:pPr>
        <w:spacing w:after="0"/>
        <w:tabs>
          <w:tab w:leader="none" w:pos="5140" w:val="left"/>
          <w:tab w:leader="none" w:pos="10300" w:val="left"/>
        </w:tabs>
        <w:rPr>
          <w:sz w:val="20"/>
          <w:szCs w:val="20"/>
          <w:color w:val="auto"/>
        </w:rPr>
      </w:pPr>
      <w:r>
        <w:rPr>
          <w:rFonts w:ascii="Arial" w:cs="Arial" w:eastAsia="Arial" w:hAnsi="Arial"/>
          <w:sz w:val="14"/>
          <w:szCs w:val="14"/>
          <w:b w:val="1"/>
          <w:bCs w:val="1"/>
          <w:color w:val="auto"/>
        </w:rPr>
        <w:t>COMMERZBANK</w:t>
      </w:r>
      <w:r>
        <w:rPr>
          <w:sz w:val="20"/>
          <w:szCs w:val="20"/>
          <w:color w:val="auto"/>
        </w:rPr>
        <w:tab/>
      </w:r>
      <w:r>
        <w:rPr>
          <w:rFonts w:ascii="Arial" w:cs="Arial" w:eastAsia="Arial" w:hAnsi="Arial"/>
          <w:sz w:val="14"/>
          <w:szCs w:val="14"/>
          <w:b w:val="1"/>
          <w:bCs w:val="1"/>
          <w:color w:val="auto"/>
        </w:rPr>
        <w:t>Credit Agricole CIB</w:t>
      </w:r>
      <w:r>
        <w:rPr>
          <w:sz w:val="20"/>
          <w:szCs w:val="20"/>
          <w:color w:val="auto"/>
        </w:rPr>
        <w:tab/>
      </w:r>
      <w:r>
        <w:rPr>
          <w:rFonts w:ascii="Arial" w:cs="Arial" w:eastAsia="Arial" w:hAnsi="Arial"/>
          <w:sz w:val="12"/>
          <w:szCs w:val="12"/>
          <w:b w:val="1"/>
          <w:bCs w:val="1"/>
          <w:color w:val="auto"/>
        </w:rPr>
        <w:t>Mizuho Securities</w:t>
      </w:r>
    </w:p>
    <w:p>
      <w:pPr>
        <w:ind w:left="300"/>
        <w:spacing w:after="0"/>
        <w:tabs>
          <w:tab w:leader="none" w:pos="5040" w:val="left"/>
          <w:tab w:leader="none" w:pos="9680" w:val="left"/>
        </w:tabs>
        <w:rPr>
          <w:sz w:val="20"/>
          <w:szCs w:val="20"/>
          <w:color w:val="auto"/>
        </w:rPr>
      </w:pPr>
      <w:r>
        <w:rPr>
          <w:rFonts w:ascii="Arial" w:cs="Arial" w:eastAsia="Arial" w:hAnsi="Arial"/>
          <w:sz w:val="14"/>
          <w:szCs w:val="14"/>
          <w:b w:val="1"/>
          <w:bCs w:val="1"/>
          <w:color w:val="auto"/>
        </w:rPr>
        <w:t>SOCIETE GENERALE</w:t>
      </w:r>
      <w:r>
        <w:rPr>
          <w:sz w:val="20"/>
          <w:szCs w:val="20"/>
          <w:color w:val="auto"/>
        </w:rPr>
        <w:tab/>
      </w:r>
      <w:r>
        <w:rPr>
          <w:rFonts w:ascii="Arial" w:cs="Arial" w:eastAsia="Arial" w:hAnsi="Arial"/>
          <w:sz w:val="14"/>
          <w:szCs w:val="14"/>
          <w:b w:val="1"/>
          <w:bCs w:val="1"/>
          <w:color w:val="auto"/>
        </w:rPr>
        <w:t>Great Pacific Securities</w:t>
      </w:r>
      <w:r>
        <w:rPr>
          <w:sz w:val="20"/>
          <w:szCs w:val="20"/>
          <w:color w:val="auto"/>
        </w:rPr>
        <w:tab/>
      </w:r>
      <w:r>
        <w:rPr>
          <w:rFonts w:ascii="Arial" w:cs="Arial" w:eastAsia="Arial" w:hAnsi="Arial"/>
          <w:sz w:val="13"/>
          <w:szCs w:val="13"/>
          <w:b w:val="1"/>
          <w:bCs w:val="1"/>
          <w:color w:val="auto"/>
        </w:rPr>
        <w:t>C.L. King &amp; Associates</w:t>
      </w:r>
    </w:p>
    <w:p>
      <w:pPr>
        <w:ind w:left="580"/>
        <w:spacing w:after="0"/>
        <w:tabs>
          <w:tab w:leader="none" w:pos="8920" w:val="left"/>
        </w:tabs>
        <w:rPr>
          <w:sz w:val="20"/>
          <w:szCs w:val="20"/>
          <w:color w:val="auto"/>
        </w:rPr>
      </w:pPr>
      <w:r>
        <w:rPr>
          <w:rFonts w:ascii="Arial" w:cs="Arial" w:eastAsia="Arial" w:hAnsi="Arial"/>
          <w:sz w:val="14"/>
          <w:szCs w:val="14"/>
          <w:b w:val="1"/>
          <w:bCs w:val="1"/>
          <w:color w:val="auto"/>
        </w:rPr>
        <w:t>Blaylock Beal Van, LLC</w:t>
      </w:r>
      <w:r>
        <w:rPr>
          <w:sz w:val="20"/>
          <w:szCs w:val="20"/>
          <w:color w:val="auto"/>
        </w:rPr>
        <w:tab/>
      </w:r>
      <w:r>
        <w:rPr>
          <w:rFonts w:ascii="Arial" w:cs="Arial" w:eastAsia="Arial" w:hAnsi="Arial"/>
          <w:sz w:val="13"/>
          <w:szCs w:val="13"/>
          <w:b w:val="1"/>
          <w:bCs w:val="1"/>
          <w:color w:val="auto"/>
        </w:rPr>
        <w:t>Mischler Financial Group, Inc.</w:t>
      </w:r>
    </w:p>
    <w:p>
      <w:pPr>
        <w:sectPr>
          <w:pgSz w:w="11900" w:h="16838" w:orient="portrait"/>
          <w:cols w:equalWidth="0" w:num="1">
            <w:col w:w="11420"/>
          </w:cols>
          <w:pgMar w:left="240" w:top="459" w:right="239" w:bottom="1440" w:gutter="0" w:footer="0" w:header="0"/>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date of this prospectus supplement is November 4, 2014.</w:t>
      </w:r>
    </w:p>
    <w:p>
      <w:pPr>
        <w:sectPr>
          <w:pgSz w:w="11900" w:h="16838" w:orient="portrait"/>
          <w:cols w:equalWidth="0" w:num="1">
            <w:col w:w="11420"/>
          </w:cols>
          <w:pgMar w:left="240" w:top="459"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40" w:type="dxa"/>
            <w:vAlign w:val="bottom"/>
            <w:gridSpan w:val="2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480" w:type="dxa"/>
            <w:vAlign w:val="bottom"/>
          </w:tcPr>
          <w:p>
            <w:pPr>
              <w:spacing w:after="0"/>
              <w:rPr>
                <w:sz w:val="17"/>
                <w:szCs w:val="17"/>
                <w:color w:val="auto"/>
              </w:rPr>
            </w:pPr>
          </w:p>
        </w:tc>
      </w:tr>
      <w:tr>
        <w:trPr>
          <w:trHeight w:val="534"/>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8"/>
              </w:rPr>
              <w:t>TABLE OF CONTENTS</w:t>
            </w:r>
          </w:p>
        </w:tc>
        <w:tc>
          <w:tcPr>
            <w:tcW w:w="248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7"/>
              </w:rPr>
              <w:t>Prospectus Supplement</w:t>
            </w:r>
          </w:p>
        </w:tc>
        <w:tc>
          <w:tcPr>
            <w:tcW w:w="2480" w:type="dxa"/>
            <w:vAlign w:val="bottom"/>
          </w:tcPr>
          <w:p>
            <w:pPr>
              <w:spacing w:after="0"/>
              <w:rPr>
                <w:sz w:val="24"/>
                <w:szCs w:val="24"/>
                <w:color w:val="auto"/>
              </w:rPr>
            </w:pPr>
          </w:p>
        </w:tc>
      </w:tr>
      <w:tr>
        <w:trPr>
          <w:trHeight w:val="419"/>
        </w:trPr>
        <w:tc>
          <w:tcPr>
            <w:tcW w:w="25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About This Prospectus Supplement</w:t>
              </w:r>
            </w:hyperlink>
          </w:p>
        </w:tc>
        <w:tc>
          <w:tcPr>
            <w:tcW w:w="6280" w:type="dxa"/>
            <w:vAlign w:val="bottom"/>
            <w:gridSpan w:val="7"/>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884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640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7920" w:type="dxa"/>
            <w:vAlign w:val="bottom"/>
            <w:gridSpan w:val="2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Use of Proceeds</w:t>
              </w:r>
            </w:hyperlink>
          </w:p>
        </w:tc>
        <w:tc>
          <w:tcPr>
            <w:tcW w:w="766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8840" w:type="dxa"/>
            <w:vAlign w:val="bottom"/>
            <w:gridSpan w:val="2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Consolidated Ratio of Earnings to Fixed Charges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Description of the Notes</w:t>
              </w:r>
            </w:hyperlink>
          </w:p>
        </w:tc>
        <w:tc>
          <w:tcPr>
            <w:tcW w:w="1760" w:type="dxa"/>
            <w:vAlign w:val="bottom"/>
            <w:tcBorders>
              <w:top w:val="single" w:sz="8" w:color="0000EE"/>
            </w:tcBorders>
            <w:gridSpan w:val="10"/>
          </w:tcPr>
          <w:p>
            <w:pPr>
              <w:spacing w:after="0"/>
              <w:rPr>
                <w:sz w:val="17"/>
                <w:szCs w:val="17"/>
                <w:color w:val="auto"/>
              </w:rPr>
            </w:pPr>
          </w:p>
        </w:tc>
        <w:tc>
          <w:tcPr>
            <w:tcW w:w="5300" w:type="dxa"/>
            <w:vAlign w:val="bottom"/>
            <w:gridSpan w:val="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8840" w:type="dxa"/>
            <w:vAlign w:val="bottom"/>
            <w:gridSpan w:val="2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Certain U.S. Federal Tax Considerations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196"/>
        </w:trPr>
        <w:tc>
          <w:tcPr>
            <w:tcW w:w="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Underwriting</w:t>
              </w:r>
            </w:hyperlink>
          </w:p>
        </w:tc>
        <w:tc>
          <w:tcPr>
            <w:tcW w:w="1940" w:type="dxa"/>
            <w:vAlign w:val="bottom"/>
            <w:tcBorders>
              <w:top w:val="single" w:sz="8" w:color="0000EE"/>
            </w:tcBorders>
            <w:gridSpan w:val="16"/>
          </w:tcPr>
          <w:p>
            <w:pPr>
              <w:spacing w:after="0"/>
              <w:rPr>
                <w:sz w:val="17"/>
                <w:szCs w:val="17"/>
                <w:color w:val="auto"/>
              </w:rPr>
            </w:pPr>
          </w:p>
        </w:tc>
        <w:tc>
          <w:tcPr>
            <w:tcW w:w="592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Legal Matters</w:t>
              </w:r>
            </w:hyperlink>
          </w:p>
        </w:tc>
        <w:tc>
          <w:tcPr>
            <w:tcW w:w="782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196"/>
        </w:trPr>
        <w:tc>
          <w:tcPr>
            <w:tcW w:w="8840" w:type="dxa"/>
            <w:vAlign w:val="bottom"/>
            <w:gridSpan w:val="2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Incorporation of Certain Documents by Reference</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196"/>
        </w:trPr>
        <w:tc>
          <w:tcPr>
            <w:tcW w:w="36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522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5"/>
              </w:rPr>
              <w:t>Prospectus</w:t>
            </w:r>
          </w:p>
        </w:tc>
        <w:tc>
          <w:tcPr>
            <w:tcW w:w="2480" w:type="dxa"/>
            <w:vAlign w:val="bottom"/>
          </w:tcPr>
          <w:p>
            <w:pPr>
              <w:spacing w:after="0"/>
              <w:rPr>
                <w:sz w:val="24"/>
                <w:szCs w:val="24"/>
                <w:color w:val="auto"/>
              </w:rPr>
            </w:pPr>
          </w:p>
        </w:tc>
      </w:tr>
      <w:tr>
        <w:trPr>
          <w:trHeight w:val="419"/>
        </w:trPr>
        <w:tc>
          <w:tcPr>
            <w:tcW w:w="884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Incorporation of Certain Documents by Reference</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2700" w:type="dxa"/>
            <w:vAlign w:val="bottom"/>
            <w:tcBorders>
              <w:top w:val="single" w:sz="8" w:color="0000EE"/>
            </w:tcBorders>
            <w:gridSpan w:val="19"/>
          </w:tcPr>
          <w:p>
            <w:pPr>
              <w:spacing w:after="0"/>
              <w:rPr>
                <w:sz w:val="17"/>
                <w:szCs w:val="17"/>
                <w:color w:val="auto"/>
              </w:rPr>
            </w:pPr>
          </w:p>
        </w:tc>
        <w:tc>
          <w:tcPr>
            <w:tcW w:w="522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840" w:type="dxa"/>
            <w:vAlign w:val="bottom"/>
            <w:gridSpan w:val="2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General Motors Company</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840" w:type="dxa"/>
            <w:vAlign w:val="bottom"/>
            <w:gridSpan w:val="2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Ratio of Earnings to Fixed Charges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66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Consolidated Ratio of Earnings to Combined Fixed Charges and Preferred Stock Dividends</w:t>
              </w:r>
            </w:hyperlink>
          </w:p>
        </w:tc>
        <w:tc>
          <w:tcPr>
            <w:tcW w:w="224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766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40" w:type="dxa"/>
            <w:vAlign w:val="bottom"/>
            <w:gridSpan w:val="2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Forward-Looking Statements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6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Overview of Our Capital Stock</w:t>
              </w:r>
            </w:hyperlink>
          </w:p>
        </w:tc>
        <w:tc>
          <w:tcPr>
            <w:tcW w:w="6580" w:type="dxa"/>
            <w:vAlign w:val="bottom"/>
            <w:gridSpan w:val="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4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General Description of Securities That May Be Offered</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2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Description of Debt Securities</w:t>
              </w:r>
            </w:hyperlink>
          </w:p>
        </w:tc>
        <w:tc>
          <w:tcPr>
            <w:tcW w:w="1800" w:type="dxa"/>
            <w:vAlign w:val="bottom"/>
            <w:tcBorders>
              <w:top w:val="single" w:sz="8" w:color="0000EE"/>
            </w:tcBorders>
            <w:gridSpan w:val="9"/>
          </w:tcPr>
          <w:p>
            <w:pPr>
              <w:spacing w:after="0"/>
              <w:rPr>
                <w:sz w:val="17"/>
                <w:szCs w:val="17"/>
                <w:color w:val="auto"/>
              </w:rPr>
            </w:pPr>
          </w:p>
        </w:tc>
        <w:tc>
          <w:tcPr>
            <w:tcW w:w="484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Description of Preferred Stock</w:t>
              </w:r>
            </w:hyperlink>
          </w:p>
        </w:tc>
        <w:tc>
          <w:tcPr>
            <w:tcW w:w="6620" w:type="dxa"/>
            <w:vAlign w:val="bottom"/>
            <w:gridSpan w:val="1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Description of Common Stock</w:t>
              </w:r>
            </w:hyperlink>
          </w:p>
        </w:tc>
        <w:tc>
          <w:tcPr>
            <w:tcW w:w="6620" w:type="dxa"/>
            <w:vAlign w:val="bottom"/>
            <w:gridSpan w:val="1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7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Description of Warrants</w:t>
              </w:r>
            </w:hyperlink>
          </w:p>
        </w:tc>
        <w:tc>
          <w:tcPr>
            <w:tcW w:w="7100" w:type="dxa"/>
            <w:vAlign w:val="bottom"/>
            <w:gridSpan w:val="1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Plan of Distribution</w:t>
              </w:r>
            </w:hyperlink>
          </w:p>
        </w:tc>
        <w:tc>
          <w:tcPr>
            <w:tcW w:w="7400" w:type="dxa"/>
            <w:vAlign w:val="bottom"/>
            <w:gridSpan w:val="1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Legal Matters</w:t>
              </w:r>
            </w:hyperlink>
          </w:p>
        </w:tc>
        <w:tc>
          <w:tcPr>
            <w:tcW w:w="782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Experts</w:t>
              </w:r>
            </w:hyperlink>
          </w:p>
        </w:tc>
        <w:tc>
          <w:tcPr>
            <w:tcW w:w="8280" w:type="dxa"/>
            <w:vAlign w:val="bottom"/>
            <w:gridSpan w:val="2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Where You Can Find More Information</w:t>
              </w:r>
            </w:hyperlink>
          </w:p>
        </w:tc>
        <w:tc>
          <w:tcPr>
            <w:tcW w:w="596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46"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180" w:firstLine="799"/>
        <w:spacing w:after="0" w:line="255" w:lineRule="auto"/>
        <w:rPr>
          <w:sz w:val="20"/>
          <w:szCs w:val="20"/>
          <w:color w:val="auto"/>
        </w:rPr>
      </w:pPr>
      <w:r>
        <w:rPr>
          <w:rFonts w:ascii="Arial" w:cs="Arial" w:eastAsia="Arial" w:hAnsi="Arial"/>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any related free writing prospectus, and our current and periodic reports filed from time to time with the SEC, as well as the additional information described under “Incorporation of Certain Documents by Reference” and “Where You Can Find More Information” in this prospectus supplement and the accompanying prospectus, before making an investment decision.</w:t>
      </w:r>
    </w:p>
    <w:p>
      <w:pPr>
        <w:spacing w:after="0" w:line="189"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In this prospectus supplement, unless the context indicates otherwise, for the periods on or subsequent to July 10, 2009, references to “we,” “our,” “us,” “ourselves,” the “Company,” “General Motors,” or “GM” refer to General Motors Company and, where appropriate, its subsidiaries. However, in the “Prospectus Supplement Summary—The Offering,” “Risk Factors—Risks Related to the Notes,” “Description of the Notes” and “Underwriting” sections of this prospectus supplement, references to “we,” “our,” “us,” “ourselves,” the “Company,” the “Issuer,” “General Motors” or “GM” refer to General Motors Company (parent company only) and not to any of our subsidiaries. General Motors Company is the successor entity solely for accounting and financial reporting purposes to General Motors Corporation.</w:t>
      </w:r>
    </w:p>
    <w:p>
      <w:pPr>
        <w:spacing w:after="0" w:line="193"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to which we have referred you is accurate only as of their respective dates. Our business, financial condition, results of operations and prospects may have changed since those dates.</w:t>
      </w:r>
    </w:p>
    <w:p>
      <w:pPr>
        <w:spacing w:after="0" w:line="179" w:lineRule="exact"/>
        <w:rPr>
          <w:sz w:val="20"/>
          <w:szCs w:val="20"/>
          <w:color w:val="auto"/>
        </w:rPr>
      </w:pPr>
    </w:p>
    <w:p>
      <w:pPr>
        <w:jc w:val="both"/>
        <w:ind w:right="560" w:firstLine="799"/>
        <w:spacing w:after="0" w:line="264"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This prospectus supplement and the accompanying prospectus may include or incorporate by reference “forward-looking statements” within the meaning of Section 27A of the Securities Act of 1933, as amended (the “Securities Act”), and Section 21E of the Securities Exchange Act of 1934, as amended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supplement and the 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20" w:firstLine="775"/>
        <w:spacing w:after="0" w:line="293" w:lineRule="auto"/>
        <w:rPr>
          <w:sz w:val="20"/>
          <w:szCs w:val="20"/>
          <w:color w:val="auto"/>
        </w:rPr>
      </w:pPr>
      <w:r>
        <w:rPr>
          <w:rFonts w:ascii="Arial" w:cs="Arial" w:eastAsia="Arial" w:hAnsi="Arial"/>
          <w:sz w:val="16"/>
          <w:szCs w:val="16"/>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S-7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firstLine="775"/>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70" w:lineRule="exact"/>
        <w:rPr>
          <w:sz w:val="20"/>
          <w:szCs w:val="20"/>
          <w:color w:val="auto"/>
        </w:rPr>
      </w:pPr>
    </w:p>
    <w:p>
      <w:pPr>
        <w:ind w:left="200" w:right="500" w:firstLine="775"/>
        <w:spacing w:after="0" w:line="277"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 Europe (“GME”), GM International Operations and GM South America.</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200" w:firstLine="775"/>
        <w:spacing w:after="0" w:line="279" w:lineRule="auto"/>
        <w:rPr>
          <w:sz w:val="20"/>
          <w:szCs w:val="20"/>
          <w:color w:val="auto"/>
        </w:rPr>
      </w:pPr>
      <w:r>
        <w:rPr>
          <w:rFonts w:ascii="Arial" w:cs="Arial" w:eastAsia="Arial" w:hAnsi="Arial"/>
          <w:sz w:val="17"/>
          <w:szCs w:val="17"/>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and diversity and advanced propulsion technologies, including electric vehicles. Our business is diversified across products and geographic markets. We meet the local sales and service needs of our retail and fleet customers with a global network of independent dealers.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Automotive Financing—GM Financial</w:t>
      </w:r>
    </w:p>
    <w:p>
      <w:pPr>
        <w:spacing w:after="0" w:line="225" w:lineRule="exact"/>
        <w:rPr>
          <w:sz w:val="20"/>
          <w:szCs w:val="20"/>
          <w:color w:val="auto"/>
        </w:rPr>
      </w:pPr>
    </w:p>
    <w:p>
      <w:pPr>
        <w:ind w:left="200" w:right="60" w:firstLine="775"/>
        <w:spacing w:after="0" w:line="272" w:lineRule="auto"/>
        <w:rPr>
          <w:sz w:val="20"/>
          <w:szCs w:val="20"/>
          <w:color w:val="auto"/>
        </w:rPr>
      </w:pPr>
      <w:r>
        <w:rPr>
          <w:rFonts w:ascii="Arial" w:cs="Arial" w:eastAsia="Arial" w:hAnsi="Arial"/>
          <w:sz w:val="17"/>
          <w:szCs w:val="17"/>
          <w:color w:val="auto"/>
        </w:rPr>
        <w:t>GM Financial is a global provider of automobile financing solutions specializing in purchasing retail automobile installment sales contracts originated by GM and non-GM franchised and select independent dealers in connection with the sale of used and new automobiles. GM Financial also offers a lease financing product for new GM vehicles and a commercial lending program for GM-franchised dealerships. GM Financial primarily generates revenue and cash flows through the purchase, retention, securitization and servicing of finance receivables and leased assets. GM Financial completed the acquisitions of Ally Financial Inc.’s (“Ally Financial”) automotive finance and financial services businesses in Europe and Latin America during 2013. GM Financial expects to complete the acquisition of Ally Financial’s equity interest in its joint venture in China, which is subject to certain regulatory and other approvals, in late 2014 or as soon as practicable thereafter.</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200" w:right="40" w:firstLine="775"/>
        <w:spacing w:after="0" w:line="264"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supplement. We have included our website address in this prospectus supplement solely as a textual reference.</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78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500" w:firstLine="775"/>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Issuer</w:t>
            </w:r>
          </w:p>
        </w:tc>
        <w:tc>
          <w:tcPr>
            <w:tcW w:w="7840" w:type="dxa"/>
            <w:vAlign w:val="bottom"/>
          </w:tcPr>
          <w:p>
            <w:pPr>
              <w:ind w:left="1760"/>
              <w:spacing w:after="0"/>
              <w:rPr>
                <w:sz w:val="20"/>
                <w:szCs w:val="20"/>
                <w:color w:val="auto"/>
              </w:rPr>
            </w:pPr>
            <w:r>
              <w:rPr>
                <w:rFonts w:ascii="Arial" w:cs="Arial" w:eastAsia="Arial" w:hAnsi="Arial"/>
                <w:sz w:val="18"/>
                <w:szCs w:val="18"/>
                <w:color w:val="auto"/>
              </w:rPr>
              <w:t>General Motors Company</w:t>
            </w:r>
          </w:p>
        </w:tc>
      </w:tr>
      <w:tr>
        <w:trPr>
          <w:trHeight w:val="594"/>
        </w:trPr>
        <w:tc>
          <w:tcPr>
            <w:tcW w:w="3620" w:type="dxa"/>
            <w:vAlign w:val="bottom"/>
          </w:tcPr>
          <w:p>
            <w:pPr>
              <w:ind w:left="200"/>
              <w:spacing w:after="0"/>
              <w:rPr>
                <w:sz w:val="20"/>
                <w:szCs w:val="20"/>
                <w:color w:val="auto"/>
              </w:rPr>
            </w:pPr>
            <w:r>
              <w:rPr>
                <w:rFonts w:ascii="Arial" w:cs="Arial" w:eastAsia="Arial" w:hAnsi="Arial"/>
                <w:sz w:val="18"/>
                <w:szCs w:val="18"/>
                <w:color w:val="auto"/>
              </w:rPr>
              <w:t>Notes Offered</w:t>
            </w:r>
          </w:p>
        </w:tc>
        <w:tc>
          <w:tcPr>
            <w:tcW w:w="7840" w:type="dxa"/>
            <w:vAlign w:val="bottom"/>
          </w:tcPr>
          <w:p>
            <w:pPr>
              <w:ind w:left="1760"/>
              <w:spacing w:after="0"/>
              <w:rPr>
                <w:sz w:val="20"/>
                <w:szCs w:val="20"/>
                <w:color w:val="auto"/>
              </w:rPr>
            </w:pPr>
            <w:r>
              <w:rPr>
                <w:rFonts w:ascii="Arial" w:cs="Arial" w:eastAsia="Arial" w:hAnsi="Arial"/>
                <w:sz w:val="18"/>
                <w:szCs w:val="18"/>
                <w:color w:val="auto"/>
                <w:w w:val="95"/>
              </w:rPr>
              <w:t>$500,000,000 in aggregate principal amount of 4.000% Senior Notes due 2025,</w:t>
            </w:r>
          </w:p>
        </w:tc>
      </w:tr>
      <w:tr>
        <w:trPr>
          <w:trHeight w:val="458"/>
        </w:trPr>
        <w:tc>
          <w:tcPr>
            <w:tcW w:w="3620" w:type="dxa"/>
            <w:vAlign w:val="bottom"/>
          </w:tcPr>
          <w:p>
            <w:pPr>
              <w:spacing w:after="0"/>
              <w:rPr>
                <w:sz w:val="24"/>
                <w:szCs w:val="24"/>
                <w:color w:val="auto"/>
              </w:rPr>
            </w:pPr>
          </w:p>
        </w:tc>
        <w:tc>
          <w:tcPr>
            <w:tcW w:w="7840" w:type="dxa"/>
            <w:vAlign w:val="bottom"/>
          </w:tcPr>
          <w:p>
            <w:pPr>
              <w:ind w:left="1760"/>
              <w:spacing w:after="0"/>
              <w:rPr>
                <w:sz w:val="20"/>
                <w:szCs w:val="20"/>
                <w:color w:val="auto"/>
              </w:rPr>
            </w:pPr>
            <w:r>
              <w:rPr>
                <w:rFonts w:ascii="Arial" w:cs="Arial" w:eastAsia="Arial" w:hAnsi="Arial"/>
                <w:sz w:val="18"/>
                <w:szCs w:val="18"/>
                <w:color w:val="auto"/>
                <w:w w:val="95"/>
              </w:rPr>
              <w:t>$750,000,000 in aggregate principal amount of 5.000% Senior Notes due 2035,</w:t>
            </w:r>
          </w:p>
        </w:tc>
      </w:tr>
      <w:tr>
        <w:trPr>
          <w:trHeight w:val="230"/>
        </w:trPr>
        <w:tc>
          <w:tcPr>
            <w:tcW w:w="3620" w:type="dxa"/>
            <w:vAlign w:val="bottom"/>
          </w:tcPr>
          <w:p>
            <w:pPr>
              <w:spacing w:after="0"/>
              <w:rPr>
                <w:sz w:val="20"/>
                <w:szCs w:val="20"/>
                <w:color w:val="auto"/>
              </w:rPr>
            </w:pPr>
          </w:p>
        </w:tc>
        <w:tc>
          <w:tcPr>
            <w:tcW w:w="7840" w:type="dxa"/>
            <w:vAlign w:val="bottom"/>
          </w:tcPr>
          <w:p>
            <w:pPr>
              <w:ind w:left="1760"/>
              <w:spacing w:after="0"/>
              <w:rPr>
                <w:sz w:val="20"/>
                <w:szCs w:val="20"/>
                <w:color w:val="auto"/>
              </w:rPr>
            </w:pPr>
            <w:r>
              <w:rPr>
                <w:rFonts w:ascii="Arial" w:cs="Arial" w:eastAsia="Arial" w:hAnsi="Arial"/>
                <w:sz w:val="18"/>
                <w:szCs w:val="18"/>
                <w:color w:val="auto"/>
              </w:rPr>
              <w:t>and</w:t>
            </w:r>
          </w:p>
        </w:tc>
      </w:tr>
      <w:tr>
        <w:trPr>
          <w:trHeight w:val="459"/>
        </w:trPr>
        <w:tc>
          <w:tcPr>
            <w:tcW w:w="3620" w:type="dxa"/>
            <w:vAlign w:val="bottom"/>
          </w:tcPr>
          <w:p>
            <w:pPr>
              <w:spacing w:after="0"/>
              <w:rPr>
                <w:sz w:val="24"/>
                <w:szCs w:val="24"/>
                <w:color w:val="auto"/>
              </w:rPr>
            </w:pPr>
          </w:p>
        </w:tc>
        <w:tc>
          <w:tcPr>
            <w:tcW w:w="7840" w:type="dxa"/>
            <w:vAlign w:val="bottom"/>
          </w:tcPr>
          <w:p>
            <w:pPr>
              <w:ind w:left="1760"/>
              <w:spacing w:after="0"/>
              <w:rPr>
                <w:sz w:val="20"/>
                <w:szCs w:val="20"/>
                <w:color w:val="auto"/>
              </w:rPr>
            </w:pPr>
            <w:r>
              <w:rPr>
                <w:rFonts w:ascii="Arial" w:cs="Arial" w:eastAsia="Arial" w:hAnsi="Arial"/>
                <w:sz w:val="18"/>
                <w:szCs w:val="18"/>
                <w:color w:val="auto"/>
                <w:w w:val="93"/>
              </w:rPr>
              <w:t>$1,250,000,000 in aggregate principal amount of 5.200% Senior Notes due 2045.</w:t>
            </w:r>
          </w:p>
        </w:tc>
      </w:tr>
      <w:tr>
        <w:trPr>
          <w:trHeight w:val="459"/>
        </w:trPr>
        <w:tc>
          <w:tcPr>
            <w:tcW w:w="3620" w:type="dxa"/>
            <w:vAlign w:val="bottom"/>
          </w:tcPr>
          <w:p>
            <w:pPr>
              <w:ind w:left="200"/>
              <w:spacing w:after="0"/>
              <w:rPr>
                <w:sz w:val="20"/>
                <w:szCs w:val="20"/>
                <w:color w:val="auto"/>
              </w:rPr>
            </w:pPr>
            <w:r>
              <w:rPr>
                <w:rFonts w:ascii="Arial" w:cs="Arial" w:eastAsia="Arial" w:hAnsi="Arial"/>
                <w:sz w:val="18"/>
                <w:szCs w:val="18"/>
                <w:color w:val="auto"/>
              </w:rPr>
              <w:t>Original Issue Date</w:t>
            </w:r>
          </w:p>
        </w:tc>
        <w:tc>
          <w:tcPr>
            <w:tcW w:w="7840" w:type="dxa"/>
            <w:vAlign w:val="bottom"/>
          </w:tcPr>
          <w:p>
            <w:pPr>
              <w:ind w:left="1760"/>
              <w:spacing w:after="0"/>
              <w:rPr>
                <w:sz w:val="20"/>
                <w:szCs w:val="20"/>
                <w:color w:val="auto"/>
              </w:rPr>
            </w:pPr>
            <w:r>
              <w:rPr>
                <w:rFonts w:ascii="Arial" w:cs="Arial" w:eastAsia="Arial" w:hAnsi="Arial"/>
                <w:sz w:val="18"/>
                <w:szCs w:val="18"/>
                <w:color w:val="auto"/>
              </w:rPr>
              <w:t>November 12, 2014.</w:t>
            </w:r>
          </w:p>
        </w:tc>
      </w:tr>
      <w:tr>
        <w:trPr>
          <w:trHeight w:val="458"/>
        </w:trPr>
        <w:tc>
          <w:tcPr>
            <w:tcW w:w="3620" w:type="dxa"/>
            <w:vAlign w:val="bottom"/>
          </w:tcPr>
          <w:p>
            <w:pPr>
              <w:ind w:left="200"/>
              <w:spacing w:after="0"/>
              <w:rPr>
                <w:sz w:val="20"/>
                <w:szCs w:val="20"/>
                <w:color w:val="auto"/>
              </w:rPr>
            </w:pPr>
            <w:r>
              <w:rPr>
                <w:rFonts w:ascii="Arial" w:cs="Arial" w:eastAsia="Arial" w:hAnsi="Arial"/>
                <w:sz w:val="18"/>
                <w:szCs w:val="18"/>
                <w:color w:val="auto"/>
              </w:rPr>
              <w:t>Maturity Dates</w:t>
            </w:r>
          </w:p>
        </w:tc>
        <w:tc>
          <w:tcPr>
            <w:tcW w:w="7840" w:type="dxa"/>
            <w:vAlign w:val="bottom"/>
          </w:tcPr>
          <w:p>
            <w:pPr>
              <w:ind w:left="1760"/>
              <w:spacing w:after="0"/>
              <w:rPr>
                <w:sz w:val="20"/>
                <w:szCs w:val="20"/>
                <w:color w:val="auto"/>
              </w:rPr>
            </w:pPr>
            <w:r>
              <w:rPr>
                <w:rFonts w:ascii="Arial" w:cs="Arial" w:eastAsia="Arial" w:hAnsi="Arial"/>
                <w:sz w:val="18"/>
                <w:szCs w:val="18"/>
                <w:color w:val="auto"/>
              </w:rPr>
              <w:t>The 2025 Notes will mature on April 1, 2025, the 2035 Notes will mature on</w:t>
            </w:r>
          </w:p>
        </w:tc>
      </w:tr>
      <w:tr>
        <w:trPr>
          <w:trHeight w:val="230"/>
        </w:trPr>
        <w:tc>
          <w:tcPr>
            <w:tcW w:w="3620" w:type="dxa"/>
            <w:vAlign w:val="bottom"/>
          </w:tcPr>
          <w:p>
            <w:pPr>
              <w:spacing w:after="0"/>
              <w:rPr>
                <w:sz w:val="20"/>
                <w:szCs w:val="20"/>
                <w:color w:val="auto"/>
              </w:rPr>
            </w:pPr>
          </w:p>
        </w:tc>
        <w:tc>
          <w:tcPr>
            <w:tcW w:w="7840" w:type="dxa"/>
            <w:vAlign w:val="bottom"/>
          </w:tcPr>
          <w:p>
            <w:pPr>
              <w:ind w:left="1760"/>
              <w:spacing w:after="0"/>
              <w:rPr>
                <w:sz w:val="20"/>
                <w:szCs w:val="20"/>
                <w:color w:val="auto"/>
              </w:rPr>
            </w:pPr>
            <w:r>
              <w:rPr>
                <w:rFonts w:ascii="Arial" w:cs="Arial" w:eastAsia="Arial" w:hAnsi="Arial"/>
                <w:sz w:val="18"/>
                <w:szCs w:val="18"/>
                <w:color w:val="auto"/>
              </w:rPr>
              <w:t>April 1, 2035 and the 2045 Notes will mature on April 1, 2045.</w:t>
            </w:r>
          </w:p>
        </w:tc>
      </w:tr>
      <w:tr>
        <w:trPr>
          <w:trHeight w:val="445"/>
        </w:trPr>
        <w:tc>
          <w:tcPr>
            <w:tcW w:w="3620" w:type="dxa"/>
            <w:vAlign w:val="bottom"/>
          </w:tcPr>
          <w:p>
            <w:pPr>
              <w:ind w:left="200"/>
              <w:spacing w:after="0"/>
              <w:rPr>
                <w:sz w:val="20"/>
                <w:szCs w:val="20"/>
                <w:color w:val="auto"/>
              </w:rPr>
            </w:pPr>
            <w:r>
              <w:rPr>
                <w:rFonts w:ascii="Arial" w:cs="Arial" w:eastAsia="Arial" w:hAnsi="Arial"/>
                <w:sz w:val="18"/>
                <w:szCs w:val="18"/>
                <w:color w:val="auto"/>
              </w:rPr>
              <w:t>Interest Rates</w:t>
            </w:r>
          </w:p>
        </w:tc>
        <w:tc>
          <w:tcPr>
            <w:tcW w:w="7840" w:type="dxa"/>
            <w:vAlign w:val="bottom"/>
          </w:tcPr>
          <w:p>
            <w:pPr>
              <w:ind w:left="1760"/>
              <w:spacing w:after="0"/>
              <w:rPr>
                <w:sz w:val="20"/>
                <w:szCs w:val="20"/>
                <w:color w:val="auto"/>
              </w:rPr>
            </w:pPr>
            <w:r>
              <w:rPr>
                <w:rFonts w:ascii="Arial" w:cs="Arial" w:eastAsia="Arial" w:hAnsi="Arial"/>
                <w:sz w:val="18"/>
                <w:szCs w:val="18"/>
                <w:color w:val="auto"/>
                <w:w w:val="97"/>
              </w:rPr>
              <w:t>Interest on the 2025 Notes will accrue at a rate of 4.000% per year, interest on</w:t>
            </w:r>
          </w:p>
        </w:tc>
      </w:tr>
      <w:tr>
        <w:trPr>
          <w:trHeight w:val="216"/>
        </w:trPr>
        <w:tc>
          <w:tcPr>
            <w:tcW w:w="3620" w:type="dxa"/>
            <w:vAlign w:val="bottom"/>
          </w:tcPr>
          <w:p>
            <w:pPr>
              <w:spacing w:after="0"/>
              <w:rPr>
                <w:sz w:val="18"/>
                <w:szCs w:val="18"/>
                <w:color w:val="auto"/>
              </w:rPr>
            </w:pPr>
          </w:p>
        </w:tc>
        <w:tc>
          <w:tcPr>
            <w:tcW w:w="7840" w:type="dxa"/>
            <w:vAlign w:val="bottom"/>
          </w:tcPr>
          <w:p>
            <w:pPr>
              <w:ind w:left="1760"/>
              <w:spacing w:after="0"/>
              <w:rPr>
                <w:sz w:val="20"/>
                <w:szCs w:val="20"/>
                <w:color w:val="auto"/>
              </w:rPr>
            </w:pPr>
            <w:r>
              <w:rPr>
                <w:rFonts w:ascii="Arial" w:cs="Arial" w:eastAsia="Arial" w:hAnsi="Arial"/>
                <w:sz w:val="18"/>
                <w:szCs w:val="18"/>
                <w:color w:val="auto"/>
                <w:w w:val="94"/>
              </w:rPr>
              <w:t>the 2035 Notes will accrue at a rate of 5.000% per year and interest on the 2045</w:t>
            </w:r>
          </w:p>
        </w:tc>
      </w:tr>
      <w:tr>
        <w:trPr>
          <w:trHeight w:val="230"/>
        </w:trPr>
        <w:tc>
          <w:tcPr>
            <w:tcW w:w="3620" w:type="dxa"/>
            <w:vAlign w:val="bottom"/>
          </w:tcPr>
          <w:p>
            <w:pPr>
              <w:spacing w:after="0"/>
              <w:rPr>
                <w:sz w:val="20"/>
                <w:szCs w:val="20"/>
                <w:color w:val="auto"/>
              </w:rPr>
            </w:pPr>
          </w:p>
        </w:tc>
        <w:tc>
          <w:tcPr>
            <w:tcW w:w="7840" w:type="dxa"/>
            <w:vAlign w:val="bottom"/>
          </w:tcPr>
          <w:p>
            <w:pPr>
              <w:ind w:left="1760"/>
              <w:spacing w:after="0"/>
              <w:rPr>
                <w:sz w:val="20"/>
                <w:szCs w:val="20"/>
                <w:color w:val="auto"/>
              </w:rPr>
            </w:pPr>
            <w:r>
              <w:rPr>
                <w:rFonts w:ascii="Arial" w:cs="Arial" w:eastAsia="Arial" w:hAnsi="Arial"/>
                <w:sz w:val="18"/>
                <w:szCs w:val="18"/>
                <w:color w:val="auto"/>
              </w:rPr>
              <w:t>Notes will accrue at a rate of 5.200% per year.</w:t>
            </w:r>
          </w:p>
        </w:tc>
      </w:tr>
      <w:tr>
        <w:trPr>
          <w:trHeight w:val="445"/>
        </w:trPr>
        <w:tc>
          <w:tcPr>
            <w:tcW w:w="36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7840" w:type="dxa"/>
            <w:vAlign w:val="bottom"/>
          </w:tcPr>
          <w:p>
            <w:pPr>
              <w:ind w:left="1760"/>
              <w:spacing w:after="0"/>
              <w:rPr>
                <w:sz w:val="20"/>
                <w:szCs w:val="20"/>
                <w:color w:val="auto"/>
              </w:rPr>
            </w:pPr>
            <w:r>
              <w:rPr>
                <w:rFonts w:ascii="Arial" w:cs="Arial" w:eastAsia="Arial" w:hAnsi="Arial"/>
                <w:sz w:val="18"/>
                <w:szCs w:val="18"/>
                <w:color w:val="auto"/>
                <w:w w:val="99"/>
              </w:rPr>
              <w:t>Interest on the Notes will be paid semi-annually and in arrears on April 1 and</w:t>
            </w:r>
          </w:p>
        </w:tc>
      </w:tr>
      <w:tr>
        <w:trPr>
          <w:trHeight w:val="216"/>
        </w:trPr>
        <w:tc>
          <w:tcPr>
            <w:tcW w:w="3620" w:type="dxa"/>
            <w:vAlign w:val="bottom"/>
          </w:tcPr>
          <w:p>
            <w:pPr>
              <w:spacing w:after="0"/>
              <w:rPr>
                <w:sz w:val="18"/>
                <w:szCs w:val="18"/>
                <w:color w:val="auto"/>
              </w:rPr>
            </w:pPr>
          </w:p>
        </w:tc>
        <w:tc>
          <w:tcPr>
            <w:tcW w:w="7840" w:type="dxa"/>
            <w:vAlign w:val="bottom"/>
          </w:tcPr>
          <w:p>
            <w:pPr>
              <w:ind w:left="1760"/>
              <w:spacing w:after="0"/>
              <w:rPr>
                <w:sz w:val="20"/>
                <w:szCs w:val="20"/>
                <w:color w:val="auto"/>
              </w:rPr>
            </w:pPr>
            <w:r>
              <w:rPr>
                <w:rFonts w:ascii="Arial" w:cs="Arial" w:eastAsia="Arial" w:hAnsi="Arial"/>
                <w:sz w:val="18"/>
                <w:szCs w:val="18"/>
                <w:color w:val="auto"/>
                <w:w w:val="99"/>
              </w:rPr>
              <w:t>October 1, commencing on April 1, 2015. Interest will accrue from November</w:t>
            </w:r>
          </w:p>
        </w:tc>
      </w:tr>
      <w:tr>
        <w:trPr>
          <w:trHeight w:val="230"/>
        </w:trPr>
        <w:tc>
          <w:tcPr>
            <w:tcW w:w="3620" w:type="dxa"/>
            <w:vAlign w:val="bottom"/>
          </w:tcPr>
          <w:p>
            <w:pPr>
              <w:spacing w:after="0"/>
              <w:rPr>
                <w:sz w:val="20"/>
                <w:szCs w:val="20"/>
                <w:color w:val="auto"/>
              </w:rPr>
            </w:pPr>
          </w:p>
        </w:tc>
        <w:tc>
          <w:tcPr>
            <w:tcW w:w="7840" w:type="dxa"/>
            <w:vAlign w:val="bottom"/>
          </w:tcPr>
          <w:p>
            <w:pPr>
              <w:ind w:left="1760"/>
              <w:spacing w:after="0"/>
              <w:rPr>
                <w:sz w:val="20"/>
                <w:szCs w:val="20"/>
                <w:color w:val="auto"/>
              </w:rPr>
            </w:pPr>
            <w:r>
              <w:rPr>
                <w:rFonts w:ascii="Arial" w:cs="Arial" w:eastAsia="Arial" w:hAnsi="Arial"/>
                <w:sz w:val="18"/>
                <w:szCs w:val="18"/>
                <w:color w:val="auto"/>
              </w:rPr>
              <w:t>12, 2014.</w:t>
            </w:r>
          </w:p>
        </w:tc>
      </w:tr>
      <w:tr>
        <w:trPr>
          <w:trHeight w:val="459"/>
        </w:trPr>
        <w:tc>
          <w:tcPr>
            <w:tcW w:w="3620" w:type="dxa"/>
            <w:vAlign w:val="bottom"/>
          </w:tcPr>
          <w:p>
            <w:pPr>
              <w:ind w:left="200"/>
              <w:spacing w:after="0"/>
              <w:rPr>
                <w:sz w:val="20"/>
                <w:szCs w:val="20"/>
                <w:color w:val="auto"/>
              </w:rPr>
            </w:pPr>
            <w:r>
              <w:rPr>
                <w:rFonts w:ascii="Arial" w:cs="Arial" w:eastAsia="Arial" w:hAnsi="Arial"/>
                <w:sz w:val="18"/>
                <w:szCs w:val="18"/>
                <w:color w:val="auto"/>
              </w:rPr>
              <w:t>Ranking of the Notes</w:t>
            </w:r>
          </w:p>
        </w:tc>
        <w:tc>
          <w:tcPr>
            <w:tcW w:w="7840" w:type="dxa"/>
            <w:vAlign w:val="bottom"/>
          </w:tcPr>
          <w:p>
            <w:pPr>
              <w:ind w:left="1760"/>
              <w:spacing w:after="0"/>
              <w:rPr>
                <w:sz w:val="20"/>
                <w:szCs w:val="20"/>
                <w:color w:val="auto"/>
              </w:rPr>
            </w:pPr>
            <w:r>
              <w:rPr>
                <w:rFonts w:ascii="Arial" w:cs="Arial" w:eastAsia="Arial" w:hAnsi="Arial"/>
                <w:sz w:val="18"/>
                <w:szCs w:val="18"/>
                <w:color w:val="auto"/>
              </w:rPr>
              <w:t>The Notes will be our general unsecured obligations and will be:</w:t>
            </w:r>
          </w:p>
        </w:tc>
      </w:tr>
      <w:tr>
        <w:trPr>
          <w:trHeight w:val="458"/>
        </w:trPr>
        <w:tc>
          <w:tcPr>
            <w:tcW w:w="3620" w:type="dxa"/>
            <w:vAlign w:val="bottom"/>
          </w:tcPr>
          <w:p>
            <w:pPr>
              <w:spacing w:after="0"/>
              <w:rPr>
                <w:sz w:val="24"/>
                <w:szCs w:val="24"/>
                <w:color w:val="auto"/>
              </w:rPr>
            </w:pPr>
          </w:p>
        </w:tc>
        <w:tc>
          <w:tcPr>
            <w:tcW w:w="7840" w:type="dxa"/>
            <w:vAlign w:val="bottom"/>
          </w:tcPr>
          <w:p>
            <w:pPr>
              <w:ind w:left="2260"/>
              <w:spacing w:after="0"/>
              <w:rPr>
                <w:sz w:val="20"/>
                <w:szCs w:val="20"/>
                <w:color w:val="auto"/>
              </w:rPr>
            </w:pPr>
            <w:r>
              <w:rPr>
                <w:rFonts w:ascii="Arial" w:cs="Arial" w:eastAsia="Arial" w:hAnsi="Arial"/>
                <w:sz w:val="18"/>
                <w:szCs w:val="18"/>
                <w:color w:val="auto"/>
                <w:w w:val="98"/>
              </w:rPr>
              <w:t>• equal in right of payment to all of our existing and future indebtedness</w:t>
            </w:r>
          </w:p>
        </w:tc>
      </w:tr>
      <w:tr>
        <w:trPr>
          <w:trHeight w:val="216"/>
        </w:trPr>
        <w:tc>
          <w:tcPr>
            <w:tcW w:w="3620" w:type="dxa"/>
            <w:vAlign w:val="bottom"/>
          </w:tcPr>
          <w:p>
            <w:pPr>
              <w:spacing w:after="0"/>
              <w:rPr>
                <w:sz w:val="18"/>
                <w:szCs w:val="18"/>
                <w:color w:val="auto"/>
              </w:rPr>
            </w:pPr>
          </w:p>
        </w:tc>
        <w:tc>
          <w:tcPr>
            <w:tcW w:w="7840" w:type="dxa"/>
            <w:vAlign w:val="bottom"/>
          </w:tcPr>
          <w:p>
            <w:pPr>
              <w:ind w:left="2420"/>
              <w:spacing w:after="0"/>
              <w:rPr>
                <w:sz w:val="20"/>
                <w:szCs w:val="20"/>
                <w:color w:val="auto"/>
              </w:rPr>
            </w:pPr>
            <w:r>
              <w:rPr>
                <w:rFonts w:ascii="Arial" w:cs="Arial" w:eastAsia="Arial" w:hAnsi="Arial"/>
                <w:sz w:val="18"/>
                <w:szCs w:val="18"/>
                <w:color w:val="auto"/>
                <w:w w:val="93"/>
              </w:rPr>
              <w:t>and other obligations that are not, by their terms, expressly subordinated</w:t>
            </w:r>
          </w:p>
        </w:tc>
      </w:tr>
      <w:tr>
        <w:trPr>
          <w:trHeight w:val="230"/>
        </w:trPr>
        <w:tc>
          <w:tcPr>
            <w:tcW w:w="3620" w:type="dxa"/>
            <w:vAlign w:val="bottom"/>
          </w:tcPr>
          <w:p>
            <w:pPr>
              <w:spacing w:after="0"/>
              <w:rPr>
                <w:sz w:val="20"/>
                <w:szCs w:val="20"/>
                <w:color w:val="auto"/>
              </w:rPr>
            </w:pPr>
          </w:p>
        </w:tc>
        <w:tc>
          <w:tcPr>
            <w:tcW w:w="7840" w:type="dxa"/>
            <w:vAlign w:val="bottom"/>
          </w:tcPr>
          <w:p>
            <w:pPr>
              <w:ind w:left="2420"/>
              <w:spacing w:after="0"/>
              <w:rPr>
                <w:sz w:val="20"/>
                <w:szCs w:val="20"/>
                <w:color w:val="auto"/>
              </w:rPr>
            </w:pPr>
            <w:r>
              <w:rPr>
                <w:rFonts w:ascii="Arial" w:cs="Arial" w:eastAsia="Arial" w:hAnsi="Arial"/>
                <w:sz w:val="18"/>
                <w:szCs w:val="18"/>
                <w:color w:val="auto"/>
              </w:rPr>
              <w:t>in right of payment to the Notes;</w:t>
            </w:r>
          </w:p>
        </w:tc>
      </w:tr>
      <w:tr>
        <w:trPr>
          <w:trHeight w:val="445"/>
        </w:trPr>
        <w:tc>
          <w:tcPr>
            <w:tcW w:w="3620" w:type="dxa"/>
            <w:vAlign w:val="bottom"/>
          </w:tcPr>
          <w:p>
            <w:pPr>
              <w:spacing w:after="0"/>
              <w:rPr>
                <w:sz w:val="24"/>
                <w:szCs w:val="24"/>
                <w:color w:val="auto"/>
              </w:rPr>
            </w:pPr>
          </w:p>
        </w:tc>
        <w:tc>
          <w:tcPr>
            <w:tcW w:w="7840" w:type="dxa"/>
            <w:vAlign w:val="bottom"/>
          </w:tcPr>
          <w:p>
            <w:pPr>
              <w:ind w:left="2260"/>
              <w:spacing w:after="0"/>
              <w:rPr>
                <w:sz w:val="20"/>
                <w:szCs w:val="20"/>
                <w:color w:val="auto"/>
              </w:rPr>
            </w:pPr>
            <w:r>
              <w:rPr>
                <w:rFonts w:ascii="Arial" w:cs="Arial" w:eastAsia="Arial" w:hAnsi="Arial"/>
                <w:sz w:val="18"/>
                <w:szCs w:val="18"/>
                <w:color w:val="auto"/>
                <w:w w:val="97"/>
              </w:rPr>
              <w:t>• senior in right of payment to any of our existing or future indebtedness</w:t>
            </w:r>
          </w:p>
        </w:tc>
      </w:tr>
      <w:tr>
        <w:trPr>
          <w:trHeight w:val="216"/>
        </w:trPr>
        <w:tc>
          <w:tcPr>
            <w:tcW w:w="3620" w:type="dxa"/>
            <w:vAlign w:val="bottom"/>
          </w:tcPr>
          <w:p>
            <w:pPr>
              <w:spacing w:after="0"/>
              <w:rPr>
                <w:sz w:val="18"/>
                <w:szCs w:val="18"/>
                <w:color w:val="auto"/>
              </w:rPr>
            </w:pPr>
          </w:p>
        </w:tc>
        <w:tc>
          <w:tcPr>
            <w:tcW w:w="7840" w:type="dxa"/>
            <w:vAlign w:val="bottom"/>
          </w:tcPr>
          <w:p>
            <w:pPr>
              <w:ind w:left="2420"/>
              <w:spacing w:after="0"/>
              <w:rPr>
                <w:sz w:val="20"/>
                <w:szCs w:val="20"/>
                <w:color w:val="auto"/>
              </w:rPr>
            </w:pPr>
            <w:r>
              <w:rPr>
                <w:rFonts w:ascii="Arial" w:cs="Arial" w:eastAsia="Arial" w:hAnsi="Arial"/>
                <w:sz w:val="18"/>
                <w:szCs w:val="18"/>
                <w:color w:val="auto"/>
                <w:w w:val="95"/>
              </w:rPr>
              <w:t>and other obligations that are, by their terms, expressly subordinated in</w:t>
            </w:r>
          </w:p>
        </w:tc>
      </w:tr>
      <w:tr>
        <w:trPr>
          <w:trHeight w:val="230"/>
        </w:trPr>
        <w:tc>
          <w:tcPr>
            <w:tcW w:w="3620" w:type="dxa"/>
            <w:vAlign w:val="bottom"/>
          </w:tcPr>
          <w:p>
            <w:pPr>
              <w:spacing w:after="0"/>
              <w:rPr>
                <w:sz w:val="20"/>
                <w:szCs w:val="20"/>
                <w:color w:val="auto"/>
              </w:rPr>
            </w:pPr>
          </w:p>
        </w:tc>
        <w:tc>
          <w:tcPr>
            <w:tcW w:w="7840" w:type="dxa"/>
            <w:vAlign w:val="bottom"/>
          </w:tcPr>
          <w:p>
            <w:pPr>
              <w:ind w:left="2420"/>
              <w:spacing w:after="0"/>
              <w:rPr>
                <w:sz w:val="20"/>
                <w:szCs w:val="20"/>
                <w:color w:val="auto"/>
              </w:rPr>
            </w:pPr>
            <w:r>
              <w:rPr>
                <w:rFonts w:ascii="Arial" w:cs="Arial" w:eastAsia="Arial" w:hAnsi="Arial"/>
                <w:sz w:val="18"/>
                <w:szCs w:val="18"/>
                <w:color w:val="auto"/>
              </w:rPr>
              <w:t>right of payment to the Notes;</w:t>
            </w:r>
          </w:p>
        </w:tc>
      </w:tr>
      <w:tr>
        <w:trPr>
          <w:trHeight w:val="445"/>
        </w:trPr>
        <w:tc>
          <w:tcPr>
            <w:tcW w:w="3620" w:type="dxa"/>
            <w:vAlign w:val="bottom"/>
          </w:tcPr>
          <w:p>
            <w:pPr>
              <w:spacing w:after="0"/>
              <w:rPr>
                <w:sz w:val="24"/>
                <w:szCs w:val="24"/>
                <w:color w:val="auto"/>
              </w:rPr>
            </w:pPr>
          </w:p>
        </w:tc>
        <w:tc>
          <w:tcPr>
            <w:tcW w:w="7840" w:type="dxa"/>
            <w:vAlign w:val="bottom"/>
          </w:tcPr>
          <w:p>
            <w:pPr>
              <w:ind w:left="2260"/>
              <w:spacing w:after="0"/>
              <w:rPr>
                <w:sz w:val="20"/>
                <w:szCs w:val="20"/>
                <w:color w:val="auto"/>
              </w:rPr>
            </w:pPr>
            <w:r>
              <w:rPr>
                <w:rFonts w:ascii="Arial" w:cs="Arial" w:eastAsia="Arial" w:hAnsi="Arial"/>
                <w:sz w:val="18"/>
                <w:szCs w:val="18"/>
                <w:color w:val="auto"/>
                <w:w w:val="99"/>
              </w:rPr>
              <w:t>• effectively subordinated to all of our secured indebtedness and other</w:t>
            </w:r>
          </w:p>
        </w:tc>
      </w:tr>
      <w:tr>
        <w:trPr>
          <w:trHeight w:val="230"/>
        </w:trPr>
        <w:tc>
          <w:tcPr>
            <w:tcW w:w="3620" w:type="dxa"/>
            <w:vAlign w:val="bottom"/>
          </w:tcPr>
          <w:p>
            <w:pPr>
              <w:spacing w:after="0"/>
              <w:rPr>
                <w:sz w:val="20"/>
                <w:szCs w:val="20"/>
                <w:color w:val="auto"/>
              </w:rPr>
            </w:pPr>
          </w:p>
        </w:tc>
        <w:tc>
          <w:tcPr>
            <w:tcW w:w="7840" w:type="dxa"/>
            <w:vAlign w:val="bottom"/>
          </w:tcPr>
          <w:p>
            <w:pPr>
              <w:ind w:left="2420"/>
              <w:spacing w:after="0"/>
              <w:rPr>
                <w:sz w:val="20"/>
                <w:szCs w:val="20"/>
                <w:color w:val="auto"/>
              </w:rPr>
            </w:pPr>
            <w:r>
              <w:rPr>
                <w:rFonts w:ascii="Arial" w:cs="Arial" w:eastAsia="Arial" w:hAnsi="Arial"/>
                <w:sz w:val="18"/>
                <w:szCs w:val="18"/>
                <w:color w:val="auto"/>
              </w:rPr>
              <w:t>secured obligations to the</w:t>
            </w:r>
          </w:p>
        </w:tc>
      </w:tr>
      <w:tr>
        <w:trPr>
          <w:trHeight w:val="159"/>
        </w:trPr>
        <w:tc>
          <w:tcPr>
            <w:tcW w:w="3620" w:type="dxa"/>
            <w:vAlign w:val="bottom"/>
            <w:tcBorders>
              <w:bottom w:val="single" w:sz="8" w:color="auto"/>
            </w:tcBorders>
          </w:tcPr>
          <w:p>
            <w:pPr>
              <w:spacing w:after="0"/>
              <w:rPr>
                <w:sz w:val="13"/>
                <w:szCs w:val="13"/>
                <w:color w:val="auto"/>
              </w:rPr>
            </w:pPr>
          </w:p>
        </w:tc>
        <w:tc>
          <w:tcPr>
            <w:tcW w:w="7840" w:type="dxa"/>
            <w:vAlign w:val="bottom"/>
            <w:tcBorders>
              <w:bottom w:val="single" w:sz="8" w:color="auto"/>
            </w:tcBorders>
          </w:tcPr>
          <w:p>
            <w:pPr>
              <w:spacing w:after="0"/>
              <w:rPr>
                <w:sz w:val="13"/>
                <w:szCs w:val="13"/>
                <w:color w:val="auto"/>
              </w:rPr>
            </w:pPr>
          </w:p>
        </w:tc>
      </w:tr>
      <w:tr>
        <w:trPr>
          <w:trHeight w:val="361"/>
        </w:trPr>
        <w:tc>
          <w:tcPr>
            <w:tcW w:w="3620" w:type="dxa"/>
            <w:vAlign w:val="bottom"/>
          </w:tcPr>
          <w:p>
            <w:pPr>
              <w:spacing w:after="0"/>
              <w:rPr>
                <w:sz w:val="24"/>
                <w:szCs w:val="24"/>
                <w:color w:val="auto"/>
              </w:rPr>
            </w:pPr>
          </w:p>
        </w:tc>
        <w:tc>
          <w:tcPr>
            <w:tcW w:w="7840" w:type="dxa"/>
            <w:vAlign w:val="bottom"/>
          </w:tcPr>
          <w:p>
            <w:pPr>
              <w:ind w:left="19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68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2380"/>
              <w:spacing w:after="0"/>
              <w:rPr>
                <w:sz w:val="20"/>
                <w:szCs w:val="20"/>
                <w:color w:val="auto"/>
              </w:rPr>
            </w:pPr>
            <w:r>
              <w:rPr>
                <w:rFonts w:ascii="Arial" w:cs="Arial" w:eastAsia="Arial" w:hAnsi="Arial"/>
                <w:sz w:val="18"/>
                <w:szCs w:val="18"/>
                <w:color w:val="auto"/>
                <w:w w:val="93"/>
              </w:rPr>
              <w:t>extent of the value of the assets securing such secured indebtedness or</w:t>
            </w:r>
          </w:p>
        </w:tc>
      </w:tr>
      <w:tr>
        <w:trPr>
          <w:trHeight w:val="230"/>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2380"/>
              <w:spacing w:after="0"/>
              <w:rPr>
                <w:sz w:val="20"/>
                <w:szCs w:val="20"/>
                <w:color w:val="auto"/>
              </w:rPr>
            </w:pPr>
            <w:r>
              <w:rPr>
                <w:rFonts w:ascii="Arial" w:cs="Arial" w:eastAsia="Arial" w:hAnsi="Arial"/>
                <w:sz w:val="18"/>
                <w:szCs w:val="18"/>
                <w:color w:val="auto"/>
              </w:rPr>
              <w:t>other secured obligations; and</w:t>
            </w:r>
          </w:p>
        </w:tc>
      </w:tr>
      <w:tr>
        <w:trPr>
          <w:trHeight w:val="445"/>
        </w:trPr>
        <w:tc>
          <w:tcPr>
            <w:tcW w:w="368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9"/>
              </w:rPr>
              <w:t>• structurally subordinated to all indebtedness and other obligations of</w:t>
            </w:r>
          </w:p>
        </w:tc>
      </w:tr>
      <w:tr>
        <w:trPr>
          <w:trHeight w:val="230"/>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our subsidiaries.</w:t>
            </w:r>
          </w:p>
        </w:tc>
      </w:tr>
      <w:tr>
        <w:trPr>
          <w:trHeight w:val="445"/>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3"/>
              </w:rPr>
              <w:t>We may, at our option, redeem the Notes in whole or in part at any time and from</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6"/>
              </w:rPr>
              <w:t>time to time at redemption prices of 100% of their respective principal amounts</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8"/>
              </w:rPr>
              <w:t>plus an applicable “make-whole” premium as described under “Description of</w:t>
            </w:r>
          </w:p>
        </w:tc>
      </w:tr>
      <w:tr>
        <w:trPr>
          <w:trHeight w:val="230"/>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the Notes—Optional Redemption.”</w:t>
            </w:r>
          </w:p>
        </w:tc>
      </w:tr>
      <w:tr>
        <w:trPr>
          <w:trHeight w:val="445"/>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Covenants</w:t>
            </w: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6"/>
              </w:rPr>
              <w:t>The Notes will be issued under the Indenture, which will contain covenants that</w:t>
            </w:r>
          </w:p>
        </w:tc>
      </w:tr>
      <w:tr>
        <w:trPr>
          <w:trHeight w:val="230"/>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will limit:</w:t>
            </w:r>
          </w:p>
        </w:tc>
      </w:tr>
      <w:tr>
        <w:trPr>
          <w:trHeight w:val="445"/>
        </w:trPr>
        <w:tc>
          <w:tcPr>
            <w:tcW w:w="368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9"/>
              </w:rPr>
              <w:t>• the ability of GM and certain of its subsidiaries to incur indebtedness</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8"/>
              </w:rPr>
              <w:t>secured by certain principal domestic manufacturing properties or by</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rPr>
              <w:t>any shares of stock or indebtedness of certain manufacturing</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7"/>
              </w:rPr>
              <w:t>subsidiaries and to enter into certain sale and leaseback transactions</w:t>
            </w:r>
          </w:p>
        </w:tc>
      </w:tr>
      <w:tr>
        <w:trPr>
          <w:trHeight w:val="230"/>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4"/>
              </w:rPr>
              <w:t>with respect to certain principal domestic manufacturing properties; and</w:t>
            </w:r>
          </w:p>
        </w:tc>
      </w:tr>
      <w:tr>
        <w:trPr>
          <w:trHeight w:val="445"/>
        </w:trPr>
        <w:tc>
          <w:tcPr>
            <w:tcW w:w="368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2200"/>
              <w:spacing w:after="0"/>
              <w:rPr>
                <w:sz w:val="20"/>
                <w:szCs w:val="20"/>
                <w:color w:val="auto"/>
              </w:rPr>
            </w:pPr>
            <w:r>
              <w:rPr>
                <w:rFonts w:ascii="Arial" w:cs="Arial" w:eastAsia="Arial" w:hAnsi="Arial"/>
                <w:sz w:val="18"/>
                <w:szCs w:val="18"/>
                <w:color w:val="auto"/>
                <w:w w:val="97"/>
              </w:rPr>
              <w:t>• the ability of GM to enter into certain mergers or certain conveyances,</w:t>
            </w:r>
          </w:p>
        </w:tc>
      </w:tr>
      <w:tr>
        <w:trPr>
          <w:trHeight w:val="230"/>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2360"/>
              <w:spacing w:after="0"/>
              <w:rPr>
                <w:sz w:val="20"/>
                <w:szCs w:val="20"/>
                <w:color w:val="auto"/>
              </w:rPr>
            </w:pPr>
            <w:r>
              <w:rPr>
                <w:rFonts w:ascii="Arial" w:cs="Arial" w:eastAsia="Arial" w:hAnsi="Arial"/>
                <w:sz w:val="18"/>
                <w:szCs w:val="18"/>
                <w:color w:val="auto"/>
                <w:w w:val="95"/>
              </w:rPr>
              <w:t>transfers or leases of all or substantially all of its properties and assets.</w:t>
            </w:r>
          </w:p>
        </w:tc>
      </w:tr>
      <w:tr>
        <w:trPr>
          <w:trHeight w:val="445"/>
        </w:trPr>
        <w:tc>
          <w:tcPr>
            <w:tcW w:w="368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Each of these covenants, however, is subject to significant exceptions. See</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8"/>
              </w:rPr>
              <w:t>“Description of the Notes—Certain Covenants” in this prospectus supplement</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7"/>
              </w:rPr>
              <w:t>and “Description of Debt Securities—Consolidation, Merger or Sale of Assets”</w:t>
            </w:r>
          </w:p>
        </w:tc>
      </w:tr>
      <w:tr>
        <w:trPr>
          <w:trHeight w:val="230"/>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in the accompanying prospectus.</w:t>
            </w:r>
          </w:p>
        </w:tc>
      </w:tr>
      <w:tr>
        <w:trPr>
          <w:trHeight w:val="445"/>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5"/>
              </w:rPr>
              <w:t>The Indenture does not limit the amount of Notes which we may issue. We may</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issue additional Notes up to an aggregate principal amount as our board of</w:t>
            </w:r>
          </w:p>
        </w:tc>
      </w:tr>
      <w:tr>
        <w:trPr>
          <w:trHeight w:val="230"/>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directors may authorize from time to time.</w:t>
            </w:r>
          </w:p>
        </w:tc>
      </w:tr>
      <w:tr>
        <w:trPr>
          <w:trHeight w:val="445"/>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No Prior Market</w:t>
            </w: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6"/>
              </w:rPr>
              <w:t>The Notes will be new securities for which there is currently no existing market.</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The Notes will not be listed on any securities exchange. Although the</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5"/>
              </w:rPr>
              <w:t>underwriters have advised us that they currently intend to make a market in the</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6"/>
              </w:rPr>
              <w:t>Notes, they are not obligated to do so and may discontinue any market-making</w:t>
            </w:r>
          </w:p>
        </w:tc>
      </w:tr>
      <w:tr>
        <w:trPr>
          <w:trHeight w:val="216"/>
        </w:trPr>
        <w:tc>
          <w:tcPr>
            <w:tcW w:w="368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w w:val="94"/>
              </w:rPr>
              <w:t>activities at any time without notice. Accordingly, we cannot assure you as to the</w:t>
            </w:r>
          </w:p>
        </w:tc>
      </w:tr>
      <w:tr>
        <w:trPr>
          <w:trHeight w:val="230"/>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liquidity of, or the trading market for, the Notes.</w:t>
            </w:r>
          </w:p>
        </w:tc>
      </w:tr>
      <w:tr>
        <w:trPr>
          <w:trHeight w:val="445"/>
        </w:trPr>
        <w:tc>
          <w:tcPr>
            <w:tcW w:w="36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Form and Denomination</w:t>
            </w: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The Notes will be issued in fully registered form and will be represented by</w:t>
            </w:r>
          </w:p>
        </w:tc>
      </w:tr>
      <w:tr>
        <w:trPr>
          <w:trHeight w:val="230"/>
        </w:trPr>
        <w:tc>
          <w:tcPr>
            <w:tcW w:w="368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global notes without interest coupons.</w:t>
            </w:r>
          </w:p>
        </w:tc>
      </w:tr>
      <w:tr>
        <w:trPr>
          <w:trHeight w:val="159"/>
        </w:trPr>
        <w:tc>
          <w:tcPr>
            <w:tcW w:w="3680" w:type="dxa"/>
            <w:vAlign w:val="bottom"/>
            <w:tcBorders>
              <w:left w:val="single" w:sz="8" w:color="auto"/>
              <w:bottom w:val="single" w:sz="8" w:color="auto"/>
            </w:tcBorders>
          </w:tcPr>
          <w:p>
            <w:pPr>
              <w:spacing w:after="0"/>
              <w:rPr>
                <w:sz w:val="13"/>
                <w:szCs w:val="13"/>
                <w:color w:val="auto"/>
              </w:rPr>
            </w:pPr>
          </w:p>
        </w:tc>
        <w:tc>
          <w:tcPr>
            <w:tcW w:w="7780" w:type="dxa"/>
            <w:vAlign w:val="bottom"/>
            <w:tcBorders>
              <w:bottom w:val="single" w:sz="8" w:color="auto"/>
              <w:right w:val="single" w:sz="8" w:color="auto"/>
            </w:tcBorders>
          </w:tcPr>
          <w:p>
            <w:pPr>
              <w:spacing w:after="0"/>
              <w:rPr>
                <w:sz w:val="13"/>
                <w:szCs w:val="13"/>
                <w:color w:val="auto"/>
              </w:rPr>
            </w:pPr>
          </w:p>
        </w:tc>
      </w:tr>
      <w:tr>
        <w:trPr>
          <w:trHeight w:val="361"/>
        </w:trPr>
        <w:tc>
          <w:tcPr>
            <w:tcW w:w="3680" w:type="dxa"/>
            <w:vAlign w:val="bottom"/>
          </w:tcPr>
          <w:p>
            <w:pPr>
              <w:spacing w:after="0"/>
              <w:rPr>
                <w:sz w:val="24"/>
                <w:szCs w:val="24"/>
                <w:color w:val="auto"/>
              </w:rPr>
            </w:pPr>
          </w:p>
        </w:tc>
        <w:tc>
          <w:tcPr>
            <w:tcW w:w="7780" w:type="dxa"/>
            <w:vAlign w:val="bottom"/>
          </w:tcPr>
          <w:p>
            <w:pPr>
              <w:ind w:left="19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380" w:type="dxa"/>
            <w:vAlign w:val="bottom"/>
            <w:tcBorders>
              <w:top w:val="single" w:sz="8" w:color="auto"/>
              <w:left w:val="single" w:sz="8" w:color="auto"/>
            </w:tcBorders>
          </w:tcPr>
          <w:p>
            <w:pPr>
              <w:spacing w:after="0"/>
              <w:rPr>
                <w:sz w:val="24"/>
                <w:szCs w:val="24"/>
                <w:color w:val="auto"/>
              </w:rPr>
            </w:pPr>
          </w:p>
        </w:tc>
        <w:tc>
          <w:tcPr>
            <w:tcW w:w="808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The global notes will be deposited with a custodian for and registered in the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name of a nominee of The Depository Trust Company (“DTC”) in New York,</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5"/>
              </w:rPr>
              <w:t>New York. Investors may elect to hold interests in the global notes through DTC</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9"/>
              </w:rPr>
              <w:t>and its direct or indirect participants as described under “Description of Debt</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Securities—Book-Entry; Delivery and Form; Global Securities” in the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accompanying prospectus. The Notes will be issued only in minimum</w:t>
            </w:r>
          </w:p>
        </w:tc>
      </w:tr>
      <w:tr>
        <w:trPr>
          <w:trHeight w:val="230"/>
        </w:trPr>
        <w:tc>
          <w:tcPr>
            <w:tcW w:w="338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denominations of $2,000 and integral multiples of $1,000 in excess thereof.</w:t>
            </w:r>
          </w:p>
        </w:tc>
      </w:tr>
      <w:tr>
        <w:trPr>
          <w:trHeight w:val="473"/>
        </w:trPr>
        <w:tc>
          <w:tcPr>
            <w:tcW w:w="33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The Bank of New York Mellon (the “Trustee”).</w:t>
            </w:r>
          </w:p>
        </w:tc>
      </w:tr>
      <w:tr>
        <w:trPr>
          <w:trHeight w:val="458"/>
        </w:trPr>
        <w:tc>
          <w:tcPr>
            <w:tcW w:w="33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We intend to use the net proceeds from this offering to pay a portion of the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8"/>
              </w:rPr>
              <w:t>redemption price to redeem all of the approximately 156.1 million outstanding</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3"/>
              </w:rPr>
              <w:t>shares of our Series A Fixed Rate Cumulative Perpetual Preferred Stock (“Series</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A Preferred Stock”) on or after December 31, 2014. If we redeem all of the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7"/>
              </w:rPr>
              <w:t>outstanding shares of our Series A Preferred Stock, the total redemption price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7"/>
              </w:rPr>
              <w:t>would be their aggregate base liquidation amount of approximately $3.9 billion</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3"/>
              </w:rPr>
              <w:t>plus any accrued and unpaid dividends. We expect that we would use other cash</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8"/>
              </w:rPr>
              <w:t>on hand to fund any portion of the Series A Preferred Stock redemption price</w:t>
            </w:r>
          </w:p>
        </w:tc>
      </w:tr>
      <w:tr>
        <w:trPr>
          <w:trHeight w:val="230"/>
        </w:trPr>
        <w:tc>
          <w:tcPr>
            <w:tcW w:w="338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that exceeds our net proceeds from this offering.</w:t>
            </w:r>
          </w:p>
        </w:tc>
      </w:tr>
      <w:tr>
        <w:trPr>
          <w:trHeight w:val="445"/>
        </w:trPr>
        <w:tc>
          <w:tcPr>
            <w:tcW w:w="338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3"/>
              </w:rPr>
              <w:t>Although we intend to redeem all of our outstanding shares of Series A Preferred</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2"/>
              </w:rPr>
              <w:t>Stock when they become redeemable, we are not obligated to redeem the shares.</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6"/>
              </w:rPr>
              <w:t>In the event that we do not use all of the net proceeds from this offering to fund</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3"/>
              </w:rPr>
              <w:t>the redemption of outstanding shares of Series A Preferred Stock, we expect that</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5"/>
              </w:rPr>
              <w:t>we would use any such remaining net proceeds for general corporate purposes.</w:t>
            </w:r>
          </w:p>
        </w:tc>
      </w:tr>
      <w:tr>
        <w:trPr>
          <w:trHeight w:val="230"/>
        </w:trPr>
        <w:tc>
          <w:tcPr>
            <w:tcW w:w="338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See “Use of Proceeds.”</w:t>
            </w:r>
          </w:p>
        </w:tc>
      </w:tr>
      <w:tr>
        <w:trPr>
          <w:trHeight w:val="445"/>
        </w:trPr>
        <w:tc>
          <w:tcPr>
            <w:tcW w:w="33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5"/>
              </w:rPr>
              <w:t>See “Risk Factors” beginning on page S-7 of this prospectus supplement, in the</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4"/>
              </w:rPr>
              <w:t>accompanying prospectus and in our periodic reports filed from time to time with</w:t>
            </w:r>
          </w:p>
        </w:tc>
      </w:tr>
      <w:tr>
        <w:trPr>
          <w:trHeight w:val="216"/>
        </w:trPr>
        <w:tc>
          <w:tcPr>
            <w:tcW w:w="338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6"/>
              </w:rPr>
              <w:t>the SEC for a discussion of risks you should carefully consider before deciding</w:t>
            </w:r>
          </w:p>
        </w:tc>
      </w:tr>
      <w:tr>
        <w:trPr>
          <w:trHeight w:val="230"/>
        </w:trPr>
        <w:tc>
          <w:tcPr>
            <w:tcW w:w="338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to invest in the Notes.</w:t>
            </w:r>
          </w:p>
        </w:tc>
      </w:tr>
      <w:tr>
        <w:trPr>
          <w:trHeight w:val="159"/>
        </w:trPr>
        <w:tc>
          <w:tcPr>
            <w:tcW w:w="3380" w:type="dxa"/>
            <w:vAlign w:val="bottom"/>
            <w:tcBorders>
              <w:left w:val="single" w:sz="8" w:color="auto"/>
              <w:bottom w:val="single" w:sz="8" w:color="auto"/>
            </w:tcBorders>
          </w:tcPr>
          <w:p>
            <w:pPr>
              <w:spacing w:after="0"/>
              <w:rPr>
                <w:sz w:val="13"/>
                <w:szCs w:val="13"/>
                <w:color w:val="auto"/>
              </w:rPr>
            </w:pPr>
          </w:p>
        </w:tc>
        <w:tc>
          <w:tcPr>
            <w:tcW w:w="8080" w:type="dxa"/>
            <w:vAlign w:val="bottom"/>
            <w:tcBorders>
              <w:bottom w:val="single" w:sz="8" w:color="auto"/>
              <w:right w:val="single" w:sz="8" w:color="auto"/>
            </w:tcBorders>
          </w:tcPr>
          <w:p>
            <w:pPr>
              <w:spacing w:after="0"/>
              <w:rPr>
                <w:sz w:val="13"/>
                <w:szCs w:val="13"/>
                <w:color w:val="auto"/>
              </w:rPr>
            </w:pPr>
          </w:p>
        </w:tc>
      </w:tr>
      <w:tr>
        <w:trPr>
          <w:trHeight w:val="361"/>
        </w:trPr>
        <w:tc>
          <w:tcPr>
            <w:tcW w:w="3380" w:type="dxa"/>
            <w:vAlign w:val="bottom"/>
          </w:tcPr>
          <w:p>
            <w:pPr>
              <w:spacing w:after="0"/>
              <w:rPr>
                <w:sz w:val="24"/>
                <w:szCs w:val="24"/>
                <w:color w:val="auto"/>
              </w:rPr>
            </w:pPr>
          </w:p>
        </w:tc>
        <w:tc>
          <w:tcPr>
            <w:tcW w:w="8080" w:type="dxa"/>
            <w:vAlign w:val="bottom"/>
          </w:tcPr>
          <w:p>
            <w:pPr>
              <w:ind w:left="22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229" w:lineRule="exact"/>
        <w:rPr>
          <w:sz w:val="20"/>
          <w:szCs w:val="20"/>
          <w:color w:val="auto"/>
        </w:rPr>
      </w:pPr>
    </w:p>
    <w:p>
      <w:pPr>
        <w:ind w:left="200" w:right="40" w:firstLine="775"/>
        <w:spacing w:after="0" w:line="286" w:lineRule="auto"/>
        <w:rPr>
          <w:sz w:val="20"/>
          <w:szCs w:val="20"/>
          <w:color w:val="auto"/>
        </w:rPr>
      </w:pPr>
      <w:r>
        <w:rPr>
          <w:rFonts w:ascii="Arial" w:cs="Arial" w:eastAsia="Arial" w:hAnsi="Arial"/>
          <w:sz w:val="16"/>
          <w:szCs w:val="16"/>
          <w:color w:val="auto"/>
        </w:rPr>
        <w:t>The following table presents summary consolidated financial data of GM and its consolidated subsidiaries. The summary consolidated financial data for the years ended December 31, 2013, 2012 and 2011 and as of December 31, 2013 and 2012 presented below were derived from GM’s audited annual consolidated financial statements and the notes thereto appearing in our Annual Report on Form 10-K for the year ended December 31, 2013, which is incorporated by reference in this prospectus supplement. The audited annual consolidated financial statements for the years ended December 31, 2013, 2012 and 2011 and as of December 31, 2013 and 2012 have been audited by Deloitte &amp; Touche LLP. The summary consolidated financial data as of December 31, 2011 presented below were derived from GM’s audited annual consolidated financial statements and the notes thereto, which are not incorporated by reference into this prospectus supplement. The summary interim consolidated financial data as of and for the nine months ended September 30, 2014 and 2013 presented below were derived from GM’s unaudited condensed consolidated financial statements and the notes thereto appearing in our Quarterly Report on Form 10-Q for the quarter ended September 30, 2014, which is incorporated by reference in this prospectus supplement. You should read the following information in conjunction with the section entitled “Management’s Discussion and Analysis of Financial Condition and Results of Operations” and GM’s consolidated financial statements and notes thereto included in our Annual Report on Form 10-K for the year ended December 31, 2013 and our Quarterly Report on Form 10-Q for the quarter ended September 30, 2014, which are incorporated by reference in this prospectus supplement. See “Incorporation of Certain Documents by Reference” and “Where You Can Find More Information.”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Selected financial data is summarized in the following table (dollars in millions except per share amounts):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58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Statement Data:</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Total net sales and revenue(a)</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116,312</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114,942</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155,427</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152,256</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150,276</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operations(b)</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2,009</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4,278</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5,331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6,136</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9,287</w:t>
            </w: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Net (income) loss attributable to noncontrolling interests</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(47)</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28</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52</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15"/>
        </w:trPr>
        <w:tc>
          <w:tcPr>
            <w:tcW w:w="5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stockholders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1,962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4,306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9,190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color w:val="auto"/>
              </w:rPr>
              <w:t>Net income attributable to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40" w:type="dxa"/>
            <w:vAlign w:val="bottom"/>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1,699</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2,857</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3,770</w:t>
            </w:r>
          </w:p>
        </w:tc>
        <w:tc>
          <w:tcPr>
            <w:tcW w:w="2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4,859</w:t>
            </w:r>
          </w:p>
        </w:tc>
        <w:tc>
          <w:tcPr>
            <w:tcW w:w="2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7,585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5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share(c)</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1.06</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2.07</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3.10</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82"/>
        </w:trPr>
        <w:tc>
          <w:tcPr>
            <w:tcW w:w="5840" w:type="dxa"/>
            <w:vAlign w:val="bottom"/>
          </w:tcPr>
          <w:p>
            <w:pPr>
              <w:spacing w:after="0"/>
              <w:rPr>
                <w:sz w:val="20"/>
                <w:szCs w:val="20"/>
                <w:color w:val="auto"/>
              </w:rPr>
            </w:pPr>
            <w:r>
              <w:rPr>
                <w:rFonts w:ascii="Arial" w:cs="Arial" w:eastAsia="Arial" w:hAnsi="Arial"/>
                <w:sz w:val="14"/>
                <w:szCs w:val="14"/>
                <w:color w:val="auto"/>
              </w:rPr>
              <w:t>Diluted earnings per share(c)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0.99</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8"/>
              <w:spacing w:after="0"/>
              <w:rPr>
                <w:sz w:val="20"/>
                <w:szCs w:val="20"/>
                <w:color w:val="auto"/>
              </w:rPr>
            </w:pPr>
            <w:r>
              <w:rPr>
                <w:rFonts w:ascii="Arial" w:cs="Arial" w:eastAsia="Arial" w:hAnsi="Arial"/>
                <w:sz w:val="14"/>
                <w:szCs w:val="14"/>
                <w:color w:val="auto"/>
              </w:rPr>
              <w:t>1.82</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2.38</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2.92</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82"/>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 (as of period end):</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Total assets(a)</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176,908</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168,539</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166,344</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149,422</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144,603</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Automotive notes and loans payable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7,331</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8,448</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7,137</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5,172</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5,295</w:t>
            </w: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GM Financial notes and loans payable(a)</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33,774</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23,675</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29,046</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10,878</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8,538</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Series A Preferred Stock(d)</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3,109</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3,109</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3,109</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5,536</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5,536</w:t>
            </w:r>
          </w:p>
        </w:tc>
        <w:tc>
          <w:tcPr>
            <w:tcW w:w="0" w:type="dxa"/>
            <w:vAlign w:val="bottom"/>
          </w:tcPr>
          <w:p>
            <w:pPr>
              <w:spacing w:after="0"/>
              <w:rPr>
                <w:sz w:val="1"/>
                <w:szCs w:val="1"/>
                <w:color w:val="auto"/>
              </w:rPr>
            </w:pP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Series B Preferred Stock(e)</w:t>
            </w:r>
          </w:p>
        </w:tc>
        <w:tc>
          <w:tcPr>
            <w:tcW w:w="160" w:type="dxa"/>
            <w:vAlign w:val="bottom"/>
          </w:tcPr>
          <w:p>
            <w:pPr>
              <w:spacing w:after="0"/>
              <w:rPr>
                <w:sz w:val="12"/>
                <w:szCs w:val="12"/>
                <w:color w:val="auto"/>
              </w:rPr>
            </w:pP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4,855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4,855</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4,855</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Equity(f)</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43,563</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37,361</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43,174</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37,000</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38,991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40" w:right="320" w:hanging="873"/>
        <w:spacing w:after="0" w:line="258" w:lineRule="auto"/>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GM Financial acquired Ally Financial’s international operations in Europe and Latin America in the year ended December 31, 2013.</w:t>
      </w:r>
    </w:p>
    <w:p>
      <w:pPr>
        <w:spacing w:after="0" w:line="1" w:lineRule="exact"/>
        <w:rPr>
          <w:rFonts w:ascii="Arial" w:cs="Arial" w:eastAsia="Arial" w:hAnsi="Arial"/>
          <w:sz w:val="18"/>
          <w:szCs w:val="18"/>
          <w:color w:val="auto"/>
        </w:rPr>
      </w:pPr>
    </w:p>
    <w:p>
      <w:pPr>
        <w:ind w:left="1840" w:right="20" w:hanging="873"/>
        <w:spacing w:after="0" w:line="255" w:lineRule="auto"/>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year ended December 31, 2012 we recorded goodwill impairment charges of $27.1 billion, the reversal of deferred tax valuation allowances of $36.3 billion in the U.S. and Canada, pension settlement charges of $2.7 billion and GME long-lived asset impairment charges of $5.5 billion.</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07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16078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840" w:right="140" w:hanging="873"/>
        <w:spacing w:after="0" w:line="271" w:lineRule="auto"/>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the years ended December 31, 2012 and 2011 we used the two-class method for calculating earnings per share as the 4.75% Series B Mandatory Convertible Junior Preferred Stock (“Series B Preferred Stock”) was a participating security due to the applicable market value of our common stock being below $33.00 per common share.</w:t>
      </w:r>
    </w:p>
    <w:p>
      <w:pPr>
        <w:ind w:left="1840" w:hanging="873"/>
        <w:spacing w:after="0" w:line="250" w:lineRule="auto"/>
        <w:tabs>
          <w:tab w:leader="none" w:pos="1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September 2013 we purchased 120 million shares of our Series A Preferred Stock held by the UAW Retiree Medical Benefits Trust for $3.2 billion.</w:t>
      </w:r>
    </w:p>
    <w:p>
      <w:pPr>
        <w:ind w:left="1840" w:hanging="873"/>
        <w:spacing w:after="0"/>
        <w:tabs>
          <w:tab w:leader="none" w:pos="1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December 2013 all of our Series B Preferred Stock automatically converted into 137 million shares of our common stock.</w:t>
      </w:r>
    </w:p>
    <w:p>
      <w:pPr>
        <w:spacing w:after="0" w:line="32" w:lineRule="exact"/>
        <w:rPr>
          <w:rFonts w:ascii="Arial" w:cs="Arial" w:eastAsia="Arial" w:hAnsi="Arial"/>
          <w:sz w:val="16"/>
          <w:szCs w:val="16"/>
          <w:color w:val="auto"/>
        </w:rPr>
      </w:pPr>
    </w:p>
    <w:p>
      <w:pPr>
        <w:ind w:left="1840" w:right="360" w:hanging="873"/>
        <w:spacing w:after="0" w:line="261" w:lineRule="auto"/>
        <w:tabs>
          <w:tab w:leader="none" w:pos="1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December 2012 we purchased 200 million shares of our common stock for a total of $5.5 billion, which directly reduced shareholder’s equity by $5.1 billion and we recorded a charge to earnings of $0.4 billion.</w:t>
      </w:r>
    </w:p>
    <w:p>
      <w:pPr>
        <w:spacing w:after="0" w:line="183"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color w:val="auto"/>
        </w:rPr>
        <w:t>* * * * * * *</w:t>
      </w:r>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80"/>
          </w:cols>
          <w:pgMar w:left="240" w:top="459" w:right="5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799"/>
        <w:spacing w:after="0" w:line="279" w:lineRule="auto"/>
        <w:rPr>
          <w:sz w:val="20"/>
          <w:szCs w:val="20"/>
          <w:color w:val="auto"/>
        </w:rPr>
      </w:pPr>
      <w:r>
        <w:rPr>
          <w:rFonts w:ascii="Arial" w:cs="Arial" w:eastAsia="Arial" w:hAnsi="Arial"/>
          <w:sz w:val="17"/>
          <w:szCs w:val="17"/>
          <w:i w:val="1"/>
          <w:iCs w:val="1"/>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2013, as updated by our subsequent filings under the Exchange Act, including our Quarterly Reports on Form 10-Q and our Current Reports on Form 8-K and any amendments thereof, before investing in the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225" w:lineRule="exact"/>
        <w:rPr>
          <w:sz w:val="20"/>
          <w:szCs w:val="20"/>
          <w:color w:val="auto"/>
        </w:rPr>
      </w:pPr>
    </w:p>
    <w:p>
      <w:pPr>
        <w:ind w:right="20" w:firstLine="799"/>
        <w:spacing w:after="0" w:line="269" w:lineRule="auto"/>
        <w:rPr>
          <w:sz w:val="20"/>
          <w:szCs w:val="20"/>
          <w:color w:val="auto"/>
        </w:rPr>
      </w:pPr>
      <w:r>
        <w:rPr>
          <w:rFonts w:ascii="Arial" w:cs="Arial" w:eastAsia="Arial" w:hAnsi="Arial"/>
          <w:sz w:val="17"/>
          <w:szCs w:val="17"/>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September 30, 2014, we had total consolidated liabilities of approximately $133.3 billion (including consolidated indebtedness of approximately $41.1 billion), of which $4.5 billion constitutes indebtedness of General Motors Company (parent company only) under our existing 3.500% senior notes due 2018, 4.875% senior notes due 2023 and 6.250% senior notes due 2043 and substantially all of the remainder of which are liabilities of our subsidiaries.</w:t>
      </w:r>
    </w:p>
    <w:p>
      <w:pPr>
        <w:spacing w:after="0" w:line="18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124" w:lineRule="exact"/>
        <w:rPr>
          <w:sz w:val="20"/>
          <w:szCs w:val="20"/>
          <w:color w:val="auto"/>
        </w:rPr>
      </w:pPr>
    </w:p>
    <w:p>
      <w:pPr>
        <w:ind w:right="60" w:firstLine="799"/>
        <w:spacing w:after="0" w:line="272" w:lineRule="auto"/>
        <w:rPr>
          <w:sz w:val="20"/>
          <w:szCs w:val="20"/>
          <w:color w:val="auto"/>
        </w:rPr>
      </w:pPr>
      <w:r>
        <w:rPr>
          <w:rFonts w:ascii="Arial" w:cs="Arial" w:eastAsia="Arial" w:hAnsi="Arial"/>
          <w:sz w:val="17"/>
          <w:szCs w:val="17"/>
          <w:color w:val="auto"/>
        </w:rPr>
        <w:t>Because we are a holding company and conduct substantially all of our operations through subsidiaries, our cash flow and ability to service debt, including the Notes and our $4.5 billion of other senior notes, will depend to a significant extent on the generation of cash flow by our subsidiaries and their ability to make such cash available to us, whether by dividends, distributions or other payments.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Notes.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Indenture will not:</w:t>
      </w:r>
    </w:p>
    <w:p>
      <w:pPr>
        <w:spacing w:after="0" w:line="252" w:lineRule="exact"/>
        <w:rPr>
          <w:sz w:val="20"/>
          <w:szCs w:val="20"/>
          <w:color w:val="auto"/>
        </w:rPr>
      </w:pPr>
    </w:p>
    <w:p>
      <w:pPr>
        <w:ind w:left="1480" w:right="140" w:hanging="675"/>
        <w:spacing w:after="0" w:line="264"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675"/>
        <w:spacing w:after="0" w:line="342"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150" w:lineRule="exact"/>
        <w:rPr>
          <w:rFonts w:ascii="Arial" w:cs="Arial" w:eastAsia="Arial" w:hAnsi="Arial"/>
          <w:sz w:val="16"/>
          <w:szCs w:val="16"/>
          <w:color w:val="auto"/>
        </w:rPr>
      </w:pPr>
    </w:p>
    <w:p>
      <w:pPr>
        <w:ind w:left="1480" w:right="380" w:hanging="675"/>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entirely limit our ability to incur secured indebtedness that would effectively rank senior to the Notes to the extent of the value of the assets securing the indebtedness;</w:t>
      </w:r>
    </w:p>
    <w:p>
      <w:pPr>
        <w:spacing w:after="0" w:line="197" w:lineRule="exact"/>
        <w:rPr>
          <w:rFonts w:ascii="Arial" w:cs="Arial" w:eastAsia="Arial" w:hAnsi="Arial"/>
          <w:sz w:val="18"/>
          <w:szCs w:val="18"/>
          <w:color w:val="auto"/>
        </w:rPr>
      </w:pPr>
    </w:p>
    <w:p>
      <w:pPr>
        <w:ind w:left="1480" w:right="940" w:hanging="675"/>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incur indebtedness that is equal or subordinate in right of payment to the Notes (other than certain secured indebtedness);</w:t>
      </w:r>
    </w:p>
    <w:p>
      <w:pPr>
        <w:spacing w:after="0" w:line="197" w:lineRule="exact"/>
        <w:rPr>
          <w:rFonts w:ascii="Arial" w:cs="Arial" w:eastAsia="Arial" w:hAnsi="Arial"/>
          <w:sz w:val="18"/>
          <w:szCs w:val="18"/>
          <w:color w:val="auto"/>
        </w:rPr>
      </w:pPr>
    </w:p>
    <w:p>
      <w:pPr>
        <w:ind w:left="1480" w:hanging="675"/>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our ability to repurchase our equity securities or prepay our other indebtedness;</w:t>
      </w:r>
    </w:p>
    <w:p>
      <w:pPr>
        <w:spacing w:after="0" w:line="252" w:lineRule="exact"/>
        <w:rPr>
          <w:rFonts w:ascii="Arial" w:cs="Arial" w:eastAsia="Arial" w:hAnsi="Arial"/>
          <w:sz w:val="18"/>
          <w:szCs w:val="18"/>
          <w:color w:val="auto"/>
        </w:rPr>
      </w:pPr>
    </w:p>
    <w:p>
      <w:pPr>
        <w:ind w:left="1480" w:right="760" w:hanging="675"/>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our ability to make investments or pay dividends or make other payments in respect of our equity securities or our other indebtedness;</w:t>
      </w:r>
    </w:p>
    <w:p>
      <w:pPr>
        <w:spacing w:after="0" w:line="197" w:lineRule="exact"/>
        <w:rPr>
          <w:rFonts w:ascii="Arial" w:cs="Arial" w:eastAsia="Arial" w:hAnsi="Arial"/>
          <w:sz w:val="18"/>
          <w:szCs w:val="18"/>
          <w:color w:val="auto"/>
        </w:rPr>
      </w:pPr>
    </w:p>
    <w:p>
      <w:pPr>
        <w:ind w:left="1480" w:hanging="675"/>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our ability to enter into highly leveraged transactions; or</w:t>
      </w:r>
    </w:p>
    <w:p>
      <w:pPr>
        <w:spacing w:after="0" w:line="252" w:lineRule="exact"/>
        <w:rPr>
          <w:rFonts w:ascii="Arial" w:cs="Arial" w:eastAsia="Arial" w:hAnsi="Arial"/>
          <w:sz w:val="18"/>
          <w:szCs w:val="18"/>
          <w:color w:val="auto"/>
        </w:rPr>
      </w:pPr>
    </w:p>
    <w:p>
      <w:pPr>
        <w:ind w:left="1480" w:hanging="675"/>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make an offer to repurchase the Notes in the event of a change in control transaction.</w:t>
      </w:r>
    </w:p>
    <w:p>
      <w:pPr>
        <w:spacing w:after="0" w:line="225" w:lineRule="exact"/>
        <w:rPr>
          <w:sz w:val="20"/>
          <w:szCs w:val="20"/>
          <w:color w:val="auto"/>
        </w:rPr>
      </w:pPr>
    </w:p>
    <w:p>
      <w:pPr>
        <w:ind w:right="300" w:firstLine="799"/>
        <w:spacing w:after="0" w:line="286" w:lineRule="auto"/>
        <w:rPr>
          <w:sz w:val="20"/>
          <w:szCs w:val="20"/>
          <w:color w:val="auto"/>
        </w:rPr>
      </w:pPr>
      <w:r>
        <w:rPr>
          <w:rFonts w:ascii="Arial" w:cs="Arial" w:eastAsia="Arial" w:hAnsi="Arial"/>
          <w:sz w:val="17"/>
          <w:szCs w:val="17"/>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unsecured and will be effectively subordinated to any of our secured debt.</w:t>
      </w:r>
    </w:p>
    <w:p>
      <w:pPr>
        <w:spacing w:after="0" w:line="225"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or any of our subsidiaries defaults on obligations to pay indebtedness, we may not be able to make payments on the Notes.</w:t>
      </w:r>
    </w:p>
    <w:p>
      <w:pPr>
        <w:spacing w:after="0" w:line="225"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Any default under agreements governing our indebtedness or the indebtedness of our subsidiaries, including any default under our $5.0 billion revolving credit facility by us or certain of our subsidiaries and any default under our $7.5 billion revolving credit facility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currently no market for the Notes, and we cannot assure you that an active trading market for the Notes will develop.</w:t>
      </w:r>
    </w:p>
    <w:p>
      <w:pPr>
        <w:spacing w:after="0" w:line="225"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The Notes will be new securities for which there currently is no established market. The Notes will not be listed on any securities exchange. We can give you no assurance as to whether any trading market for the Notes will ever develop, as to your ability to sell the Notes or as to the prices at which you may be able to sell your Notes. The liquidity of any market for the Notes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intend to make a market in the Notes. However, they are not obligated to do so and may discontinue such market-making at any time without notice. If no active trading market develops, you may be unable to resell the Notes at their fair value or at any price.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a trading market does develop, changes in our credit ratings or the debt markets could adversely affect the market prices of the Notes.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market prices for the Notes will depend on many factors, including, among others:</w:t>
      </w:r>
    </w:p>
    <w:p>
      <w:pPr>
        <w:spacing w:after="0" w:line="252" w:lineRule="exact"/>
        <w:rPr>
          <w:sz w:val="20"/>
          <w:szCs w:val="20"/>
          <w:color w:val="auto"/>
        </w:rPr>
      </w:pPr>
    </w:p>
    <w:p>
      <w:pPr>
        <w:ind w:left="1480" w:hanging="675"/>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ratings on us and our debt securities, including the Notes, assigned by rating agencies;</w:t>
      </w:r>
    </w:p>
    <w:p>
      <w:pPr>
        <w:spacing w:after="0" w:line="252" w:lineRule="exact"/>
        <w:rPr>
          <w:rFonts w:ascii="Arial" w:cs="Arial" w:eastAsia="Arial" w:hAnsi="Arial"/>
          <w:sz w:val="18"/>
          <w:szCs w:val="18"/>
          <w:color w:val="auto"/>
        </w:rPr>
      </w:pPr>
    </w:p>
    <w:p>
      <w:pPr>
        <w:ind w:left="1480" w:hanging="675"/>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252" w:lineRule="exact"/>
        <w:rPr>
          <w:rFonts w:ascii="Arial" w:cs="Arial" w:eastAsia="Arial" w:hAnsi="Arial"/>
          <w:sz w:val="18"/>
          <w:szCs w:val="18"/>
          <w:color w:val="auto"/>
        </w:rPr>
      </w:pPr>
    </w:p>
    <w:p>
      <w:pPr>
        <w:ind w:left="1480" w:hanging="675"/>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prospects; and</w:t>
      </w:r>
    </w:p>
    <w:p>
      <w:pPr>
        <w:spacing w:after="0" w:line="252" w:lineRule="exact"/>
        <w:rPr>
          <w:rFonts w:ascii="Arial" w:cs="Arial" w:eastAsia="Arial" w:hAnsi="Arial"/>
          <w:sz w:val="18"/>
          <w:szCs w:val="18"/>
          <w:color w:val="auto"/>
        </w:rPr>
      </w:pPr>
    </w:p>
    <w:p>
      <w:pPr>
        <w:ind w:left="1480" w:hanging="675"/>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 of the financial markets.</w:t>
      </w:r>
    </w:p>
    <w:p>
      <w:pPr>
        <w:spacing w:after="0" w:line="225"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81" w:lineRule="exact"/>
        <w:rPr>
          <w:sz w:val="20"/>
          <w:szCs w:val="20"/>
          <w:color w:val="auto"/>
        </w:rPr>
      </w:pPr>
    </w:p>
    <w:p>
      <w:pPr>
        <w:ind w:right="400" w:firstLine="799"/>
        <w:spacing w:after="0" w:line="308" w:lineRule="auto"/>
        <w:rPr>
          <w:sz w:val="20"/>
          <w:szCs w:val="20"/>
          <w:color w:val="auto"/>
        </w:rPr>
      </w:pPr>
      <w:r>
        <w:rPr>
          <w:rFonts w:ascii="Arial" w:cs="Arial" w:eastAsia="Arial" w:hAnsi="Arial"/>
          <w:sz w:val="17"/>
          <w:szCs w:val="17"/>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We expect to receive total net proceeds of approximately $2.45 billion from the issuance of the Notes, after underwriter discounts and payment of our other offering expenses. We intend to use the net proceeds from this offering to pay a portion of the redemption price to redeem all of the approximately 156.1 million outstanding shares of our Series A Preferred Stock on or after December 31, 2014. These shares are redeemable at our option, in whole or in part, at any time on or after December 31, 2014 at a redemption price per share equal to their base liquidation amount of $25 per share plus any accrued and unpaid dividends. These shares accrue cumulative dividends at a 9.0% annual rate. If we redeem all of the outstanding shares of our Series A Preferred Stock, the total redemption price would be their aggregate base liquidation amount of approximately $3.9 billion plus any accrued and unpaid dividends. We expect that we would use other cash on hand to fund any portion of the Series A Preferred Stock redemption price that exceeds our net proceeds from this offering.</w:t>
      </w:r>
    </w:p>
    <w:p>
      <w:pPr>
        <w:spacing w:after="0" w:line="167"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Although we intend to redeem all of our outstanding shares of Series A Preferred Stock when they become redeemable, we are not obligated to redeem the shares. In the event that we do not use all of the net proceeds from this offering to fund the redemption of outstanding shares of Series A Preferred Stock, we expect that we would use any such remaining net proceeds for general corporate purposes.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Until we use the net proceeds from this offering, we intend to invest the funds in short-term investments, including marketable securities.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Successor</w:t>
            </w: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62"/>
        </w:trPr>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top w:val="single" w:sz="8" w:color="auto"/>
            </w:tcBorders>
            <w:gridSpan w:val="2"/>
          </w:tcPr>
          <w:p>
            <w:pPr>
              <w:jc w:val="center"/>
              <w:ind w:right="720"/>
              <w:spacing w:after="0" w:line="142" w:lineRule="exact"/>
              <w:rPr>
                <w:sz w:val="20"/>
                <w:szCs w:val="20"/>
                <w:color w:val="auto"/>
              </w:rPr>
            </w:pPr>
            <w:r>
              <w:rPr>
                <w:rFonts w:ascii="Arial" w:cs="Arial" w:eastAsia="Arial" w:hAnsi="Arial"/>
                <w:sz w:val="14"/>
                <w:szCs w:val="14"/>
                <w:b w:val="1"/>
                <w:bCs w:val="1"/>
                <w:color w:val="auto"/>
                <w:w w:val="95"/>
              </w:rPr>
              <w:t>Nine Months</w:t>
            </w: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July 10, 2009</w:t>
            </w:r>
          </w:p>
        </w:tc>
        <w:tc>
          <w:tcPr>
            <w:tcW w:w="40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Years Ended</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Through</w:t>
            </w:r>
          </w:p>
        </w:tc>
        <w:tc>
          <w:tcPr>
            <w:tcW w:w="740" w:type="dxa"/>
            <w:vAlign w:val="bottom"/>
          </w:tcPr>
          <w:p>
            <w:pPr>
              <w:spacing w:after="0"/>
              <w:rPr>
                <w:sz w:val="12"/>
                <w:szCs w:val="12"/>
                <w:color w:val="auto"/>
              </w:rPr>
            </w:pPr>
          </w:p>
        </w:tc>
        <w:tc>
          <w:tcPr>
            <w:tcW w:w="740" w:type="dxa"/>
            <w:vAlign w:val="bottom"/>
          </w:tcPr>
          <w:p>
            <w:pPr>
              <w:jc w:val="right"/>
              <w:ind w:right="145"/>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righ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July 9,</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8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2010</w:t>
            </w:r>
          </w:p>
        </w:tc>
        <w:tc>
          <w:tcPr>
            <w:tcW w:w="4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400" w:type="dxa"/>
            <w:vAlign w:val="bottom"/>
            <w:tcBorders>
              <w:bottom w:val="single" w:sz="8" w:color="CCEEFF"/>
              <w:right w:val="single" w:sz="8" w:color="auto"/>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2009(a)</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5.85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7.90</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5.93</w:t>
            </w:r>
          </w:p>
        </w:tc>
        <w:tc>
          <w:tcPr>
            <w:tcW w:w="48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(b)</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700" w:hanging="895"/>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for the period January 1, 2009 through July 9, 2009 include reorganization gains, net of $128.2 billion.</w:t>
      </w:r>
    </w:p>
    <w:p>
      <w:pPr>
        <w:spacing w:after="0" w:line="252" w:lineRule="exact"/>
        <w:rPr>
          <w:rFonts w:ascii="Arial" w:cs="Arial" w:eastAsia="Arial" w:hAnsi="Arial"/>
          <w:sz w:val="18"/>
          <w:szCs w:val="18"/>
          <w:color w:val="auto"/>
        </w:rPr>
      </w:pPr>
    </w:p>
    <w:p>
      <w:pPr>
        <w:ind w:left="1700" w:right="20" w:hanging="895"/>
        <w:spacing w:after="0" w:line="286" w:lineRule="auto"/>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Earnings in the year ended December 31, 2012 and the period July 10, 2009 through December 31, 2009 were inadequate to cover fixed charges. Additional earnings of $28.8 billion and $4.9 billion in the year ended December 31, 2012 and the period July 10, 2009 through December 31, 2009 would have been necessary to bring ratios for these periods to 1.0.</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The Notes offered hereby will be issued as separate series of debt securities pursuant to the indenture (the “Base Indenture”) dated as of September 27, 2013 between GM and The Bank of New York Mellon, as trustee (the “Trustee”), as amended and supplemented by the second supplemental indenture (the “Supplemental Indenture”) to be dated on or about November 12, 2014 between us and the Trustee. The Base Indenture and the Supplemental Indenture, each as amended and supplemented, are together referred to herein as the “Indenture.” The Indenture and the Notes are governed by, and construed in accordance with, the laws of the State of New York, United States.</w:t>
      </w:r>
    </w:p>
    <w:p>
      <w:pPr>
        <w:spacing w:after="0" w:line="188"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93"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Notes will be senior, unsecured obligations of GM and will rank equally with all other unsecured and unsubordinated indebtedness of GM (other than obligations preferred by mandatory provisions of law). The 2025 Notes will mature on April 1, 2025, the 2035 Notes will mature on April 1, 2035 and the 2045 Notes will mature on April 1, 2045; in each case unless we redeem such Notes prior to their respective maturity dates, as described below under “—Optional Redemption.”</w:t>
      </w:r>
    </w:p>
    <w:p>
      <w:pPr>
        <w:spacing w:after="0" w:line="187" w:lineRule="exact"/>
        <w:rPr>
          <w:sz w:val="20"/>
          <w:szCs w:val="20"/>
          <w:color w:val="auto"/>
        </w:rPr>
      </w:pPr>
    </w:p>
    <w:p>
      <w:pPr>
        <w:ind w:right="520" w:firstLine="799"/>
        <w:spacing w:after="0" w:line="264" w:lineRule="auto"/>
        <w:rPr>
          <w:sz w:val="20"/>
          <w:szCs w:val="20"/>
          <w:color w:val="auto"/>
        </w:rPr>
      </w:pPr>
      <w:r>
        <w:rPr>
          <w:rFonts w:ascii="Arial" w:cs="Arial" w:eastAsia="Arial" w:hAnsi="Arial"/>
          <w:sz w:val="18"/>
          <w:szCs w:val="18"/>
          <w:color w:val="auto"/>
        </w:rPr>
        <w:t xml:space="preserve">The Notes will be issued in book-entry form only through the facilities of DTC, including its participants, Euroclear Bank S.A./N.V.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See “Description of Debt Securities—Book-Entry; Delivery and Form; Global Securities” in the accompanying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Interest</w:t>
      </w:r>
    </w:p>
    <w:p>
      <w:pPr>
        <w:spacing w:after="0" w:line="229"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The 2025 Notes will initially be limited to $500,000,000 aggregate principal amount, the 2035 Notes will initially be limited to $750,000,000 aggregate principal amount and the 2045 Notes will initially be limited to $1,250,000,000 aggregate principal amount. The 2025 Notes will bear interest at a rate of 4.000% per annum, the 2035 Notes will bear interest at a rate of 5.000% per annum and the 2045 Notes will bear interest at a rate of 5.200% per annum. The Notes will accrue interest, calculated on the basis of a 360-day year consisting of twelve 30-day months, from November 12, 2014, or from the most recent interest payment date to which interest has been paid or duly provided for, which will be payable in arrears on April 1 and October 1 of each year, with the first payment to be made on April 1, 2015, to the person in whose name the Notes are registered at the close of business on the March 17 or September 16, as the case may be, next preceding the relevant interest payment date. The Notes will be issued in fully registered form only, in denominations of $2,000 and integral multiples of $1,000 in excess thereof.</w:t>
      </w:r>
    </w:p>
    <w:p>
      <w:pPr>
        <w:spacing w:after="0" w:line="179" w:lineRule="exact"/>
        <w:rPr>
          <w:sz w:val="20"/>
          <w:szCs w:val="20"/>
          <w:color w:val="auto"/>
        </w:rPr>
      </w:pPr>
    </w:p>
    <w:p>
      <w:pPr>
        <w:ind w:right="180" w:firstLine="799"/>
        <w:spacing w:after="0" w:line="257" w:lineRule="auto"/>
        <w:rPr>
          <w:sz w:val="20"/>
          <w:szCs w:val="20"/>
          <w:color w:val="auto"/>
        </w:rPr>
      </w:pPr>
      <w:r>
        <w:rPr>
          <w:rFonts w:ascii="Arial" w:cs="Arial" w:eastAsia="Arial" w:hAnsi="Arial"/>
          <w:sz w:val="18"/>
          <w:szCs w:val="18"/>
          <w:color w:val="auto"/>
        </w:rPr>
        <w:t>Amounts due on the respective stated maturity date or earlier redemption date of the Notes will be payable at the corporate trust office of the Trustee, which at the date hereof is 101 Barclay Street, Floor 7W, New York, NY 10286, Attention: Corporate Trust Division.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If any interest payment date, stated maturity date or earlier redemption date falls on a day that is not a business day in The City of New York,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 As used in the Indenture, the term “business day” means, with respect to any place of payment or any other specified location, each Monday, Tuesday, Wednesday, Thursday and Friday that is not a day on which banking institutions are authorized or obligated by law, regulation or executive order to close in that place of payment, such other location or the city in which the corporate trust office of the Trustee is located.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229"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 xml:space="preserve">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additional Notes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or initial interest payment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80" w:firstLine="799"/>
        <w:spacing w:after="0" w:line="291" w:lineRule="auto"/>
        <w:rPr>
          <w:sz w:val="20"/>
          <w:szCs w:val="20"/>
          <w:color w:val="auto"/>
        </w:rPr>
      </w:pPr>
      <w:r>
        <w:rPr>
          <w:rFonts w:ascii="Arial" w:cs="Arial" w:eastAsia="Arial" w:hAnsi="Arial"/>
          <w:sz w:val="16"/>
          <w:szCs w:val="16"/>
          <w:color w:val="auto"/>
        </w:rPr>
        <w:t>We may, at our option, redeem some or all of the Notes at any time and from time to time at a redemption price equal to the greater of the following amounts, plus, in each case, accrued and unpaid interest on the principal amount being redeemed to, but excluding, the applicable redemption date:</w:t>
      </w:r>
    </w:p>
    <w:p>
      <w:pPr>
        <w:ind w:right="140" w:firstLine="8"/>
        <w:spacing w:after="0" w:line="253"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 (ii) as determined by us,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(A) the sum of the Treasury Rate plus 25 basis points in the case of the 2025 Notes, (B) the sum of the Treasury Rate plus 30 basis points in the case of the 2035 Notes and (C) the sum of the Treasury Rate plus 35 basis points in the case of the 2045 Notes.</w:t>
      </w:r>
    </w:p>
    <w:p>
      <w:pPr>
        <w:spacing w:after="0" w:line="191"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70"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 Reference Treasury Dealer as having a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81" w:lineRule="exact"/>
        <w:rPr>
          <w:sz w:val="20"/>
          <w:szCs w:val="20"/>
          <w:color w:val="auto"/>
        </w:rPr>
      </w:pPr>
    </w:p>
    <w:p>
      <w:pPr>
        <w:jc w:val="both"/>
        <w:ind w:right="320" w:firstLine="79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Price</w:t>
      </w:r>
      <w:r>
        <w:rPr>
          <w:rFonts w:ascii="Arial" w:cs="Arial" w:eastAsia="Arial" w:hAnsi="Arial"/>
          <w:sz w:val="17"/>
          <w:szCs w:val="17"/>
          <w:color w:val="auto"/>
        </w:rPr>
        <w:t>” means, with respect to any redemption date, as determined by us, (A) the average of the six Reference Treasury Dealer Quotations for such redemption date, after excluding the highest and lowest of the Reference Treasury Dealer Quotations or (B) if we obtain fewer than six Reference Treasury Dealer Quotations, the average of all Reference Treasury Dealer Quotations so received.</w:t>
      </w:r>
    </w:p>
    <w:p>
      <w:pPr>
        <w:spacing w:after="0" w:line="166"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J.P. Morgan Securities LLC, Goldman, Sachs &amp; Co. and Morgan Stanley &amp; Co. LLC and their respective successors, unless any of them ceases to be a primary United States Government securities dealer in New York City (a “Primary Treasury Dealer”), in which case we 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substitute therefor another nationally recognized investment banking firm that is a Primary Treasury Dealer and (ii) two other nationally recognized investment banking firms that are Primary Treasury Dealers as selected by us.</w:t>
      </w:r>
    </w:p>
    <w:p>
      <w:pPr>
        <w:spacing w:after="0" w:line="170" w:lineRule="exact"/>
        <w:rPr>
          <w:sz w:val="20"/>
          <w:szCs w:val="20"/>
          <w:color w:val="auto"/>
        </w:rPr>
      </w:pPr>
    </w:p>
    <w:p>
      <w:pPr>
        <w:ind w:right="280" w:firstLine="79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47" w:lineRule="exact"/>
        <w:rPr>
          <w:sz w:val="20"/>
          <w:szCs w:val="20"/>
          <w:color w:val="auto"/>
        </w:rPr>
      </w:pPr>
    </w:p>
    <w:p>
      <w:pPr>
        <w:jc w:val="both"/>
        <w:ind w:right="540" w:firstLine="79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ind w:firstLine="799"/>
        <w:spacing w:after="0" w:line="312" w:lineRule="auto"/>
        <w:rPr>
          <w:sz w:val="20"/>
          <w:szCs w:val="20"/>
          <w:color w:val="auto"/>
        </w:rPr>
      </w:pPr>
      <w:r>
        <w:rPr>
          <w:rFonts w:ascii="Arial" w:cs="Arial" w:eastAsia="Arial" w:hAnsi="Arial"/>
          <w:sz w:val="16"/>
          <w:szCs w:val="16"/>
          <w:color w:val="auto"/>
        </w:rPr>
        <w:t>We will give notice of any redemption, mailed not less than 30 days nor more than 60 days before the applicable redemption date, to each holder of the Notes to be redeemed at such holder’s email address or physical address appearing in the security register of the Notes. If we redeem less than all of the Notes, the Trustee will select the particular Notes to be redeemed by lot, on a pro rata basis or by another method the Trustee deems fair and appropriate.</w:t>
      </w:r>
    </w:p>
    <w:p>
      <w:pPr>
        <w:spacing w:after="0" w:line="147"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Unless we default in the payment of the redemption price, on and after the applicable redemption date, interest will cease to accrue on the Notes or portions of the Notes called for redemption.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The following definitions shall be applicable to the covenants specified below:</w:t>
      </w:r>
    </w:p>
    <w:p>
      <w:pPr>
        <w:spacing w:after="0" w:line="225" w:lineRule="exact"/>
        <w:rPr>
          <w:sz w:val="20"/>
          <w:szCs w:val="20"/>
          <w:color w:val="auto"/>
        </w:rPr>
      </w:pPr>
    </w:p>
    <w:p>
      <w:pPr>
        <w:ind w:right="40" w:firstLine="79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Attributable Debt</w:t>
      </w:r>
      <w:r>
        <w:rPr>
          <w:rFonts w:ascii="Arial" w:cs="Arial" w:eastAsia="Arial" w:hAnsi="Arial"/>
          <w:sz w:val="17"/>
          <w:szCs w:val="17"/>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88" w:lineRule="exact"/>
        <w:rPr>
          <w:sz w:val="20"/>
          <w:szCs w:val="20"/>
          <w:color w:val="auto"/>
        </w:rPr>
      </w:pPr>
    </w:p>
    <w:p>
      <w:pPr>
        <w:ind w:right="300" w:firstLine="79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xml:space="preserve">” means, on the date of determination, total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Manufacturing Subsidiary</w:t>
      </w:r>
      <w:r>
        <w:rPr>
          <w:rFonts w:ascii="Arial" w:cs="Arial" w:eastAsia="Arial" w:hAnsi="Arial"/>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Mortgage</w:t>
      </w:r>
      <w:r>
        <w:rPr>
          <w:rFonts w:ascii="Arial" w:cs="Arial" w:eastAsia="Arial" w:hAnsi="Arial"/>
          <w:sz w:val="16"/>
          <w:szCs w:val="16"/>
          <w:color w:val="auto"/>
        </w:rPr>
        <w:t>” means any mortgage, pledge, lien, security interest, conditional sale or other title retention agreement or other similar encumbrance.</w:t>
      </w:r>
    </w:p>
    <w:p>
      <w:pPr>
        <w:spacing w:after="0" w:line="248" w:lineRule="exact"/>
        <w:rPr>
          <w:sz w:val="20"/>
          <w:szCs w:val="20"/>
          <w:color w:val="auto"/>
        </w:rPr>
      </w:pPr>
    </w:p>
    <w:p>
      <w:pPr>
        <w:ind w:right="80" w:firstLine="79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Domestic Manufacturing Property</w:t>
      </w:r>
      <w:r>
        <w:rPr>
          <w:rFonts w:ascii="Arial" w:cs="Arial" w:eastAsia="Arial" w:hAnsi="Arial"/>
          <w:sz w:val="16"/>
          <w:szCs w:val="16"/>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67"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87" w:lineRule="exact"/>
        <w:rPr>
          <w:sz w:val="20"/>
          <w:szCs w:val="20"/>
          <w:color w:val="auto"/>
        </w:rPr>
      </w:pPr>
    </w:p>
    <w:p>
      <w:pPr>
        <w:ind w:right="60" w:firstLine="799"/>
        <w:spacing w:after="0" w:line="270" w:lineRule="auto"/>
        <w:rPr>
          <w:sz w:val="20"/>
          <w:szCs w:val="20"/>
          <w:color w:val="auto"/>
        </w:rPr>
      </w:pPr>
      <w:r>
        <w:rPr>
          <w:rFonts w:ascii="Arial" w:cs="Arial" w:eastAsia="Arial" w:hAnsi="Arial"/>
          <w:sz w:val="17"/>
          <w:szCs w:val="17"/>
          <w:b w:val="1"/>
          <w:bCs w:val="1"/>
          <w:i w:val="1"/>
          <w:iCs w:val="1"/>
          <w:color w:val="auto"/>
        </w:rPr>
        <w:t xml:space="preserve">Limitation on Liens. </w:t>
      </w:r>
      <w:r>
        <w:rPr>
          <w:rFonts w:ascii="Arial" w:cs="Arial" w:eastAsia="Arial" w:hAnsi="Arial"/>
          <w:sz w:val="17"/>
          <w:szCs w:val="17"/>
          <w:color w:val="auto"/>
        </w:rPr>
        <w:t>For the benefit of the Notes, we will not, nor will we permit any Manufacturing Subsidiary to, issue or assume any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252" w:lineRule="exact"/>
        <w:rPr>
          <w:sz w:val="20"/>
          <w:szCs w:val="20"/>
          <w:color w:val="auto"/>
        </w:rPr>
      </w:pPr>
    </w:p>
    <w:p>
      <w:pPr>
        <w:ind w:left="1700" w:right="840" w:hanging="895"/>
        <w:spacing w:after="0" w:line="277" w:lineRule="auto"/>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197" w:lineRule="exact"/>
        <w:rPr>
          <w:rFonts w:ascii="Arial" w:cs="Arial" w:eastAsia="Arial" w:hAnsi="Arial"/>
          <w:sz w:val="18"/>
          <w:szCs w:val="18"/>
          <w:color w:val="auto"/>
        </w:rPr>
      </w:pPr>
    </w:p>
    <w:p>
      <w:pPr>
        <w:ind w:left="1700" w:right="80" w:hanging="895"/>
        <w:spacing w:after="0" w:line="286" w:lineRule="auto"/>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right="360"/>
        <w:spacing w:after="0" w:line="277" w:lineRule="auto"/>
        <w:rPr>
          <w:sz w:val="20"/>
          <w:szCs w:val="20"/>
          <w:color w:val="auto"/>
        </w:rPr>
      </w:pPr>
      <w:r>
        <w:rPr>
          <w:rFonts w:ascii="Arial" w:cs="Arial" w:eastAsia="Arial" w:hAnsi="Arial"/>
          <w:sz w:val="18"/>
          <w:szCs w:val="18"/>
          <w:color w:val="auto"/>
        </w:rPr>
        <w:t>after the later of such acquisition or completion of such improvements or construction or commencement of full operation of such property;</w:t>
      </w:r>
    </w:p>
    <w:p>
      <w:pPr>
        <w:spacing w:after="0" w:line="197" w:lineRule="exact"/>
        <w:rPr>
          <w:sz w:val="20"/>
          <w:szCs w:val="20"/>
          <w:color w:val="auto"/>
        </w:rPr>
      </w:pPr>
    </w:p>
    <w:p>
      <w:pPr>
        <w:ind w:left="1700" w:hanging="89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us or to another Manufacturing Subsidiary;</w:t>
      </w:r>
    </w:p>
    <w:p>
      <w:pPr>
        <w:spacing w:after="0" w:line="252" w:lineRule="exact"/>
        <w:rPr>
          <w:rFonts w:ascii="Arial" w:cs="Arial" w:eastAsia="Arial" w:hAnsi="Arial"/>
          <w:sz w:val="18"/>
          <w:szCs w:val="18"/>
          <w:color w:val="auto"/>
        </w:rPr>
      </w:pPr>
    </w:p>
    <w:p>
      <w:pPr>
        <w:ind w:left="1700" w:right="300" w:hanging="895"/>
        <w:spacing w:after="0" w:line="264"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208" w:lineRule="exact"/>
        <w:rPr>
          <w:rFonts w:ascii="Arial" w:cs="Arial" w:eastAsia="Arial" w:hAnsi="Arial"/>
          <w:sz w:val="18"/>
          <w:szCs w:val="18"/>
          <w:color w:val="auto"/>
        </w:rPr>
      </w:pPr>
    </w:p>
    <w:p>
      <w:pPr>
        <w:ind w:left="1700" w:right="20" w:hanging="895"/>
        <w:spacing w:after="0" w:line="255"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220" w:lineRule="exact"/>
        <w:rPr>
          <w:rFonts w:ascii="Arial" w:cs="Arial" w:eastAsia="Arial" w:hAnsi="Arial"/>
          <w:sz w:val="18"/>
          <w:szCs w:val="18"/>
          <w:color w:val="auto"/>
        </w:rPr>
      </w:pPr>
    </w:p>
    <w:p>
      <w:pPr>
        <w:ind w:left="1700" w:hanging="895"/>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existing on the date of issuance of the Notes; or</w:t>
      </w:r>
    </w:p>
    <w:p>
      <w:pPr>
        <w:spacing w:after="0" w:line="252" w:lineRule="exact"/>
        <w:rPr>
          <w:rFonts w:ascii="Arial" w:cs="Arial" w:eastAsia="Arial" w:hAnsi="Arial"/>
          <w:sz w:val="18"/>
          <w:szCs w:val="18"/>
          <w:color w:val="auto"/>
        </w:rPr>
      </w:pPr>
    </w:p>
    <w:p>
      <w:pPr>
        <w:ind w:left="1700" w:right="40" w:hanging="895"/>
        <w:spacing w:after="0" w:line="257"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8" w:lineRule="exact"/>
        <w:rPr>
          <w:sz w:val="20"/>
          <w:szCs w:val="20"/>
          <w:color w:val="auto"/>
        </w:rPr>
      </w:pPr>
    </w:p>
    <w:p>
      <w:pPr>
        <w:ind w:right="80" w:firstLine="799"/>
        <w:spacing w:after="0" w:line="257" w:lineRule="auto"/>
        <w:rPr>
          <w:sz w:val="20"/>
          <w:szCs w:val="20"/>
          <w:color w:val="auto"/>
        </w:rPr>
      </w:pPr>
      <w:r>
        <w:rPr>
          <w:rFonts w:ascii="Arial" w:cs="Arial" w:eastAsia="Arial" w:hAnsi="Arial"/>
          <w:sz w:val="18"/>
          <w:szCs w:val="18"/>
          <w:b w:val="1"/>
          <w:bCs w:val="1"/>
          <w:i w:val="1"/>
          <w:iCs w:val="1"/>
          <w:color w:val="auto"/>
        </w:rPr>
        <w:t xml:space="preserve">Limitation on Sales and Lease-Backs. </w:t>
      </w:r>
      <w:r>
        <w:rPr>
          <w:rFonts w:ascii="Arial" w:cs="Arial" w:eastAsia="Arial" w:hAnsi="Arial"/>
          <w:sz w:val="18"/>
          <w:szCs w:val="18"/>
          <w:color w:val="auto"/>
        </w:rPr>
        <w:t>For the benefit of the Notes, we will not, nor will we permit any Manufacturing Subsidiary to, enter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215" w:lineRule="exact"/>
        <w:rPr>
          <w:sz w:val="20"/>
          <w:szCs w:val="20"/>
          <w:color w:val="auto"/>
        </w:rPr>
      </w:pPr>
    </w:p>
    <w:p>
      <w:pPr>
        <w:ind w:left="1700" w:right="100" w:hanging="895"/>
        <w:spacing w:after="0" w:line="272"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204" w:lineRule="exact"/>
        <w:rPr>
          <w:rFonts w:ascii="Arial" w:cs="Arial" w:eastAsia="Arial" w:hAnsi="Arial"/>
          <w:sz w:val="17"/>
          <w:szCs w:val="17"/>
          <w:color w:val="auto"/>
        </w:rPr>
      </w:pPr>
    </w:p>
    <w:p>
      <w:pPr>
        <w:ind w:left="1700" w:hanging="895"/>
        <w:spacing w:after="0" w:line="264"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right="60"/>
        <w:spacing w:after="0" w:line="312" w:lineRule="auto"/>
        <w:rPr>
          <w:sz w:val="20"/>
          <w:szCs w:val="20"/>
          <w:color w:val="auto"/>
        </w:rPr>
      </w:pPr>
      <w:r>
        <w:rPr>
          <w:rFonts w:ascii="Arial" w:cs="Arial" w:eastAsia="Arial" w:hAnsi="Arial"/>
          <w:sz w:val="16"/>
          <w:szCs w:val="16"/>
          <w:color w:val="auto"/>
        </w:rPr>
        <w:t>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Securities—Satisfaction, Discharge and Covenant Defeasance” in the accompanying prospectus are satisfied.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229"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The Bank of New York Mellon and its affiliates act as depositary for funds of, make loans to, act as trustee and perform certain other services for, certain of our affiliates and us in the normal course of its business. As trustee of various trusts, it has purchased our securities and those of certain of our affiliates.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TAX CONSIDERATIONS</w:t>
      </w:r>
    </w:p>
    <w:p>
      <w:pPr>
        <w:spacing w:after="0" w:line="229"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The following is a general discussion of certain U.S.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federal income tax purposes (generally, property held for investment).</w:t>
      </w:r>
    </w:p>
    <w:p>
      <w:pPr>
        <w:spacing w:after="0" w:line="188"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This discussion is based on the U.S. Internal Revenue Code of 1986, as amended (the “Code”), Treasury regulations promulgated or proposed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83" w:lineRule="exact"/>
        <w:rPr>
          <w:sz w:val="20"/>
          <w:szCs w:val="20"/>
          <w:color w:val="auto"/>
        </w:rPr>
      </w:pPr>
    </w:p>
    <w:p>
      <w:pPr>
        <w:ind w:right="100" w:firstLine="799"/>
        <w:spacing w:after="0" w:line="266" w:lineRule="auto"/>
        <w:rPr>
          <w:sz w:val="20"/>
          <w:szCs w:val="20"/>
          <w:color w:val="auto"/>
        </w:rPr>
      </w:pPr>
      <w:r>
        <w:rPr>
          <w:rFonts w:ascii="Arial" w:cs="Arial" w:eastAsia="Arial" w:hAnsi="Arial"/>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80"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color w:val="auto"/>
        </w:rPr>
        <w:t>As used in this discussion, the term “U.S. Holder” means a beneficial owner of a Note that, for U.S. federal income tax purposes, is (i) an individual who is a citizen or resident of the U.S., (ii) a corporation (or other entity taxable as a corporation for U.S. federal income tax purposes) created or organized in or under the laws of the U.S., any state thereof or the District of Columbia, (iii) an estate the income of which is subject to U.S. federal income taxation regardless of its source or (iv) a trust (x) with respect to which a court within the U.S.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93" w:lineRule="exact"/>
        <w:rPr>
          <w:sz w:val="20"/>
          <w:szCs w:val="20"/>
          <w:color w:val="auto"/>
        </w:rPr>
      </w:pPr>
    </w:p>
    <w:p>
      <w:pPr>
        <w:jc w:val="both"/>
        <w:ind w:right="20" w:firstLine="799"/>
        <w:spacing w:after="0" w:line="264" w:lineRule="auto"/>
        <w:rPr>
          <w:sz w:val="20"/>
          <w:szCs w:val="20"/>
          <w:color w:val="auto"/>
        </w:rPr>
      </w:pPr>
      <w:r>
        <w:rPr>
          <w:rFonts w:ascii="Arial" w:cs="Arial" w:eastAsia="Arial" w:hAnsi="Arial"/>
          <w:sz w:val="18"/>
          <w:szCs w:val="18"/>
          <w:color w:val="auto"/>
        </w:rPr>
        <w:t>The term “Non-U.S. Holder” means a beneficial owner of a Note that is, for U.S. federal income tax purposes, an individual, corporation, estate or trust that is not a U.S. Holder. For purposes of this “Certain U.S. Federal Tax Considerations” section only, the term “Holder” means a U.S. Holder or a Non-U.S. Holder (as those terms are defined herein).</w:t>
      </w:r>
    </w:p>
    <w:p>
      <w:pPr>
        <w:spacing w:after="0" w:line="181" w:lineRule="exact"/>
        <w:rPr>
          <w:sz w:val="20"/>
          <w:szCs w:val="20"/>
          <w:color w:val="auto"/>
        </w:rPr>
      </w:pPr>
    </w:p>
    <w:p>
      <w:pPr>
        <w:ind w:right="160" w:firstLine="799"/>
        <w:spacing w:after="0" w:line="286" w:lineRule="auto"/>
        <w:rPr>
          <w:sz w:val="20"/>
          <w:szCs w:val="20"/>
          <w:color w:val="auto"/>
        </w:rPr>
      </w:pPr>
      <w:r>
        <w:rPr>
          <w:rFonts w:ascii="Arial" w:cs="Arial" w:eastAsia="Arial" w:hAnsi="Arial"/>
          <w:sz w:val="17"/>
          <w:szCs w:val="17"/>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Stated Interest</w:t>
      </w:r>
    </w:p>
    <w:p>
      <w:pPr>
        <w:spacing w:after="0" w:line="225"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Issue Discount</w:t>
      </w:r>
    </w:p>
    <w:p>
      <w:pPr>
        <w:spacing w:after="0" w:line="225"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 xml:space="preserve">The Notes are expected to be issued with less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original issue discount (“OID”) for U.S. federal income tax purposes. However, if the stated principal amount of the Notes exceeds their issue price (as defined above) by at least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the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Redemption, Retirement or Other Taxable Disposition of the Notes</w:t>
      </w:r>
    </w:p>
    <w:p>
      <w:pPr>
        <w:spacing w:after="0" w:line="225"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140" w:firstLine="799"/>
        <w:spacing w:after="0" w:line="255" w:lineRule="auto"/>
        <w:rPr>
          <w:sz w:val="20"/>
          <w:szCs w:val="20"/>
          <w:color w:val="auto"/>
        </w:rPr>
      </w:pPr>
      <w:r>
        <w:rPr>
          <w:rFonts w:ascii="Arial" w:cs="Arial" w:eastAsia="Arial" w:hAnsi="Arial"/>
          <w:sz w:val="18"/>
          <w:szCs w:val="18"/>
          <w:color w:val="auto"/>
        </w:rPr>
        <w:t>Information reporting generally will apply to a U.S. Holder with respect to payments of interest or accruals of OID (if any) on a Note and the payment of proceeds from the sale, exchange, redemption, retirement or other taxable disposition of a Note, unless such U.S. Holder is an entity that is exempt from information reporting (such as a corporation) and, when required, demonstrates this fact. Any such payments or proceeds to a U.S. Holder that are subject to information reporting generally will also be subject to backup withholding, unless such U.S. Holder provides the appropriate documentation (generally, IRS Form W-9 or a suitable substitute form) to the applicable withholding agent certifying that, among other things, its taxpayer identification number is correct, or otherwise establishes an exemption.</w:t>
      </w:r>
    </w:p>
    <w:p>
      <w:pPr>
        <w:spacing w:after="0" w:line="193"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U.S. Holder’s U.S. federal income tax liability if the required information is timely furnished to the 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on Net Investment Income</w:t>
      </w:r>
    </w:p>
    <w:p>
      <w:pPr>
        <w:spacing w:after="0" w:line="225" w:lineRule="exact"/>
        <w:rPr>
          <w:sz w:val="20"/>
          <w:szCs w:val="20"/>
          <w:color w:val="auto"/>
        </w:rPr>
      </w:pPr>
    </w:p>
    <w:p>
      <w:pPr>
        <w:ind w:right="200" w:firstLine="799"/>
        <w:spacing w:after="0" w:line="259" w:lineRule="auto"/>
        <w:rPr>
          <w:sz w:val="20"/>
          <w:szCs w:val="20"/>
          <w:color w:val="auto"/>
        </w:rPr>
      </w:pPr>
      <w:r>
        <w:rPr>
          <w:rFonts w:ascii="Arial" w:cs="Arial" w:eastAsia="Arial" w:hAnsi="Arial"/>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of Interest and Disposition of Notes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Subject to the discussion below and to the provisions of an applicable tax treaty:</w:t>
      </w:r>
    </w:p>
    <w:p>
      <w:pPr>
        <w:spacing w:after="0" w:line="252" w:lineRule="exact"/>
        <w:rPr>
          <w:sz w:val="20"/>
          <w:szCs w:val="20"/>
          <w:color w:val="auto"/>
        </w:rPr>
      </w:pPr>
    </w:p>
    <w:p>
      <w:pPr>
        <w:ind w:left="1700" w:hanging="895"/>
        <w:spacing w:after="0" w:line="286" w:lineRule="auto"/>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payments of interest to a Non-U.S. Holder (which, for purposes of this discussion of Non-U.S. Holders, includes any accrued OID) with respect to a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w:t>
      </w:r>
    </w:p>
    <w:p>
      <w:pPr>
        <w:spacing w:after="0" w:line="1" w:lineRule="exact"/>
        <w:rPr>
          <w:rFonts w:ascii="Arial" w:cs="Arial" w:eastAsia="Arial" w:hAnsi="Arial"/>
          <w:sz w:val="16"/>
          <w:szCs w:val="16"/>
          <w:color w:val="auto"/>
        </w:rPr>
      </w:pPr>
    </w:p>
    <w:p>
      <w:pPr>
        <w:ind w:left="1700" w:right="20"/>
        <w:spacing w:after="0" w:line="255" w:lineRule="auto"/>
        <w:rPr>
          <w:rFonts w:ascii="Arial" w:cs="Arial" w:eastAsia="Arial" w:hAnsi="Arial"/>
          <w:sz w:val="16"/>
          <w:szCs w:val="16"/>
          <w:color w:val="auto"/>
        </w:rPr>
      </w:pPr>
      <w:r>
        <w:rPr>
          <w:rFonts w:ascii="Arial" w:cs="Arial" w:eastAsia="Arial" w:hAnsi="Arial"/>
          <w:sz w:val="18"/>
          <w:szCs w:val="18"/>
          <w:color w:val="auto"/>
        </w:rPr>
        <w:t>(iii) such Non-U.S. Holder is not a controlled foreign corporation described in Section 957(a) of the Code that is related to GM through stock ownership; (iv) such Non-U.S. Holder is not a bank whose receipt of such amounts is described in Section 881(c)(3)(A) of the Code; and (v) the certification requirements described below are satisfied; and</w:t>
      </w:r>
    </w:p>
    <w:p>
      <w:pPr>
        <w:spacing w:after="0" w:line="217" w:lineRule="exact"/>
        <w:rPr>
          <w:rFonts w:ascii="Arial" w:cs="Arial" w:eastAsia="Arial" w:hAnsi="Arial"/>
          <w:sz w:val="16"/>
          <w:szCs w:val="16"/>
          <w:color w:val="auto"/>
        </w:rPr>
      </w:pPr>
    </w:p>
    <w:p>
      <w:pPr>
        <w:ind w:left="1700" w:right="60" w:hanging="895"/>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Non-U.S. Holder generally will not be subject to U.S. federal income or withholding tax on any gain realized on the sale, exchange, redemption, retirement or other taxable disposition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Note unless (i) such gain is effectively connected with the conduct of a trade or business in the U.S. by such Non-U.S. Holder or</w:t>
      </w:r>
    </w:p>
    <w:p>
      <w:pPr>
        <w:spacing w:after="0" w:line="35" w:lineRule="exact"/>
        <w:rPr>
          <w:sz w:val="20"/>
          <w:szCs w:val="20"/>
          <w:color w:val="auto"/>
        </w:rPr>
      </w:pPr>
    </w:p>
    <w:p>
      <w:pPr>
        <w:ind w:left="1700" w:right="40" w:firstLine="10"/>
        <w:spacing w:after="0" w:line="255" w:lineRule="auto"/>
        <w:tabs>
          <w:tab w:leader="none" w:pos="19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U.S. for 183 days or more in the taxable year of such disposition and certain other conditions are met (in which case such gain, net of certain U.S. source losses, generally will be subject to a flat 30% U.S. federal income tax).</w:t>
      </w:r>
    </w:p>
    <w:p>
      <w:pPr>
        <w:spacing w:after="0" w:line="19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87" w:lineRule="exact"/>
        <w:rPr>
          <w:sz w:val="20"/>
          <w:szCs w:val="20"/>
          <w:color w:val="auto"/>
        </w:rPr>
      </w:pPr>
    </w:p>
    <w:p>
      <w:pPr>
        <w:ind w:right="280" w:firstLine="799"/>
        <w:spacing w:after="0" w:line="312" w:lineRule="auto"/>
        <w:rPr>
          <w:sz w:val="20"/>
          <w:szCs w:val="20"/>
          <w:color w:val="auto"/>
        </w:rPr>
      </w:pPr>
      <w:r>
        <w:rPr>
          <w:rFonts w:ascii="Arial" w:cs="Arial" w:eastAsia="Arial" w:hAnsi="Arial"/>
          <w:sz w:val="16"/>
          <w:szCs w:val="16"/>
          <w:color w:val="auto"/>
        </w:rPr>
        <w:t>If the requirements set forth in clause (a) above are not satisfied with respect to a Non-U.S. Holder,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47" w:lineRule="exact"/>
        <w:rPr>
          <w:sz w:val="20"/>
          <w:szCs w:val="20"/>
          <w:color w:val="auto"/>
        </w:rPr>
      </w:pPr>
    </w:p>
    <w:p>
      <w:pPr>
        <w:ind w:right="60" w:firstLine="799"/>
        <w:spacing w:after="0" w:line="271" w:lineRule="auto"/>
        <w:rPr>
          <w:sz w:val="20"/>
          <w:szCs w:val="20"/>
          <w:color w:val="auto"/>
        </w:rPr>
      </w:pPr>
      <w:r>
        <w:rPr>
          <w:rFonts w:ascii="Arial" w:cs="Arial" w:eastAsia="Arial" w:hAnsi="Arial"/>
          <w:sz w:val="17"/>
          <w:szCs w:val="17"/>
          <w:color w:val="auto"/>
        </w:rPr>
        <w:t>If a Non-U.S. Holder is engaged in the conduct of a trade or business in the U.S., and if interest on the Notes, or any gain realized on the sale, exchange, redemption, retirement or other taxable disposition of the Notes, are effectively connected with such trade or business (and, if required by an applicable tax treaty, are attributable to a permanent establishment or fixed base maintained by such Non-U.S. Holder in the U.S.),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FATCA Withholding</w:t>
      </w:r>
    </w:p>
    <w:p>
      <w:pPr>
        <w:spacing w:after="0" w:line="225" w:lineRule="exact"/>
        <w:rPr>
          <w:sz w:val="20"/>
          <w:szCs w:val="20"/>
          <w:color w:val="auto"/>
        </w:rPr>
      </w:pPr>
    </w:p>
    <w:p>
      <w:pPr>
        <w:ind w:right="20" w:firstLine="799"/>
        <w:spacing w:after="0" w:line="269" w:lineRule="auto"/>
        <w:rPr>
          <w:sz w:val="20"/>
          <w:szCs w:val="20"/>
          <w:color w:val="auto"/>
        </w:rPr>
      </w:pPr>
      <w:r>
        <w:rPr>
          <w:rFonts w:ascii="Arial" w:cs="Arial" w:eastAsia="Arial" w:hAnsi="Arial"/>
          <w:sz w:val="17"/>
          <w:szCs w:val="17"/>
          <w:color w:val="auto"/>
        </w:rPr>
        <w:t>Under the U.S. tax rules known as the Foreign Account Tax Compliance Act (“FATCA”), a Non-U.S. Holder of the Notes will generally be subject to 30% U.S. withholding tax on payments of stated interest made with respect to (and, after December 31, 2016, gross proceeds from the sale or other taxable disposition of) the Notes if the Non-U.S. Holder (i) is, or holds Notes through, a foreign financial institution that has not entered into an agreement with the U.S. government to report, on an annual basis, certain information regarding accounts with or interests in the institution held by certain United States persons and by certain non-U.S. entities that are wholly or partially owned by United States persons, or that has been designated as a “nonparticipating foreign financial institution”, or (ii) fails to provide certain documentation (usually an IRS Form W-8BEN or W-8BEN-E) containing information about its identity, its FATCA status, and if required, its direct and indirect U.S. owners. If FATCA withholding is imposed, a beneficial owner that is not a foreign financial institution generally will be entitled to a refund of any amount withheld by filing a U.S. federal income tax return (which may entail a significant administrative burden). The future adoption of, or implementation of, an intergovernmental agreement between the United States and an applicable foreign country, or future U.S. Treasury regulations, may modify these requirements. You should consult your own tax advisor on how these rules may apply to your investment in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Generally, payments of interest on a Note to a Non-U.S. Holder and the amount of any tax withheld from such payments must be reported annually to the IRS and to such Non-U.S. Holder. Backup withholding will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 apply to payments of interest on a Note if the recipient Non-U.S. Holder certifies under penalties of perjury that it is not a U.S. person (generally by providing an IRS Form W-8BEN or W-8BEN-E) or otherwise establishes an exemption.</w:t>
      </w:r>
    </w:p>
    <w:p>
      <w:pPr>
        <w:spacing w:after="0" w:line="170"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8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Estate Tax</w:t>
      </w:r>
    </w:p>
    <w:p>
      <w:pPr>
        <w:spacing w:after="0" w:line="225"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w:t>
      </w:r>
    </w:p>
    <w:p>
      <w:pPr>
        <w:ind w:right="120" w:firstLine="8"/>
        <w:spacing w:after="0" w:line="323" w:lineRule="auto"/>
        <w:tabs>
          <w:tab w:leader="none" w:pos="2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Non-U.S. Holder does not actually or constructively own 10% or more of the combined voting power of all classes of GM’s stock and (ii) amounts treated as interest earned on the Note are not effectively connected with the conduct of a trade or business in the U.S. by such Non-U.S. Holder.</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20" w:firstLine="799"/>
        <w:spacing w:after="0" w:line="312" w:lineRule="auto"/>
        <w:rPr>
          <w:sz w:val="20"/>
          <w:szCs w:val="20"/>
          <w:color w:val="auto"/>
        </w:rPr>
      </w:pPr>
      <w:r>
        <w:rPr>
          <w:rFonts w:ascii="Arial" w:cs="Arial" w:eastAsia="Arial" w:hAnsi="Arial"/>
          <w:sz w:val="16"/>
          <w:szCs w:val="16"/>
          <w:color w:val="auto"/>
        </w:rPr>
        <w:t>Subject to the terms and conditions stated in the underwriting agreement dated the date of this prospectus supplement, each underwriter named below, for whom J.P. Morgan Securities LLC, Goldman, Sachs &amp; Co. and Morgan Stanley &amp; Co. LLC are acting as representatives, have severally agreed to purchase, and we have agreed to sell to each underwriter, the principal amount of the Notes set forth opposite the underwriter’s name.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Principal</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Principal</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Principal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Underwriter</w:t>
            </w:r>
          </w:p>
        </w:tc>
        <w:tc>
          <w:tcPr>
            <w:tcW w:w="1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2"/>
              </w:rPr>
              <w:t>Amount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vMerge w:val="continue"/>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of 2025 Notes</w:t>
            </w:r>
          </w:p>
        </w:tc>
        <w:tc>
          <w:tcPr>
            <w:tcW w:w="380" w:type="dxa"/>
            <w:vAlign w:val="bottom"/>
          </w:tcPr>
          <w:p>
            <w:pPr>
              <w:spacing w:after="0"/>
              <w:rPr>
                <w:sz w:val="18"/>
                <w:szCs w:val="18"/>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8"/>
              </w:rPr>
              <w:t>of 2035 Notes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of 2045 Notes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20" w:type="dxa"/>
            <w:vAlign w:val="bottom"/>
            <w:tcBorders>
              <w:top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49,000,000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73,500,000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49,000,000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73,500,000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49,000,000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73,500,000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49,000,000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73,500,000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122,500,000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Incorporated</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49,000,000</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73,500,000</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22,224,000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33,334,000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55,556,000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22,222,000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33,334,000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22,222,000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33,334,000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55,556,000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22,222,000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33,334,000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Lloyds Securities Inc.</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22,222,000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33,334,000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55,556,000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22,222,000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33,334,000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RBS Securities Inc.</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22,222,000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33,332,000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55,556,000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Sandler O’Neill &amp; Partners, L.P.</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22,222,000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33,332,000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22,222,000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33,332,000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55,554,000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 Markets LLC</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11,250,000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16,876,000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Credit Agricole Securities (USA) Inc.</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11,250,000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16,876,000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28,126,000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11,250,000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16,874,000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11,250,000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16,874,000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28,124,000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Blaylock Beal Van, LLC</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C.L. King &amp; Associates, Inc.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2,500,000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Pacific Securities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Mischler Financial Group, Inc.</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500,000,000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750,000,000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799"/>
        <w:spacing w:after="0" w:line="31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47"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0.400% of the principal amount of the 2025 Notes, 0.525% of the principal amount of the 2035 Notes and 0.600% of the principal amount of the 2045 Notes. In addition, the underwriters may allow, and those selected dealers may reallow, a concession of up to 0.250% of the principal amount of the 2025 Notes, 0.250% of the principal amount of the 2035 Notes and 0.250% of the principal amount of the 2045 Notes to certain other dealers. After the initial offering, the underwriters may change the public offering prices and any other selling terms. The underwriters may offer and sell the Notes through certain of their affiliates.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We expect to deliver the Notes offered hereby against payment for the Notes on or about the date specified in the last paragraph of the cover page of this prospectus supplement, which will be the fifth business day following the date of the pricing of the Notes (this settlement cycle being referred to as “T+5”). Under Rule 15c6-1 under the Exchange Act,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alternate settlement cycle at the time of any such trade to prevent a failed settlement. Purchasers who wish to trade the Notes on the date of pricing or the next succeeding business day should consult their own advisor.</w:t>
      </w:r>
    </w:p>
    <w:p>
      <w:pPr>
        <w:spacing w:after="0" w:line="165"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representatives on behalf of the underwriters.</w:t>
      </w:r>
    </w:p>
    <w:p>
      <w:pPr>
        <w:spacing w:after="0" w:line="187" w:lineRule="exact"/>
        <w:rPr>
          <w:sz w:val="20"/>
          <w:szCs w:val="20"/>
          <w:color w:val="auto"/>
        </w:rPr>
      </w:pPr>
    </w:p>
    <w:p>
      <w:pPr>
        <w:ind w:right="60" w:firstLine="799"/>
        <w:spacing w:after="0" w:line="297" w:lineRule="auto"/>
        <w:rPr>
          <w:sz w:val="20"/>
          <w:szCs w:val="20"/>
          <w:color w:val="auto"/>
        </w:rPr>
      </w:pPr>
      <w:r>
        <w:rPr>
          <w:rFonts w:ascii="Arial" w:cs="Arial" w:eastAsia="Arial" w:hAnsi="Arial"/>
          <w:sz w:val="16"/>
          <w:szCs w:val="16"/>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However, they are not obligated to do so and they may discontinue any market-making activities with respect to the Notes at any time without notice. Accordingly, we cannot assure you as to the liquidity of, or the trading market for, the Notes.</w:t>
      </w:r>
    </w:p>
    <w:p>
      <w:pPr>
        <w:spacing w:after="0" w:line="158" w:lineRule="exact"/>
        <w:rPr>
          <w:sz w:val="20"/>
          <w:szCs w:val="20"/>
          <w:color w:val="auto"/>
        </w:rPr>
      </w:pPr>
    </w:p>
    <w:p>
      <w:pPr>
        <w:ind w:right="700" w:firstLine="799"/>
        <w:spacing w:after="0" w:line="277" w:lineRule="auto"/>
        <w:rPr>
          <w:sz w:val="20"/>
          <w:szCs w:val="20"/>
          <w:color w:val="auto"/>
        </w:rPr>
      </w:pPr>
      <w:r>
        <w:rPr>
          <w:rFonts w:ascii="Arial" w:cs="Arial" w:eastAsia="Arial" w:hAnsi="Arial"/>
          <w:sz w:val="18"/>
          <w:szCs w:val="18"/>
          <w:color w:val="auto"/>
        </w:rPr>
        <w:t>We estimate that our portion of the total expenses of the offering, exclusive of the underwriter discounts payable by us in the offering and reimbursements of certain expenses incurred in connection with the offering, will be $4 million.</w:t>
      </w:r>
    </w:p>
    <w:p>
      <w:pPr>
        <w:spacing w:after="0" w:line="170"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197" w:lineRule="exact"/>
        <w:rPr>
          <w:sz w:val="20"/>
          <w:szCs w:val="20"/>
          <w:color w:val="auto"/>
        </w:rPr>
      </w:pPr>
    </w:p>
    <w:p>
      <w:pPr>
        <w:ind w:left="2160" w:right="520" w:hanging="680"/>
        <w:spacing w:after="0" w:line="277" w:lineRule="auto"/>
        <w:tabs>
          <w:tab w:leader="none" w:pos="2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the offering.</w:t>
      </w:r>
    </w:p>
    <w:p>
      <w:pPr>
        <w:spacing w:after="0" w:line="197" w:lineRule="exact"/>
        <w:rPr>
          <w:rFonts w:ascii="Arial" w:cs="Arial" w:eastAsia="Arial" w:hAnsi="Arial"/>
          <w:sz w:val="18"/>
          <w:szCs w:val="18"/>
          <w:color w:val="auto"/>
        </w:rPr>
      </w:pPr>
    </w:p>
    <w:p>
      <w:pPr>
        <w:ind w:left="2160" w:right="240" w:hanging="680"/>
        <w:spacing w:after="0" w:line="277" w:lineRule="auto"/>
        <w:tabs>
          <w:tab w:leader="none" w:pos="2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197" w:lineRule="exact"/>
        <w:rPr>
          <w:rFonts w:ascii="Arial" w:cs="Arial" w:eastAsia="Arial" w:hAnsi="Arial"/>
          <w:sz w:val="18"/>
          <w:szCs w:val="18"/>
          <w:color w:val="auto"/>
        </w:rPr>
      </w:pPr>
    </w:p>
    <w:p>
      <w:pPr>
        <w:ind w:left="2160" w:hanging="680"/>
        <w:spacing w:after="0"/>
        <w:tabs>
          <w:tab w:leader="none" w:pos="2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Stabilizing transactions involve bids to purchase the Notes so long as the stabilizing bids do not exceed a specified maximum.</w:t>
      </w:r>
    </w:p>
    <w:p>
      <w:pPr>
        <w:spacing w:after="0" w:line="248" w:lineRule="exact"/>
        <w:rPr>
          <w:sz w:val="20"/>
          <w:szCs w:val="20"/>
          <w:color w:val="auto"/>
        </w:rPr>
      </w:pPr>
    </w:p>
    <w:p>
      <w:pPr>
        <w:ind w:right="140" w:firstLine="799"/>
        <w:spacing w:after="0" w:line="279" w:lineRule="auto"/>
        <w:rPr>
          <w:sz w:val="20"/>
          <w:szCs w:val="20"/>
          <w:color w:val="auto"/>
        </w:rPr>
      </w:pPr>
      <w:r>
        <w:rPr>
          <w:rFonts w:ascii="Arial" w:cs="Arial" w:eastAsia="Arial" w:hAnsi="Arial"/>
          <w:sz w:val="17"/>
          <w:szCs w:val="17"/>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71"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engage in 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67" w:lineRule="exact"/>
        <w:rPr>
          <w:sz w:val="20"/>
          <w:szCs w:val="20"/>
          <w:color w:val="auto"/>
        </w:rPr>
      </w:pPr>
    </w:p>
    <w:p>
      <w:pPr>
        <w:ind w:right="220" w:firstLine="799"/>
        <w:spacing w:after="0" w:line="273"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8"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jc w:val="both"/>
        <w:ind w:right="240" w:firstLine="799"/>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to the public in that Relevant Member State other than:</w:t>
      </w:r>
    </w:p>
    <w:p>
      <w:pPr>
        <w:spacing w:after="0" w:line="214" w:lineRule="exact"/>
        <w:rPr>
          <w:sz w:val="20"/>
          <w:szCs w:val="20"/>
          <w:color w:val="auto"/>
        </w:rPr>
      </w:pPr>
    </w:p>
    <w:p>
      <w:pPr>
        <w:ind w:left="1700" w:hanging="895"/>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700" w:right="80" w:hanging="895"/>
        <w:spacing w:after="0" w:line="264"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208" w:lineRule="exact"/>
        <w:rPr>
          <w:rFonts w:ascii="Arial" w:cs="Arial" w:eastAsia="Arial" w:hAnsi="Arial"/>
          <w:sz w:val="18"/>
          <w:szCs w:val="18"/>
          <w:color w:val="auto"/>
        </w:rPr>
      </w:pPr>
    </w:p>
    <w:p>
      <w:pPr>
        <w:ind w:left="1700" w:hanging="895"/>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provided that no such offer of Notes shall require the Company or any underwriter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(and amendments thereto, including the 2010 PD Amending Directive, to the extent implemented in the Relevant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Member States) and includes any relevant implementing measure in the Relevant Member State and the expression ‘‘2010 PD Amending Directive’’ means Directive 2010/73/EU.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underwriter has represented and agreed that:</w:t>
      </w:r>
    </w:p>
    <w:p>
      <w:pPr>
        <w:spacing w:after="0" w:line="252" w:lineRule="exact"/>
        <w:rPr>
          <w:sz w:val="20"/>
          <w:szCs w:val="20"/>
          <w:color w:val="auto"/>
        </w:rPr>
      </w:pPr>
    </w:p>
    <w:p>
      <w:pPr>
        <w:ind w:left="1700" w:hanging="895"/>
        <w:spacing w:after="0" w:line="259"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any Notes in circumstances in which Section 21(1) of the FSMA does not apply to us; and</w:t>
      </w:r>
    </w:p>
    <w:p>
      <w:pPr>
        <w:spacing w:after="0" w:line="213" w:lineRule="exact"/>
        <w:rPr>
          <w:rFonts w:ascii="Arial" w:cs="Arial" w:eastAsia="Arial" w:hAnsi="Arial"/>
          <w:sz w:val="18"/>
          <w:szCs w:val="18"/>
          <w:color w:val="auto"/>
        </w:rPr>
      </w:pPr>
    </w:p>
    <w:p>
      <w:pPr>
        <w:ind w:left="1700" w:right="380" w:hanging="895"/>
        <w:spacing w:after="0" w:line="277"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Notes in, from or otherwise involving the United Kingdom.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Each underwriter has represented and agreed that:</w:t>
      </w:r>
    </w:p>
    <w:p>
      <w:pPr>
        <w:spacing w:after="0" w:line="252" w:lineRule="exact"/>
        <w:rPr>
          <w:sz w:val="20"/>
          <w:szCs w:val="20"/>
          <w:color w:val="auto"/>
        </w:rPr>
      </w:pPr>
    </w:p>
    <w:p>
      <w:pPr>
        <w:ind w:left="1700" w:hanging="666"/>
        <w:spacing w:after="0" w:line="302" w:lineRule="auto"/>
        <w:tabs>
          <w:tab w:leader="none" w:pos="1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has not offered or sold and will not offer or sell in Hong Kong, by means of any document, any Notes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or invitation to the public within the meaning of that Ordinance; and</w:t>
      </w:r>
    </w:p>
    <w:p>
      <w:pPr>
        <w:spacing w:after="0" w:line="181" w:lineRule="exact"/>
        <w:rPr>
          <w:rFonts w:ascii="Arial" w:cs="Arial" w:eastAsia="Arial" w:hAnsi="Arial"/>
          <w:sz w:val="16"/>
          <w:szCs w:val="16"/>
          <w:color w:val="auto"/>
        </w:rPr>
      </w:pPr>
    </w:p>
    <w:p>
      <w:pPr>
        <w:ind w:left="1700" w:hanging="666"/>
        <w:spacing w:after="0" w:line="297" w:lineRule="auto"/>
        <w:tabs>
          <w:tab w:leader="none" w:pos="1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jc w:val="both"/>
        <w:ind w:right="500" w:firstLine="799"/>
        <w:spacing w:after="0" w:line="264"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87"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799"/>
        <w:spacing w:after="0" w:line="279" w:lineRule="auto"/>
        <w:rPr>
          <w:sz w:val="20"/>
          <w:szCs w:val="20"/>
          <w:color w:val="auto"/>
        </w:rPr>
      </w:pPr>
      <w:r>
        <w:rPr>
          <w:rFonts w:ascii="Arial" w:cs="Arial" w:eastAsia="Arial" w:hAnsi="Arial"/>
          <w:sz w:val="17"/>
          <w:szCs w:val="17"/>
          <w:color w:val="auto"/>
        </w:rPr>
        <w:t>The validity of the Notes offered hereby will be passed upon for us by Robert C. Shrosbree, Esq., Executive Director, Legal, Corporate &amp; Securities, GM Legal Staff, and certain other legal matters related to the Notes will be passed upon for us by Jenner &amp; Block LLP. Certain legal matters will be passed upon for the underwriters by Davis Polk &amp; Wardwell LLP. Davis Polk &amp; Wardwell LLP acts as counsel to the Executive Compensation Committee of our Board of Directors and has acted as our counsel, and as counsel for certain of our subsidiaries, in various matters.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that is incorporated by reference will automatically update and supersede this information. This prospectus supplement incorporates by reference the documents and reports listed below and any future filings that we make with the SEC under Sections 13(a), 13(c), 14 or 15(d) of the Exchange Act until the date of completion of this offering (provided, however, that this prospectus supplement does not incorporate by reference any documents, reports or filings, or portions of any documents, reports or filings, that are deemed to be furnished and not filed under applicable SEC rules):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r>
              <w:rPr>
                <w:rFonts w:ascii="Arial" w:cs="Arial" w:eastAsia="Arial" w:hAnsi="Arial"/>
                <w:sz w:val="18"/>
                <w:szCs w:val="18"/>
                <w:b w:val="1"/>
                <w:bCs w:val="1"/>
                <w:color w:val="auto"/>
                <w:w w:val="93"/>
              </w:rPr>
              <w:t>GM SEC Filings (File No. 001-34960)</w:t>
            </w:r>
          </w:p>
        </w:tc>
        <w:tc>
          <w:tcPr>
            <w:tcW w:w="8520" w:type="dxa"/>
            <w:vAlign w:val="bottom"/>
            <w:gridSpan w:val="3"/>
          </w:tcPr>
          <w:p>
            <w:pPr>
              <w:ind w:left="3060"/>
              <w:spacing w:after="0"/>
              <w:rPr>
                <w:sz w:val="20"/>
                <w:szCs w:val="20"/>
                <w:color w:val="auto"/>
              </w:rPr>
            </w:pPr>
            <w:r>
              <w:rPr>
                <w:rFonts w:ascii="Arial" w:cs="Arial" w:eastAsia="Arial" w:hAnsi="Arial"/>
                <w:sz w:val="18"/>
                <w:szCs w:val="18"/>
                <w:b w:val="1"/>
                <w:bCs w:val="1"/>
                <w:color w:val="auto"/>
              </w:rPr>
              <w:t>Period</w:t>
            </w:r>
          </w:p>
        </w:tc>
      </w:tr>
      <w:tr>
        <w:trPr>
          <w:trHeight w:val="20"/>
        </w:trPr>
        <w:tc>
          <w:tcPr>
            <w:tcW w:w="28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311"/>
        </w:trPr>
        <w:tc>
          <w:tcPr>
            <w:tcW w:w="2880" w:type="dxa"/>
            <w:vAlign w:val="bottom"/>
          </w:tcPr>
          <w:p>
            <w:pPr>
              <w:spacing w:after="0"/>
              <w:rPr>
                <w:sz w:val="20"/>
                <w:szCs w:val="20"/>
                <w:color w:val="auto"/>
              </w:rPr>
            </w:pPr>
            <w:r>
              <w:rPr>
                <w:rFonts w:ascii="Arial" w:cs="Arial" w:eastAsia="Arial" w:hAnsi="Arial"/>
                <w:sz w:val="18"/>
                <w:szCs w:val="18"/>
                <w:color w:val="auto"/>
              </w:rPr>
              <w:t>Annual Report on Form 10-K</w:t>
            </w:r>
          </w:p>
        </w:tc>
        <w:tc>
          <w:tcPr>
            <w:tcW w:w="8520" w:type="dxa"/>
            <w:vAlign w:val="bottom"/>
            <w:gridSpan w:val="3"/>
          </w:tcPr>
          <w:p>
            <w:pPr>
              <w:ind w:left="3060"/>
              <w:spacing w:after="0"/>
              <w:rPr>
                <w:sz w:val="20"/>
                <w:szCs w:val="20"/>
                <w:color w:val="auto"/>
              </w:rPr>
            </w:pPr>
            <w:r>
              <w:rPr>
                <w:rFonts w:ascii="Arial" w:cs="Arial" w:eastAsia="Arial" w:hAnsi="Arial"/>
                <w:sz w:val="18"/>
                <w:szCs w:val="18"/>
                <w:color w:val="auto"/>
                <w:w w:val="93"/>
              </w:rPr>
              <w:t>Year ended December 31, 2013 (filed with the SEC on February 6, 2014)</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Quarterly Reports on Form 10-Q</w:t>
            </w:r>
          </w:p>
        </w:tc>
        <w:tc>
          <w:tcPr>
            <w:tcW w:w="8520" w:type="dxa"/>
            <w:vAlign w:val="bottom"/>
            <w:gridSpan w:val="3"/>
          </w:tcPr>
          <w:p>
            <w:pPr>
              <w:ind w:left="3060"/>
              <w:spacing w:after="0"/>
              <w:rPr>
                <w:sz w:val="20"/>
                <w:szCs w:val="20"/>
                <w:color w:val="auto"/>
              </w:rPr>
            </w:pPr>
            <w:r>
              <w:rPr>
                <w:rFonts w:ascii="Arial" w:cs="Arial" w:eastAsia="Arial" w:hAnsi="Arial"/>
                <w:sz w:val="18"/>
                <w:szCs w:val="18"/>
                <w:color w:val="auto"/>
                <w:w w:val="98"/>
              </w:rPr>
              <w:t>Quarter ended March 31, 2014 (filed with the SEC on April 24, 2014),</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Arial" w:cs="Arial" w:eastAsia="Arial" w:hAnsi="Arial"/>
                <w:sz w:val="18"/>
                <w:szCs w:val="18"/>
                <w:color w:val="auto"/>
                <w:w w:val="97"/>
              </w:rPr>
              <w:t>Quarter ended June 30, 2014 (filed with the SEC on July 24, 2014 and</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Arial" w:cs="Arial" w:eastAsia="Arial" w:hAnsi="Arial"/>
                <w:sz w:val="18"/>
                <w:szCs w:val="18"/>
                <w:color w:val="auto"/>
                <w:w w:val="96"/>
              </w:rPr>
              <w:t>Quarter ended September 30, 2014 (filed with the SEC on October 23,</w:t>
            </w:r>
          </w:p>
        </w:tc>
      </w:tr>
      <w:tr>
        <w:trPr>
          <w:trHeight w:val="230"/>
        </w:trPr>
        <w:tc>
          <w:tcPr>
            <w:tcW w:w="2880" w:type="dxa"/>
            <w:vAlign w:val="bottom"/>
          </w:tcPr>
          <w:p>
            <w:pPr>
              <w:spacing w:after="0"/>
              <w:rPr>
                <w:sz w:val="20"/>
                <w:szCs w:val="20"/>
                <w:color w:val="auto"/>
              </w:rPr>
            </w:pPr>
          </w:p>
        </w:tc>
        <w:tc>
          <w:tcPr>
            <w:tcW w:w="3580" w:type="dxa"/>
            <w:vAlign w:val="bottom"/>
            <w:gridSpan w:val="2"/>
          </w:tcPr>
          <w:p>
            <w:pPr>
              <w:ind w:left="3060"/>
              <w:spacing w:after="0"/>
              <w:rPr>
                <w:sz w:val="20"/>
                <w:szCs w:val="20"/>
                <w:color w:val="auto"/>
              </w:rPr>
            </w:pPr>
            <w:r>
              <w:rPr>
                <w:rFonts w:ascii="Arial" w:cs="Arial" w:eastAsia="Arial" w:hAnsi="Arial"/>
                <w:sz w:val="18"/>
                <w:szCs w:val="18"/>
                <w:color w:val="auto"/>
              </w:rPr>
              <w:t>2014)</w:t>
            </w:r>
          </w:p>
        </w:tc>
        <w:tc>
          <w:tcPr>
            <w:tcW w:w="4940" w:type="dxa"/>
            <w:vAlign w:val="bottom"/>
          </w:tcPr>
          <w:p>
            <w:pPr>
              <w:spacing w:after="0"/>
              <w:rPr>
                <w:sz w:val="20"/>
                <w:szCs w:val="20"/>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Current Reports on Form 8-K</w:t>
            </w:r>
          </w:p>
        </w:tc>
        <w:tc>
          <w:tcPr>
            <w:tcW w:w="8520" w:type="dxa"/>
            <w:vAlign w:val="bottom"/>
            <w:gridSpan w:val="3"/>
          </w:tcPr>
          <w:p>
            <w:pPr>
              <w:ind w:left="3060"/>
              <w:spacing w:after="0"/>
              <w:rPr>
                <w:sz w:val="20"/>
                <w:szCs w:val="20"/>
                <w:color w:val="auto"/>
              </w:rPr>
            </w:pPr>
            <w:r>
              <w:rPr>
                <w:rFonts w:ascii="Arial" w:cs="Arial" w:eastAsia="Arial" w:hAnsi="Arial"/>
                <w:sz w:val="18"/>
                <w:szCs w:val="18"/>
                <w:color w:val="auto"/>
                <w:w w:val="90"/>
              </w:rPr>
              <w:t>Dates filed: January 7, 2014, January 15, 2014 (2 filed Forms 8-K), January</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Arial" w:cs="Arial" w:eastAsia="Arial" w:hAnsi="Arial"/>
                <w:sz w:val="18"/>
                <w:szCs w:val="18"/>
                <w:color w:val="auto"/>
                <w:w w:val="91"/>
              </w:rPr>
              <w:t>17, 2014, February 4, 2014, March 4, 2014, March 13, 2014, April 3, 2014,</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Arial" w:cs="Arial" w:eastAsia="Arial" w:hAnsi="Arial"/>
                <w:sz w:val="18"/>
                <w:szCs w:val="18"/>
                <w:color w:val="auto"/>
                <w:w w:val="98"/>
              </w:rPr>
              <w:t>April 21, 2014, May 5, 2014, May 20, 2014 (1 filed Form 8-K), June 5,</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Arial" w:cs="Arial" w:eastAsia="Arial" w:hAnsi="Arial"/>
                <w:sz w:val="18"/>
                <w:szCs w:val="18"/>
                <w:color w:val="auto"/>
                <w:w w:val="91"/>
              </w:rPr>
              <w:t>2014 (2 filed Forms 8-K), June 12, 2014 (and amendment thereto on Form</w:t>
            </w:r>
          </w:p>
        </w:tc>
      </w:tr>
      <w:tr>
        <w:trPr>
          <w:trHeight w:val="216"/>
        </w:trPr>
        <w:tc>
          <w:tcPr>
            <w:tcW w:w="2880" w:type="dxa"/>
            <w:vAlign w:val="bottom"/>
          </w:tcPr>
          <w:p>
            <w:pPr>
              <w:spacing w:after="0"/>
              <w:rPr>
                <w:sz w:val="18"/>
                <w:szCs w:val="18"/>
                <w:color w:val="auto"/>
              </w:rPr>
            </w:pPr>
          </w:p>
        </w:tc>
        <w:tc>
          <w:tcPr>
            <w:tcW w:w="8520" w:type="dxa"/>
            <w:vAlign w:val="bottom"/>
            <w:gridSpan w:val="3"/>
          </w:tcPr>
          <w:p>
            <w:pPr>
              <w:ind w:left="3060"/>
              <w:spacing w:after="0"/>
              <w:rPr>
                <w:sz w:val="20"/>
                <w:szCs w:val="20"/>
                <w:color w:val="auto"/>
              </w:rPr>
            </w:pPr>
            <w:r>
              <w:rPr>
                <w:rFonts w:ascii="Arial" w:cs="Arial" w:eastAsia="Arial" w:hAnsi="Arial"/>
                <w:sz w:val="18"/>
                <w:szCs w:val="18"/>
                <w:color w:val="auto"/>
                <w:w w:val="94"/>
              </w:rPr>
              <w:t>8-K/A filed on August 15, 2014), July 2, 2014, July 18, 2014, October 10,</w:t>
            </w:r>
          </w:p>
        </w:tc>
      </w:tr>
      <w:tr>
        <w:trPr>
          <w:trHeight w:val="230"/>
        </w:trPr>
        <w:tc>
          <w:tcPr>
            <w:tcW w:w="2880" w:type="dxa"/>
            <w:vAlign w:val="bottom"/>
          </w:tcPr>
          <w:p>
            <w:pPr>
              <w:spacing w:after="0"/>
              <w:rPr>
                <w:sz w:val="20"/>
                <w:szCs w:val="20"/>
                <w:color w:val="auto"/>
              </w:rPr>
            </w:pPr>
          </w:p>
        </w:tc>
        <w:tc>
          <w:tcPr>
            <w:tcW w:w="8520" w:type="dxa"/>
            <w:vAlign w:val="bottom"/>
            <w:gridSpan w:val="3"/>
          </w:tcPr>
          <w:p>
            <w:pPr>
              <w:ind w:left="3060"/>
              <w:spacing w:after="0"/>
              <w:rPr>
                <w:sz w:val="20"/>
                <w:szCs w:val="20"/>
                <w:color w:val="auto"/>
              </w:rPr>
            </w:pPr>
            <w:r>
              <w:rPr>
                <w:rFonts w:ascii="Arial" w:cs="Arial" w:eastAsia="Arial" w:hAnsi="Arial"/>
                <w:sz w:val="18"/>
                <w:szCs w:val="18"/>
                <w:color w:val="auto"/>
              </w:rPr>
              <w:t>2014, October 17, 2014 and October 22, 2014</w:t>
            </w:r>
          </w:p>
        </w:tc>
      </w:tr>
    </w:tbl>
    <w:p>
      <w:pPr>
        <w:spacing w:after="0" w:line="202" w:lineRule="exact"/>
        <w:rPr>
          <w:sz w:val="20"/>
          <w:szCs w:val="20"/>
          <w:color w:val="auto"/>
        </w:rPr>
      </w:pPr>
    </w:p>
    <w:p>
      <w:pPr>
        <w:ind w:right="300" w:firstLine="799"/>
        <w:spacing w:after="0" w:line="264" w:lineRule="auto"/>
        <w:rPr>
          <w:sz w:val="20"/>
          <w:szCs w:val="20"/>
          <w:color w:val="auto"/>
        </w:rPr>
      </w:pPr>
      <w:r>
        <w:rPr>
          <w:rFonts w:ascii="Arial" w:cs="Arial" w:eastAsia="Arial" w:hAnsi="Arial"/>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(313) 556-5000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20 Broad Street, New York, New York 10005, where our common stock is listed.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143510</wp:posOffset>
            </wp:positionV>
            <wp:extent cx="4536440" cy="651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36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prospectus contains summaries of the general terms of the securities. 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ind w:firstLine="45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Investment in any of the securities involves risk. See “</w:t>
      </w:r>
      <w:hyperlink w:anchor="page3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in our periodic reports filed from time to time with the Securities and Exchange Commission and in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April 30, 2014.</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5"/>
              </w:rPr>
              <w:t>TABLE OF CONTENTS</w:t>
            </w:r>
          </w:p>
        </w:tc>
        <w:tc>
          <w:tcPr>
            <w:tcW w:w="22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399"/>
        </w:trPr>
        <w:tc>
          <w:tcPr>
            <w:tcW w:w="886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INCORPORATION OF CERTAIN DOCUMENTS BY REFERENCE</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392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GENERAL MOTORS COMPANY</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RATIO OF EARNINGS TO FIXED CHARGES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CONSOLIDATED RATIO OF EARNINGS TO COMBINED FIXED CHARGES AND PREFERRED STOCK DIVIDENDS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FORWARD-LOOKING STATEMENTS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OVERVIEW OF OUR CAPITAL STOCK</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GENERAL DESCRIPTION OF SECURITIES THAT MAY BE OFFERED</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DESCRIPTION OF DEBT SECURITIES</w:t>
              </w:r>
            </w:hyperlink>
          </w:p>
        </w:tc>
        <w:tc>
          <w:tcPr>
            <w:tcW w:w="2340" w:type="dxa"/>
            <w:vAlign w:val="bottom"/>
            <w:tcBorders>
              <w:top w:val="single" w:sz="8" w:color="0000EE"/>
            </w:tcBorders>
            <w:gridSpan w:val="6"/>
          </w:tcPr>
          <w:p>
            <w:pPr>
              <w:spacing w:after="0"/>
              <w:rPr>
                <w:sz w:val="17"/>
                <w:szCs w:val="17"/>
                <w:color w:val="auto"/>
              </w:rPr>
            </w:pPr>
          </w:p>
        </w:tc>
        <w:tc>
          <w:tcPr>
            <w:tcW w:w="352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0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DESCRIPTION OF PREFERRED STOCK</w:t>
              </w:r>
            </w:hyperlink>
          </w:p>
        </w:tc>
        <w:tc>
          <w:tcPr>
            <w:tcW w:w="578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COMMON STOCK</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8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WARRANTS</w:t>
              </w:r>
            </w:hyperlink>
          </w:p>
        </w:tc>
        <w:tc>
          <w:tcPr>
            <w:tcW w:w="5980" w:type="dxa"/>
            <w:vAlign w:val="bottom"/>
            <w:gridSpan w:val="9"/>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4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PLAN OF DISTRIBUTION</w:t>
              </w:r>
            </w:hyperlink>
          </w:p>
        </w:tc>
        <w:tc>
          <w:tcPr>
            <w:tcW w:w="644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686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44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8860" w:type="dxa"/>
            <w:vAlign w:val="bottom"/>
            <w:gridSpan w:val="1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WHERE YOU CAN FIND MORE INFORMATION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this prospectus,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which is sometimes referred to in this prospectus for periods on or after July 10, 2009 as “MLC.” On December 15, 2011 MLC was dissolved and transferred its remaining assets and liabilities to the Motors Liquidation Company GUC Trust.</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until the date of completion of this offering (provided, however, that this prospectus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400"/>
          </w:cols>
          <w:pgMar w:left="240" w:top="459" w:right="25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490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 or Form 8-K/A</w:t>
      </w:r>
    </w:p>
    <w:p>
      <w:pPr>
        <w:spacing w:after="0" w:line="200" w:lineRule="exact"/>
        <w:rPr>
          <w:sz w:val="20"/>
          <w:szCs w:val="20"/>
          <w:color w:val="auto"/>
        </w:rPr>
      </w:pPr>
    </w:p>
    <w:p>
      <w:pPr>
        <w:spacing w:after="0" w:line="235" w:lineRule="exact"/>
        <w:rPr>
          <w:sz w:val="20"/>
          <w:szCs w:val="20"/>
          <w:color w:val="auto"/>
        </w:rPr>
      </w:pPr>
    </w:p>
    <w:p>
      <w:pPr>
        <w:ind w:right="1440"/>
        <w:spacing w:after="0" w:line="259" w:lineRule="auto"/>
        <w:rPr>
          <w:sz w:val="20"/>
          <w:szCs w:val="20"/>
          <w:color w:val="auto"/>
        </w:rPr>
      </w:pPr>
      <w:r>
        <w:rPr>
          <w:rFonts w:ascii="Arial" w:cs="Arial" w:eastAsia="Arial" w:hAnsi="Arial"/>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Year ended December 31, 2013 (filed with the SEC on February 6, 2014) Quarter ended March 31, 2014 (filed with the SEC on April 24, 2014) Dates filed: January 7, 2014, January 15, 2014 (2 filings), January 17, 2014, February 4, 2014, March 4, 2014, March 13, 2014, April 3, 2014 and April 21, 2014</w:t>
      </w:r>
    </w:p>
    <w:p>
      <w:pPr>
        <w:spacing w:after="0" w:line="81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right="340" w:firstLine="456"/>
        <w:spacing w:after="0" w:line="259"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 556-5000</w:t>
      </w:r>
    </w:p>
    <w:p>
      <w:pPr>
        <w:spacing w:after="0" w:line="1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2013, as updated by our subsequent filings under the Exchange Act, including Forms 10-Q and 8-K, and the risk factors contained or incorporated by reference in the accompanying prospectus supplement before acquiring any of the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General Motors Company commenced operations on July 10, 2009 when we, through certain of our subsidiaries, completed the acquisition of substantially all of the assets and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Successor</w:t>
            </w: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60" w:type="dxa"/>
            <w:vAlign w:val="bottom"/>
            <w:gridSpan w:val="3"/>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7"/>
              </w:rPr>
              <w:t>July 10, 2009</w:t>
            </w:r>
          </w:p>
        </w:tc>
        <w:tc>
          <w:tcPr>
            <w:tcW w:w="4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1, 2009</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106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Ended March 31,</w:t>
            </w:r>
          </w:p>
        </w:tc>
        <w:tc>
          <w:tcPr>
            <w:tcW w:w="13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560" w:type="dxa"/>
            <w:vAlign w:val="bottom"/>
            <w:tcBorders>
              <w:right w:val="single" w:sz="8" w:color="auto"/>
            </w:tcBorders>
            <w:gridSpan w:val="2"/>
            <w:vMerge w:val="restart"/>
          </w:tcPr>
          <w:p>
            <w:pPr>
              <w:jc w:val="center"/>
              <w:ind w:right="440"/>
              <w:spacing w:after="0" w:line="108" w:lineRule="exact"/>
              <w:rPr>
                <w:sz w:val="20"/>
                <w:szCs w:val="20"/>
                <w:color w:val="auto"/>
              </w:rPr>
            </w:pPr>
            <w:r>
              <w:rPr>
                <w:rFonts w:ascii="Arial" w:cs="Arial" w:eastAsia="Arial" w:hAnsi="Arial"/>
                <w:sz w:val="12"/>
                <w:szCs w:val="12"/>
                <w:b w:val="1"/>
                <w:bCs w:val="1"/>
                <w:color w:val="auto"/>
              </w:rPr>
              <w:t>Through</w:t>
            </w:r>
          </w:p>
        </w:tc>
        <w:tc>
          <w:tcPr>
            <w:tcW w:w="400" w:type="dxa"/>
            <w:vAlign w:val="bottom"/>
            <w:vMerge w:val="restart"/>
          </w:tcPr>
          <w:p>
            <w:pPr>
              <w:spacing w:after="0"/>
              <w:rPr>
                <w:sz w:val="3"/>
                <w:szCs w:val="3"/>
                <w:color w:val="auto"/>
              </w:rPr>
            </w:pPr>
          </w:p>
        </w:tc>
        <w:tc>
          <w:tcPr>
            <w:tcW w:w="94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Through July 9,</w:t>
            </w: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Borders>
              <w:right w:val="single" w:sz="8" w:color="auto"/>
            </w:tcBorders>
            <w:gridSpan w:val="2"/>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00" w:type="dxa"/>
            <w:vAlign w:val="bottom"/>
            <w:gridSpan w:val="2"/>
          </w:tcPr>
          <w:p>
            <w:pPr>
              <w:jc w:val="center"/>
              <w:ind w:left="872"/>
              <w:spacing w:after="0" w:line="129" w:lineRule="exact"/>
              <w:rPr>
                <w:sz w:val="20"/>
                <w:szCs w:val="20"/>
                <w:color w:val="auto"/>
              </w:rPr>
            </w:pPr>
            <w:r>
              <w:rPr>
                <w:rFonts w:ascii="Arial" w:cs="Arial" w:eastAsia="Arial" w:hAnsi="Arial"/>
                <w:sz w:val="14"/>
                <w:szCs w:val="14"/>
                <w:b w:val="1"/>
                <w:bCs w:val="1"/>
                <w:color w:val="auto"/>
                <w:w w:val="83"/>
              </w:rPr>
              <w:t>2014</w:t>
            </w:r>
          </w:p>
        </w:tc>
        <w:tc>
          <w:tcPr>
            <w:tcW w:w="2200" w:type="dxa"/>
            <w:vAlign w:val="bottom"/>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rPr>
              <w:t>2013</w:t>
            </w:r>
          </w:p>
        </w:tc>
        <w:tc>
          <w:tcPr>
            <w:tcW w:w="1300" w:type="dxa"/>
            <w:vAlign w:val="bottom"/>
            <w:gridSpan w:val="2"/>
          </w:tcPr>
          <w:p>
            <w:pPr>
              <w:jc w:val="right"/>
              <w:ind w:right="222"/>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860" w:type="dxa"/>
            <w:vAlign w:val="bottom"/>
          </w:tcPr>
          <w:p>
            <w:pPr>
              <w:jc w:val="right"/>
              <w:ind w:right="222"/>
              <w:spacing w:after="0" w:line="129" w:lineRule="exact"/>
              <w:rPr>
                <w:sz w:val="20"/>
                <w:szCs w:val="20"/>
                <w:color w:val="auto"/>
              </w:rPr>
            </w:pPr>
            <w:r>
              <w:rPr>
                <w:rFonts w:ascii="Arial" w:cs="Arial" w:eastAsia="Arial" w:hAnsi="Arial"/>
                <w:sz w:val="14"/>
                <w:szCs w:val="14"/>
                <w:b w:val="1"/>
                <w:bCs w:val="1"/>
                <w:color w:val="auto"/>
              </w:rPr>
              <w:t>2011</w:t>
            </w:r>
          </w:p>
        </w:tc>
        <w:tc>
          <w:tcPr>
            <w:tcW w:w="1320" w:type="dxa"/>
            <w:vAlign w:val="bottom"/>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December 31, 2009</w:t>
            </w:r>
          </w:p>
        </w:tc>
        <w:tc>
          <w:tcPr>
            <w:tcW w:w="40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2009(a)</w:t>
            </w:r>
          </w:p>
        </w:tc>
        <w:tc>
          <w:tcPr>
            <w:tcW w:w="0" w:type="dxa"/>
            <w:vAlign w:val="bottom"/>
          </w:tcPr>
          <w:p>
            <w:pPr>
              <w:spacing w:after="0"/>
              <w:rPr>
                <w:sz w:val="1"/>
                <w:szCs w:val="1"/>
                <w:color w:val="auto"/>
              </w:rPr>
            </w:pPr>
          </w:p>
        </w:tc>
      </w:tr>
      <w:tr>
        <w:trPr>
          <w:trHeight w:val="20"/>
        </w:trPr>
        <w:tc>
          <w:tcPr>
            <w:tcW w:w="9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right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(b)</w:t>
            </w:r>
          </w:p>
        </w:tc>
        <w:tc>
          <w:tcPr>
            <w:tcW w:w="13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5.85</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(b)</w:t>
            </w:r>
          </w:p>
        </w:tc>
        <w:tc>
          <w:tcPr>
            <w:tcW w:w="4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02"/>
              <w:spacing w:after="0" w:line="196" w:lineRule="exact"/>
              <w:rPr>
                <w:sz w:val="20"/>
                <w:szCs w:val="20"/>
                <w:color w:val="auto"/>
              </w:rPr>
            </w:pPr>
            <w:r>
              <w:rPr>
                <w:rFonts w:ascii="Arial" w:cs="Arial" w:eastAsia="Arial" w:hAnsi="Arial"/>
                <w:sz w:val="18"/>
                <w:szCs w:val="18"/>
                <w:color w:val="auto"/>
              </w:rPr>
              <w:t>7.90</w:t>
            </w:r>
          </w:p>
        </w:tc>
        <w:tc>
          <w:tcPr>
            <w:tcW w:w="4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5.93</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(b)</w:t>
            </w:r>
          </w:p>
        </w:tc>
        <w:tc>
          <w:tcPr>
            <w:tcW w:w="46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for the period January 1, 2009 through July 9, 2009 include reorganization gains, net of $128.2 billion.</w:t>
      </w:r>
    </w:p>
    <w:p>
      <w:pPr>
        <w:spacing w:after="0" w:line="15" w:lineRule="exact"/>
        <w:rPr>
          <w:rFonts w:ascii="Arial" w:cs="Arial" w:eastAsia="Arial" w:hAnsi="Arial"/>
          <w:sz w:val="18"/>
          <w:szCs w:val="18"/>
          <w:color w:val="auto"/>
        </w:rPr>
      </w:pPr>
    </w:p>
    <w:p>
      <w:pPr>
        <w:ind w:left="460" w:right="280" w:hanging="452"/>
        <w:spacing w:after="0" w:line="33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Earnings in the three months ended March 31, 2014, the year ended December 31, 2012 and the period July 10, 2009 through December 31, 2009 were inadequate to cover fixed charges. Additional earnings of $0.6 billion, $28.8 billion and $4.9 billion in the three months ended March 31, 2014, the year ended December 31, 2012 and the period July 10, 2009 through December 31, 2009 would have been necessary to bring ratios for these periods to 1.0.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RATIO OF EARNINGS TO COMBINED FIXED CHARGES AND PREFERRED STOCK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presents the consolidated ratio of our earnings to combined fixed charges and preferred stock dividends for each of the periods indicated:</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Successor</w:t>
            </w: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3"/>
          </w:tcPr>
          <w:p>
            <w:pPr>
              <w:ind w:left="240"/>
              <w:spacing w:after="0"/>
              <w:rPr>
                <w:sz w:val="20"/>
                <w:szCs w:val="20"/>
                <w:color w:val="auto"/>
              </w:rPr>
            </w:pPr>
            <w:r>
              <w:rPr>
                <w:rFonts w:ascii="Arial" w:cs="Arial" w:eastAsia="Arial" w:hAnsi="Arial"/>
                <w:sz w:val="14"/>
                <w:szCs w:val="14"/>
                <w:b w:val="1"/>
                <w:bCs w:val="1"/>
                <w:color w:val="auto"/>
                <w:w w:val="99"/>
              </w:rPr>
              <w:t>Years Ended December 31,</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7"/>
              </w:rPr>
              <w:t>July 10, 2009</w:t>
            </w:r>
          </w:p>
        </w:tc>
        <w:tc>
          <w:tcPr>
            <w:tcW w:w="4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1, 2009</w:t>
            </w:r>
          </w:p>
        </w:tc>
        <w:tc>
          <w:tcPr>
            <w:tcW w:w="0" w:type="dxa"/>
            <w:vAlign w:val="bottom"/>
          </w:tcPr>
          <w:p>
            <w:pPr>
              <w:spacing w:after="0"/>
              <w:rPr>
                <w:sz w:val="1"/>
                <w:szCs w:val="1"/>
                <w:color w:val="auto"/>
              </w:rPr>
            </w:pPr>
          </w:p>
        </w:tc>
      </w:tr>
      <w:tr>
        <w:trPr>
          <w:trHeight w:val="41"/>
        </w:trPr>
        <w:tc>
          <w:tcPr>
            <w:tcW w:w="480" w:type="dxa"/>
            <w:vAlign w:val="bottom"/>
          </w:tcPr>
          <w:p>
            <w:pPr>
              <w:spacing w:after="0"/>
              <w:rPr>
                <w:sz w:val="3"/>
                <w:szCs w:val="3"/>
                <w:color w:val="auto"/>
              </w:rPr>
            </w:pPr>
          </w:p>
        </w:tc>
        <w:tc>
          <w:tcPr>
            <w:tcW w:w="102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Ended March 31,</w:t>
            </w:r>
          </w:p>
        </w:tc>
        <w:tc>
          <w:tcPr>
            <w:tcW w:w="9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680" w:type="dxa"/>
            <w:vAlign w:val="bottom"/>
            <w:tcBorders>
              <w:right w:val="single" w:sz="8" w:color="auto"/>
            </w:tcBorders>
            <w:gridSpan w:val="2"/>
            <w:vMerge w:val="restart"/>
          </w:tcPr>
          <w:p>
            <w:pPr>
              <w:jc w:val="center"/>
              <w:ind w:right="580"/>
              <w:spacing w:after="0" w:line="108" w:lineRule="exact"/>
              <w:rPr>
                <w:sz w:val="20"/>
                <w:szCs w:val="20"/>
                <w:color w:val="auto"/>
              </w:rPr>
            </w:pPr>
            <w:r>
              <w:rPr>
                <w:rFonts w:ascii="Arial" w:cs="Arial" w:eastAsia="Arial" w:hAnsi="Arial"/>
                <w:sz w:val="12"/>
                <w:szCs w:val="12"/>
                <w:b w:val="1"/>
                <w:bCs w:val="1"/>
                <w:color w:val="auto"/>
              </w:rPr>
              <w:t>Through</w:t>
            </w:r>
          </w:p>
        </w:tc>
        <w:tc>
          <w:tcPr>
            <w:tcW w:w="440" w:type="dxa"/>
            <w:vAlign w:val="bottom"/>
            <w:vMerge w:val="restart"/>
          </w:tcPr>
          <w:p>
            <w:pPr>
              <w:spacing w:after="0"/>
              <w:rPr>
                <w:sz w:val="3"/>
                <w:szCs w:val="3"/>
                <w:color w:val="auto"/>
              </w:rPr>
            </w:pPr>
          </w:p>
        </w:tc>
        <w:tc>
          <w:tcPr>
            <w:tcW w:w="94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Through July 9,</w:t>
            </w:r>
          </w:p>
        </w:tc>
        <w:tc>
          <w:tcPr>
            <w:tcW w:w="0" w:type="dxa"/>
            <w:vAlign w:val="bottom"/>
          </w:tcPr>
          <w:p>
            <w:pPr>
              <w:spacing w:after="0"/>
              <w:rPr>
                <w:sz w:val="1"/>
                <w:szCs w:val="1"/>
                <w:color w:val="auto"/>
              </w:rPr>
            </w:pPr>
          </w:p>
        </w:tc>
      </w:tr>
      <w:tr>
        <w:trPr>
          <w:trHeight w:val="48"/>
        </w:trPr>
        <w:tc>
          <w:tcPr>
            <w:tcW w:w="4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jc w:val="center"/>
              <w:ind w:left="412"/>
              <w:spacing w:after="0" w:line="129" w:lineRule="exact"/>
              <w:rPr>
                <w:sz w:val="20"/>
                <w:szCs w:val="20"/>
                <w:color w:val="auto"/>
              </w:rPr>
            </w:pPr>
            <w:r>
              <w:rPr>
                <w:rFonts w:ascii="Arial" w:cs="Arial" w:eastAsia="Arial" w:hAnsi="Arial"/>
                <w:sz w:val="14"/>
                <w:szCs w:val="14"/>
                <w:b w:val="1"/>
                <w:bCs w:val="1"/>
                <w:color w:val="auto"/>
                <w:w w:val="83"/>
              </w:rPr>
              <w:t>2014</w:t>
            </w:r>
          </w:p>
        </w:tc>
        <w:tc>
          <w:tcPr>
            <w:tcW w:w="170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rPr>
              <w:t>2013</w:t>
            </w:r>
          </w:p>
        </w:tc>
        <w:tc>
          <w:tcPr>
            <w:tcW w:w="1260" w:type="dxa"/>
            <w:vAlign w:val="bottom"/>
            <w:gridSpan w:val="2"/>
          </w:tcPr>
          <w:p>
            <w:pPr>
              <w:ind w:left="740"/>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780" w:type="dxa"/>
            <w:vAlign w:val="bottom"/>
          </w:tcPr>
          <w:p>
            <w:pPr>
              <w:jc w:val="right"/>
              <w:ind w:right="182"/>
              <w:spacing w:after="0" w:line="129" w:lineRule="exact"/>
              <w:rPr>
                <w:sz w:val="20"/>
                <w:szCs w:val="20"/>
                <w:color w:val="auto"/>
              </w:rPr>
            </w:pPr>
            <w:r>
              <w:rPr>
                <w:rFonts w:ascii="Arial" w:cs="Arial" w:eastAsia="Arial" w:hAnsi="Arial"/>
                <w:sz w:val="14"/>
                <w:szCs w:val="14"/>
                <w:b w:val="1"/>
                <w:bCs w:val="1"/>
                <w:color w:val="auto"/>
              </w:rPr>
              <w:t>2011</w:t>
            </w:r>
          </w:p>
        </w:tc>
        <w:tc>
          <w:tcPr>
            <w:tcW w:w="126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680" w:type="dxa"/>
            <w:vAlign w:val="bottom"/>
            <w:tcBorders>
              <w:right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December 31, 2009</w:t>
            </w:r>
          </w:p>
        </w:tc>
        <w:tc>
          <w:tcPr>
            <w:tcW w:w="44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2009(a)</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right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(b)</w:t>
            </w:r>
          </w:p>
        </w:tc>
        <w:tc>
          <w:tcPr>
            <w:tcW w:w="9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1.97</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(b)</w:t>
            </w:r>
          </w:p>
        </w:tc>
        <w:tc>
          <w:tcPr>
            <w:tcW w:w="4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62"/>
              <w:spacing w:after="0" w:line="196" w:lineRule="exact"/>
              <w:rPr>
                <w:sz w:val="20"/>
                <w:szCs w:val="20"/>
                <w:color w:val="auto"/>
              </w:rPr>
            </w:pPr>
            <w:r>
              <w:rPr>
                <w:rFonts w:ascii="Arial" w:cs="Arial" w:eastAsia="Arial" w:hAnsi="Arial"/>
                <w:sz w:val="18"/>
                <w:szCs w:val="18"/>
                <w:color w:val="auto"/>
              </w:rPr>
              <w:t>4.38</w:t>
            </w:r>
          </w:p>
        </w:tc>
        <w:tc>
          <w:tcPr>
            <w:tcW w:w="4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2.66</w:t>
            </w: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(b)</w:t>
            </w:r>
          </w:p>
        </w:tc>
        <w:tc>
          <w:tcPr>
            <w:tcW w:w="50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for the period January 1, 2009 through July 9, 2009 include reorganization gains, net of $128.2 billion.</w:t>
      </w:r>
    </w:p>
    <w:p>
      <w:pPr>
        <w:spacing w:after="0" w:line="15"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in the three months ended March 31, 2014, the year ended December 31, 2012 and the period July 10, 2009 through December 31, 2009 were inadequate to cover combined fixed charges and preferred stock dividends. Additional earnings of $0.6 billion, $29.7 billion and $5.0 billion in the three months ended March 31, 2014, the year ended December 31, 2012 and the period July 10, 2009 through December 31, 2009 would have been necessary to bring ratios for these periods to 1.0.</w:t>
      </w:r>
    </w:p>
    <w:p>
      <w:pPr>
        <w:spacing w:after="0" w:line="30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of a particular offering will identify the use of proceeds for the offering.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2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CAPITAL STOCK</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description of the material provisions of our capital stock is based upon our certificate of incorporation, as amended (Certificate of Incorporation), our bylaws, as amended (Bylaws), the respective warrant agreements for each of our outstanding warrants, the certificate of designations for our Series A Fixed Rate Cumulative Perpetual Preferred Stock (Series A Preferred Stock) and applicable provisions of law, in each case as currently in effect as of the date of this prospectus, and is qualified in its entirety by reference to the provisions of those documents.</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April 25, 2014, 1,603,739,863 shares of our common stock were issued and outstanding. The general terms of our common stock are described below within the section of this prospectus entitled “Description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certificate of designations for the Series A Preferred Stock authorizes 360,000,000 shares of Series A Preferred Stock, 156 million of which were outstanding as of April 25, 2014. There are no mandatory redemption, mandatory repurchase or sinking fund provisions applicable to our Series A Preferred Stock.</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Holders of Series A Preferred Stock are entitled to receive, on each share, if, as and when declared by General Motor’s board of directors (Board of Directors), cumulative cash dividends with respect to each quarterly dividend payment at a rate of 9.0% per annum on the liquidation amount of $25.00 per share and the amount of accrued and unpaid dividends for any prior dividend period, if any. Unless all accrued and unpaid dividends on the Series A Preferred Stock are paid in full, no dividends or distributions may be paid on our common stock or any other class or series of our stock, and no shares of common stock or any other class or series of our stock may be repurchased or redeemed by us (subject to certain exceptions that are specified in the certificate of designations for the Series A Preferred Stock).</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the event of any voluntary or involuntary liquidation, dissolution or winding up of our affairs, a holder of the Series A Preferred Stock will be entitled to be paid, before any distribution or payment may be made to any holders of our common stock or any other class or series of our stock: (1) the liquidation amount of $25.00 per share; and (2) the amount of any accrued and unpaid dividends, if any, whether or not declared, prior to such distribution or payment date.</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not redeem the Series A Preferred Stock prior to December 31, 2014. On or after December 31, 2014, we (at our option) may redeem, in whole or in part, at any time and from time to time, the Series A Preferred Stock at a redemption price per share equal to the $25.00 per share liquidation amount plus any accrued and unpaid dividends.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holders of the Series A Preferred Stock do not have voting rights, except with respect to certain fundamental changes in the terms of the Series A Preferred Stock, in the case of certain dividend arrearages and except as specifically required under Delaware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the Series A Preferred Stock are not convertible into or exchangeable for any other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2009, we issued three sets of warrants:</w:t>
      </w:r>
    </w:p>
    <w:p>
      <w:pPr>
        <w:spacing w:after="0" w:line="90" w:lineRule="exact"/>
        <w:rPr>
          <w:sz w:val="20"/>
          <w:szCs w:val="20"/>
          <w:color w:val="auto"/>
        </w:rPr>
      </w:pPr>
    </w:p>
    <w:p>
      <w:pPr>
        <w:ind w:left="900" w:right="380" w:hanging="325"/>
        <w:spacing w:after="0" w:line="357"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set of warrants to acquire 45,454,545 shares of common stock that are exercisable at any time prior to 5:00 p.m. New York City time, on December 31, 2015 at an exercise price of $42.31 per share and that are listed on the New York Stock Exchange under the symbol “GM.WS.C;”</w:t>
      </w:r>
    </w:p>
    <w:p>
      <w:pPr>
        <w:ind w:left="900" w:right="8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2016 at an exercise price of $10.00 per share and that are listed on the New York Stock Exchange under the symbol “GM.WS.A;”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8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of April 25, 2014, there were a total of 180,893,718 warrants outstanding among these three sets. The number of each of the warrants and the per share exercise price thereof are subject to adjustment as a result of certain events, including stock splits, reverse stock splits and stock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6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Bylaws provide that any vacancy occurring in our Board of Directors for any reason may be filled by a majority of the remaining members of our Board of Directors then in office, even if they do not constitute a quorum. Each director so elected shall hold office for a term expiring at the same time as the terms of the directors serving at the time he joins the Board of Directors. Each such director shall hold office until his or her successor is elected and qualified, unless he or she dies, resigns or otherwise leaves the Board of Directors before then.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of the voting power of the outstanding shares of all classes of stock entitled to vote at such a meeting, subject to requirements and limitations set forth in our Bylaws.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Under our Bylaws, nominations for the election of directors may be made by the Board of Directors in accordance with the stockholders agreement we entered into with the United States Department of Treasury and two of our stockholders - Canada GEN Investment Corporation and the UAW Retiree Medical Benefits Trust - or by any stockholder entitled to vote for the election of directors who complies with the applicable notice requirements.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make the nomination or bring up the matter specified in the notice and a representation as to whether the stockholder intends to deliver a proxy statement and/or otherwise to solicit proxies from stockholders in support of such proposal or nomination. For the timing of the stockholder notice, our Bylaws require that the notice must be received by our secretary:</w:t>
      </w:r>
    </w:p>
    <w:p>
      <w:pPr>
        <w:spacing w:after="0" w:line="5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an annual meeting, not more than 180 days and not less than 120 days in advance of the annual meeting;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case of a special meeting, not more than 15 days after the day on which notice of the special meeting is first mailed to stockholders.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59" w:lineRule="exact"/>
        <w:rPr>
          <w:sz w:val="20"/>
          <w:szCs w:val="20"/>
          <w:color w:val="auto"/>
        </w:rPr>
      </w:pPr>
    </w:p>
    <w:p>
      <w:pPr>
        <w:ind w:left="900" w:right="5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date the interested stockholder obtained such status;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296" w:lineRule="exact"/>
        <w:rPr>
          <w:sz w:val="20"/>
          <w:szCs w:val="20"/>
          <w:color w:val="auto"/>
        </w:rPr>
      </w:pPr>
    </w:p>
    <w:p>
      <w:pPr>
        <w:ind w:left="460" w:right="2880" w:firstLine="2418"/>
        <w:spacing w:after="0" w:line="391" w:lineRule="auto"/>
        <w:rPr>
          <w:sz w:val="20"/>
          <w:szCs w:val="20"/>
          <w:color w:val="auto"/>
        </w:rPr>
      </w:pPr>
      <w:r>
        <w:rPr>
          <w:rFonts w:ascii="Arial" w:cs="Arial" w:eastAsia="Arial" w:hAnsi="Arial"/>
          <w:sz w:val="16"/>
          <w:szCs w:val="16"/>
          <w:b w:val="1"/>
          <w:bCs w:val="1"/>
          <w:color w:val="auto"/>
        </w:rPr>
        <w:t xml:space="preserve">GENERAL DESCRIPTION OF SECURITIES THAT MAY BE OFFERED </w:t>
      </w:r>
      <w:r>
        <w:rPr>
          <w:rFonts w:ascii="Arial" w:cs="Arial" w:eastAsia="Arial" w:hAnsi="Arial"/>
          <w:sz w:val="16"/>
          <w:szCs w:val="16"/>
          <w:color w:val="auto"/>
        </w:rPr>
        <w:t>The following securities may be offered, at any time and from time to time, pursuant to this prospectus:</w:t>
      </w:r>
    </w:p>
    <w:p>
      <w:pPr>
        <w:spacing w:after="0" w:line="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debt securities, in one or more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warrants to purchase any of the other securities that may be sold under this prospectus;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combination of these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debt securities offered by this prospectus will be issued under an indenture dated as of September 27, 2013 between us and The Bank of New York Mellon, as trustee, which has been filed with the SEC as an exhibit to the registration statement of which this prospectus is a part, subject to such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16" w:lineRule="exact"/>
        <w:rPr>
          <w:sz w:val="20"/>
          <w:szCs w:val="20"/>
          <w:color w:val="auto"/>
        </w:rPr>
      </w:pPr>
    </w:p>
    <w:p>
      <w:pPr>
        <w:jc w:val="both"/>
        <w:ind w:right="580" w:firstLine="456"/>
        <w:spacing w:after="0" w:line="335" w:lineRule="auto"/>
        <w:rPr>
          <w:sz w:val="20"/>
          <w:szCs w:val="20"/>
          <w:color w:val="auto"/>
        </w:rPr>
      </w:pPr>
      <w:r>
        <w:rPr>
          <w:rFonts w:ascii="Arial" w:cs="Arial" w:eastAsia="Arial" w:hAnsi="Arial"/>
          <w:sz w:val="15"/>
          <w:szCs w:val="15"/>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the debt securities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or any tranche thereof, is payable;</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and the dates on which such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if any, to extend the interest payment periods and the duration of any such extension;</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terms, if any, on which the debt securities of that series will be subordinate in right and priority of payment to any of our other debt;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denominations in which the debt securities of that series will be issuable;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other than U.S. dollars, the currency or currencies in which the principal of or any premium or interest on the debt securities of that series will be payable;</w:t>
      </w:r>
    </w:p>
    <w:p>
      <w:pPr>
        <w:spacing w:after="0" w:line="50"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addition to or change in the events of default which apply to, and covenants for the benefit of the holders of, the debt securities of that series;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of that series may be converted into or exchanged for securities or other property of us or any other person;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nature and terms of any collateral security, assurance or guaranty for the debt securities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guaranteed by any of our subsidiaries;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that series.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will describe any restrictive covenants for any series of debt securities in the applicable prospectus supplement for such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may terminate our obligations with respect to the debt securities of any series under the indenture (with the exception of specified provisions as provided in the indenture), when:</w:t>
      </w:r>
    </w:p>
    <w:p>
      <w:pPr>
        <w:spacing w:after="0" w:line="5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debt securities of such series previously authenticated and delivered have been delivered to the trustee for cancellation; or</w:t>
      </w:r>
    </w:p>
    <w:p>
      <w:pPr>
        <w:spacing w:after="0" w:line="113" w:lineRule="exact"/>
        <w:rPr>
          <w:rFonts w:ascii="Arial" w:cs="Arial" w:eastAsia="Arial" w:hAnsi="Arial"/>
          <w:sz w:val="16"/>
          <w:szCs w:val="16"/>
          <w:color w:val="auto"/>
        </w:rPr>
      </w:pPr>
    </w:p>
    <w:p>
      <w:pPr>
        <w:ind w:left="1480" w:hanging="446"/>
        <w:spacing w:after="0" w:line="288"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debt securities of such series not previously delivered to the trustee for cancellation (i) have become due and payable (whether at stated maturity, early redemption or otherwise), (ii) will become due and 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60"/>
        <w:spacing w:after="0" w:line="268" w:lineRule="auto"/>
        <w:rPr>
          <w:sz w:val="20"/>
          <w:szCs w:val="20"/>
          <w:color w:val="auto"/>
        </w:rPr>
      </w:pPr>
      <w:r>
        <w:rPr>
          <w:rFonts w:ascii="Arial" w:cs="Arial" w:eastAsia="Arial" w:hAnsi="Arial"/>
          <w:sz w:val="18"/>
          <w:szCs w:val="18"/>
          <w:color w:val="auto"/>
        </w:rPr>
        <w:t>interest on, the debt securities of such series to the date of deposit (in the case of debt securities that have become due and payable) or the stated maturity date or redemption date thereof; and</w:t>
      </w:r>
    </w:p>
    <w:p>
      <w:pPr>
        <w:spacing w:after="0" w:line="5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90" w:lineRule="exact"/>
        <w:rPr>
          <w:rFonts w:ascii="Arial" w:cs="Arial" w:eastAsia="Arial" w:hAnsi="Arial"/>
          <w:sz w:val="18"/>
          <w:szCs w:val="18"/>
          <w:color w:val="auto"/>
        </w:rPr>
      </w:pPr>
    </w:p>
    <w:p>
      <w:pPr>
        <w:ind w:left="900" w:right="46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62" w:lineRule="exact"/>
        <w:rPr>
          <w:sz w:val="20"/>
          <w:szCs w:val="20"/>
          <w:color w:val="auto"/>
        </w:rPr>
      </w:pPr>
    </w:p>
    <w:p>
      <w:pPr>
        <w:ind w:left="900" w:right="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rights of holders of the debt securities of such series to receive, solely from the funds deposited with the trustee, payment of the principal of (and premium, if any) and interest when due;</w:t>
      </w:r>
    </w:p>
    <w:p>
      <w:pPr>
        <w:spacing w:after="0" w:line="5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conditions to the applications of legal defeasance or covenant defeasance to any series of debt securities:</w:t>
      </w:r>
    </w:p>
    <w:p>
      <w:pPr>
        <w:spacing w:after="0" w:line="90" w:lineRule="exact"/>
        <w:rPr>
          <w:sz w:val="20"/>
          <w:szCs w:val="20"/>
          <w:color w:val="auto"/>
        </w:rPr>
      </w:pPr>
    </w:p>
    <w:p>
      <w:pPr>
        <w:ind w:left="9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cash in dollars (or such other currency or composite currency in which such debt securities are denominated) in an amount sufficient;</w:t>
      </w:r>
    </w:p>
    <w:p>
      <w:pPr>
        <w:spacing w:after="0" w:line="113" w:lineRule="exact"/>
        <w:rPr>
          <w:rFonts w:ascii="Arial" w:cs="Arial" w:eastAsia="Arial" w:hAnsi="Arial"/>
          <w:sz w:val="16"/>
          <w:szCs w:val="16"/>
          <w:color w:val="auto"/>
        </w:rPr>
      </w:pPr>
    </w:p>
    <w:p>
      <w:pPr>
        <w:ind w:left="1480" w:right="100" w:hanging="446"/>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combination of such cash and eligible obligations in an amount sufficient,</w:t>
      </w:r>
    </w:p>
    <w:p>
      <w:pPr>
        <w:spacing w:after="0" w:line="90"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in each case, in the written opinion of a nationally recognized firm of independent certified public accountants, to pay and discharge (1)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26" w:lineRule="exact"/>
        <w:rPr>
          <w:sz w:val="20"/>
          <w:szCs w:val="20"/>
          <w:color w:val="auto"/>
        </w:rPr>
      </w:pPr>
    </w:p>
    <w:p>
      <w:pPr>
        <w:ind w:left="900" w:right="80" w:hanging="446"/>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50" w:lineRule="exact"/>
        <w:rPr>
          <w:rFonts w:ascii="Arial" w:cs="Arial" w:eastAsia="Arial" w:hAnsi="Arial"/>
          <w:sz w:val="18"/>
          <w:szCs w:val="18"/>
          <w:color w:val="auto"/>
        </w:rPr>
      </w:pPr>
    </w:p>
    <w:p>
      <w:pPr>
        <w:jc w:val="both"/>
        <w:ind w:left="900" w:right="2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shall have delivered to the trustee an agreement whereby we irrevocably agree to forfeit our rights, if any, to extend the interest payment periods on such debt securities pursuant to the indenture;</w:t>
      </w:r>
    </w:p>
    <w:p>
      <w:pPr>
        <w:spacing w:after="0" w:line="5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25"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50" w:lineRule="exact"/>
        <w:rPr>
          <w:rFonts w:ascii="Arial" w:cs="Arial" w:eastAsia="Arial" w:hAnsi="Arial"/>
          <w:sz w:val="18"/>
          <w:szCs w:val="18"/>
          <w:color w:val="auto"/>
        </w:rPr>
      </w:pPr>
    </w:p>
    <w:p>
      <w:pPr>
        <w:ind w:left="900" w:right="200" w:hanging="446"/>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51" w:lineRule="exact"/>
        <w:rPr>
          <w:sz w:val="20"/>
          <w:szCs w:val="20"/>
          <w:color w:val="auto"/>
        </w:rPr>
      </w:pPr>
    </w:p>
    <w:p>
      <w:pPr>
        <w:ind w:left="900" w:right="160" w:hanging="446"/>
        <w:spacing w:after="0" w:line="29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3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50" w:lineRule="exact"/>
        <w:rPr>
          <w:rFonts w:ascii="Arial" w:cs="Arial" w:eastAsia="Arial" w:hAnsi="Arial"/>
          <w:sz w:val="18"/>
          <w:szCs w:val="18"/>
          <w:color w:val="auto"/>
        </w:rPr>
      </w:pPr>
    </w:p>
    <w:p>
      <w:pPr>
        <w:ind w:left="900" w:right="80" w:hanging="446"/>
        <w:spacing w:after="0" w:line="370"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62"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without the consent of the holder of each outstanding debt security so affected, no such supplemental indenture may:</w:t>
      </w:r>
    </w:p>
    <w:p>
      <w:pPr>
        <w:spacing w:after="0" w:line="39" w:lineRule="exact"/>
        <w:rPr>
          <w:sz w:val="20"/>
          <w:szCs w:val="20"/>
          <w:color w:val="auto"/>
        </w:rPr>
      </w:pPr>
    </w:p>
    <w:p>
      <w:pPr>
        <w:ind w:left="900" w:right="40" w:hanging="446"/>
        <w:spacing w:after="0" w:line="290"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 or</w:t>
      </w:r>
    </w:p>
    <w:p>
      <w:pPr>
        <w:spacing w:after="0" w:line="37" w:lineRule="exact"/>
        <w:rPr>
          <w:rFonts w:ascii="Arial" w:cs="Arial" w:eastAsia="Arial" w:hAnsi="Arial"/>
          <w:sz w:val="16"/>
          <w:szCs w:val="16"/>
          <w:color w:val="auto"/>
        </w:rPr>
      </w:pPr>
    </w:p>
    <w:p>
      <w:pPr>
        <w:ind w:left="900" w:right="12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59" w:lineRule="exact"/>
        <w:rPr>
          <w:rFonts w:ascii="Arial" w:cs="Arial" w:eastAsia="Arial" w:hAnsi="Arial"/>
          <w:sz w:val="18"/>
          <w:szCs w:val="18"/>
          <w:color w:val="auto"/>
        </w:rPr>
      </w:pPr>
    </w:p>
    <w:p>
      <w:pPr>
        <w:jc w:val="both"/>
        <w:ind w:left="900" w:right="340" w:hanging="446"/>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modify any of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51" w:lineRule="exact"/>
        <w:rPr>
          <w:sz w:val="20"/>
          <w:szCs w:val="20"/>
          <w:color w:val="auto"/>
        </w:rPr>
      </w:pPr>
    </w:p>
    <w:p>
      <w:pPr>
        <w:ind w:left="900" w:right="24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any such successor of the covenants applicable to us under the indenture and in the debt securities; or</w:t>
      </w:r>
    </w:p>
    <w:p>
      <w:pPr>
        <w:spacing w:after="0" w:line="5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add to the covenants applicable to us for the benefit of the holders of all or any series of debt securities, or to surrender any right or power conferred upon us under the indenture;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all or any series of debt securities; or</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59"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the indenture, or to add any new provision to the indenture, in respect of one or more series of debt securities; provided, however,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 or</w:t>
      </w:r>
    </w:p>
    <w:p>
      <w:pPr>
        <w:spacing w:after="0" w:line="31"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add collateral security with respect to the debt securities of any series and to provide for the terms and conditions of release or substitution thereof;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establish the issuance of and establish the form, terms and conditions of any additional debt securities of any series or tranche thereof as permitted by the indenture;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all, or any series or tranche of, certificated debt securities; or</w:t>
      </w:r>
    </w:p>
    <w:p>
      <w:pPr>
        <w:spacing w:after="0" w:line="90"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provide for a separate trustee or co-trustee;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change any place or places where (a) the principal of or premium, if any, or interest, if any, on all or any series of debt securities shall be payable,</w:t>
      </w:r>
    </w:p>
    <w:p>
      <w:pPr>
        <w:spacing w:after="0" w:line="38" w:lineRule="exact"/>
        <w:rPr>
          <w:rFonts w:ascii="Arial" w:cs="Arial" w:eastAsia="Arial" w:hAnsi="Arial"/>
          <w:sz w:val="16"/>
          <w:szCs w:val="16"/>
          <w:color w:val="auto"/>
        </w:rPr>
      </w:pPr>
    </w:p>
    <w:p>
      <w:pPr>
        <w:ind w:left="900" w:right="280" w:hanging="1"/>
        <w:spacing w:after="0" w:line="323" w:lineRule="auto"/>
        <w:tabs>
          <w:tab w:leader="none" w:pos="1149"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or any series of debt securities may be surrendered for registration or transfer, (c) all or any series of debt securities may be surrendered for exchange and (d) notices and demands to us in respect of all or any series of debt securities and the indenture may be served; or</w:t>
      </w:r>
    </w:p>
    <w:p>
      <w:pPr>
        <w:spacing w:after="0" w:line="11" w:lineRule="exact"/>
        <w:rPr>
          <w:rFonts w:ascii="Arial" w:cs="Arial" w:eastAsia="Arial" w:hAnsi="Arial"/>
          <w:sz w:val="16"/>
          <w:szCs w:val="16"/>
          <w:color w:val="auto"/>
        </w:rPr>
      </w:pPr>
    </w:p>
    <w:p>
      <w:pPr>
        <w:ind w:left="900" w:right="240" w:hanging="446"/>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supplement any of the provisions of the indenture to such extent as shall be necessary to permit or facilitate the defeasance and discharge of any series of debt securities, or any tranche thereof, pursuant to the terms of the indenture, provided that any such action shall not adversely affect the interests of the holders of debt securities of such series or tranche or any other series of debt securities in any material respect; or</w:t>
      </w:r>
    </w:p>
    <w:p>
      <w:pPr>
        <w:spacing w:after="0" w:line="25" w:lineRule="exact"/>
        <w:rPr>
          <w:rFonts w:ascii="Arial" w:cs="Arial" w:eastAsia="Arial" w:hAnsi="Arial"/>
          <w:sz w:val="16"/>
          <w:szCs w:val="16"/>
          <w:color w:val="auto"/>
        </w:rPr>
      </w:pPr>
    </w:p>
    <w:p>
      <w:pPr>
        <w:ind w:left="900" w:right="66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 or</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the indenture, provided that such action pursuant to this clause shall not adversely affect in any material respect the interests of the holders of any debt securities of any series outstanding on the date of such supplemental indenture.</w:t>
      </w:r>
    </w:p>
    <w:p>
      <w:pPr>
        <w:spacing w:after="0" w:line="14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4" w:lineRule="exact"/>
        <w:rPr>
          <w:sz w:val="20"/>
          <w:szCs w:val="20"/>
          <w:color w:val="auto"/>
        </w:rPr>
      </w:pPr>
    </w:p>
    <w:p>
      <w:pPr>
        <w:ind w:left="90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payment of interest on any debt security of that series when it becomes due and payable, and continuance of such default for a period of 30 days; provided that a valid extension of the interest payment period by us as permitted under the terms of any debt security of that series shall not constitute a failure to pay interest for this purpose;</w:t>
      </w:r>
    </w:p>
    <w:p>
      <w:pPr>
        <w:spacing w:after="0" w:line="59"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debt security of that series and continuance of such default for a period of 30 days;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9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 or</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us have occurred;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pursuant to the indenture.</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12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4"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holder has previously given written notice to the trustee of a continuing event of default with respect to the debt securities of that series;</w:t>
      </w:r>
    </w:p>
    <w:p>
      <w:pPr>
        <w:spacing w:after="0" w:line="113"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that series have made written request to the trustee to institute the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requesting holders have offered the trustee indemnity against the reasonable expenses and liabilities to be incurred in complying with the request;</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provided, however, that if an event of default has occurred and is continuing with respect to more than one series of debt securities of equal ranking, the holders of a majority in aggregate principal amount of the outstanding debt securities of all such series of equal ranking, considered as one class, shall have the right to make such direction, and not the holders of the debt securities of any one of such series of equal ranking; provided, further that (1) such direction shall not be in conflict with any rule of law or with the indenture, and (2) the trustee may take any other action deemed proper by the trustee which is not inconsistent with such direction.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51" w:lineRule="exact"/>
        <w:rPr>
          <w:sz w:val="20"/>
          <w:szCs w:val="20"/>
          <w:color w:val="auto"/>
        </w:rPr>
      </w:pPr>
    </w:p>
    <w:p>
      <w:pPr>
        <w:ind w:left="900" w:right="2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Beneficial interests in a global security may not be exchanged for debt securities in physical, certificated form except in the limited circumstances described below.</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Book-Entry Procedures for the Global Securities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who are not DTC participants may beneficially own securities held by or on behalf of DTC only through DTC participants or indirect participants in DTC.</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59"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 not be entitled to have a debt security represented by the global security registered in their names;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debt security;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Debt securities in physical, certificated form will be issued and delivered to each person that DTC identifies as a beneficial owner of the related global security only if:</w:t>
      </w:r>
    </w:p>
    <w:p>
      <w:pPr>
        <w:spacing w:after="0" w:line="51" w:lineRule="exact"/>
        <w:rPr>
          <w:sz w:val="20"/>
          <w:szCs w:val="20"/>
          <w:color w:val="auto"/>
        </w:rPr>
      </w:pPr>
    </w:p>
    <w:p>
      <w:pPr>
        <w:ind w:left="900" w:right="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security and a successor depositary is not appointed within 90 days;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debt securities;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events of default with respect to the debt securities under the indenture should occur and be continuing.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Bank of New York Mellon is the trustee under the indenture.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177"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April 25, 2014, there were 156 million shares of Series A Preferred Stock outstanding. The terms of any shares of preferred stock offered pursuant to this prospectus will be set forth in an applicable prospectus supplement.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77"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Our only class of common stock is our common stock, par value $0.01 per share. Our Certificate of Incorporation currently authorizes our Board of Directors to issue 5,000,000,000 shares of common stock. As of April 25, 2014 1,603,739,863 shares of our common stock were issued and outstanding. There are no redemption or sinking fund provisions applicable to our common stock. All outstanding shares of our common stock are fully paid and non-assessable.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Our common stockholders do not possess cumulative voting rights.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shares of stock entitled to vote thereon present in person or by proxy at the meeting, unless otherwise provided by applicable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Robert C. Shrosbree, Esq., Executive Director, Legal, Corporate &amp; Securities, GM Legal Staff.</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financial statements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Reports and other information can also be inspected at the offices of the New York Stock Exchange, Inc., 20 Broad Street, New York, New York 10005, where our common stock is listed.</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$2,500,000,000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172085</wp:posOffset>
            </wp:positionV>
            <wp:extent cx="4528185" cy="634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$500,000,000 4.000% Senior Notes due 2025</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$750,000,000 5.000% Senior Notes due 2035</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$1,250,000,000 5.200% Senior Notes due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3202305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3382010</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lowerLetter"/>
      <w:start w:val="1"/>
    </w:lvl>
  </w:abstractNum>
  <w:abstractNum w:abstractNumId="1">
    <w:nsid w:val="2D1D5AE9"/>
    <w:multiLevelType w:val="hybridMultilevel"/>
    <w:lvl w:ilvl="0">
      <w:lvlJc w:val="left"/>
      <w:lvlText w:val="(%1)"/>
      <w:numFmt w:val="lowerLetter"/>
      <w:start w:val="3"/>
    </w:lvl>
    <w:lvl w:ilvl="1">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Roman"/>
      <w:start w:val="1"/>
    </w:lvl>
  </w:abstractNum>
  <w:abstractNum w:abstractNumId="7">
    <w:nsid w:val="B03E0C6"/>
    <w:multiLevelType w:val="hybridMultilevel"/>
    <w:lvl w:ilvl="0">
      <w:lvlJc w:val="left"/>
      <w:lvlText w:val="(%1)"/>
      <w:numFmt w:val="lowerRoman"/>
      <w:start w:val="1"/>
    </w:lvl>
  </w:abstractNum>
  <w:abstractNum w:abstractNumId="8">
    <w:nsid w:val="189A769B"/>
    <w:multiLevelType w:val="hybridMultilevel"/>
    <w:lvl w:ilvl="0">
      <w:lvlJc w:val="left"/>
      <w:lvlText w:val="(%1)"/>
      <w:numFmt w:val="lowerRoman"/>
      <w:start w:val="3"/>
    </w:lvl>
  </w:abstractNum>
  <w:abstractNum w:abstractNumId="9">
    <w:nsid w:val="54E49EB4"/>
    <w:multiLevelType w:val="hybridMultilevel"/>
    <w:lvl w:ilvl="0">
      <w:lvlJc w:val="left"/>
      <w:lvlText w:val="(%1)"/>
      <w:numFmt w:val="lowerRoman"/>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Roman"/>
      <w:start w:val="2"/>
    </w:lvl>
  </w:abstractNum>
  <w:abstractNum w:abstractNumId="12">
    <w:nsid w:val="836C40E"/>
    <w:multiLevelType w:val="hybridMultilevel"/>
    <w:lvl w:ilvl="0">
      <w:lvlJc w:val="left"/>
      <w:lvlText w:val="(%1)"/>
      <w:numFmt w:val="lowerRoman"/>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Roman"/>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Roman"/>
      <w:start w:val="1"/>
    </w:lvl>
    <w:lvl w:ilvl="1">
      <w:lvlJc w:val="left"/>
      <w:lvlText w:val="•"/>
      <w:numFmt w:val="bullet"/>
      <w:start w:val="1"/>
    </w:lvl>
  </w:abstractNum>
  <w:abstractNum w:abstractNumId="28">
    <w:nsid w:val="3804823E"/>
    <w:multiLevelType w:val="hybridMultilevel"/>
    <w:lvl w:ilvl="0">
      <w:lvlJc w:val="left"/>
      <w:lvlText w:val="(%1)"/>
      <w:numFmt w:val="lowerRoman"/>
      <w:start w:val="2"/>
    </w:lvl>
  </w:abstractNum>
  <w:abstractNum w:abstractNumId="29">
    <w:nsid w:val="77465F01"/>
    <w:multiLevelType w:val="hybridMultilevel"/>
    <w:lvl w:ilvl="0">
      <w:lvlJc w:val="left"/>
      <w:lvlText w:val="(%1)"/>
      <w:numFmt w:val="lowerRoman"/>
      <w:start w:val="1"/>
    </w:lvl>
  </w:abstractNum>
  <w:abstractNum w:abstractNumId="30">
    <w:nsid w:val="7724C67E"/>
    <w:multiLevelType w:val="hybridMultilevel"/>
    <w:lvl w:ilvl="0">
      <w:lvlJc w:val="left"/>
      <w:lvlText w:val="(%1)"/>
      <w:numFmt w:val="lowerRoman"/>
      <w:start w:val="1"/>
    </w:lvl>
    <w:lvl w:ilvl="1">
      <w:lvlJc w:val="left"/>
      <w:lvlText w:val="•"/>
      <w:numFmt w:val="bullet"/>
      <w:start w:val="1"/>
    </w:lvl>
  </w:abstractNum>
  <w:abstractNum w:abstractNumId="31">
    <w:nsid w:val="5C482A97"/>
    <w:multiLevelType w:val="hybridMultilevel"/>
    <w:lvl w:ilvl="0">
      <w:lvlJc w:val="left"/>
      <w:lvlText w:val="(%1)"/>
      <w:numFmt w:val="lowerRoman"/>
      <w:start w:val="2"/>
    </w:lvl>
  </w:abstractNum>
  <w:abstractNum w:abstractNumId="32">
    <w:nsid w:val="2463B9EA"/>
    <w:multiLevelType w:val="hybridMultilevel"/>
    <w:lvl w:ilvl="0">
      <w:lvlJc w:val="left"/>
      <w:lvlText w:val="(%1)"/>
      <w:numFmt w:val="lowerRoman"/>
      <w:start w:val="3"/>
    </w:lvl>
  </w:abstractNum>
  <w:abstractNum w:abstractNumId="33">
    <w:nsid w:val="5E884ADC"/>
    <w:multiLevelType w:val="hybridMultilevel"/>
    <w:lvl w:ilvl="0">
      <w:lvlJc w:val="left"/>
      <w:lvlText w:val="(%1)"/>
      <w:numFmt w:val="lowerRoman"/>
      <w:start w:val="1"/>
    </w:lvl>
  </w:abstractNum>
  <w:abstractNum w:abstractNumId="34">
    <w:nsid w:val="51EAD36B"/>
    <w:multiLevelType w:val="hybridMultilevel"/>
    <w:lvl w:ilvl="0">
      <w:lvlJc w:val="left"/>
      <w:lvlText w:val="(%1)"/>
      <w:numFmt w:val="lowerRoman"/>
      <w:start w:val="1"/>
    </w:lvl>
  </w:abstractNum>
  <w:abstractNum w:abstractNumId="35">
    <w:nsid w:val="2D517796"/>
    <w:multiLevelType w:val="hybridMultilevel"/>
    <w:lvl w:ilvl="0">
      <w:lvlJc w:val="left"/>
      <w:lvlText w:val="(%1)"/>
      <w:numFmt w:val="lowerRoman"/>
      <w:start w:val="1"/>
    </w:lvl>
  </w:abstractNum>
  <w:abstractNum w:abstractNumId="36">
    <w:nsid w:val="580BD78F"/>
    <w:multiLevelType w:val="hybridMultilevel"/>
    <w:lvl w:ilvl="0">
      <w:lvlJc w:val="left"/>
      <w:lvlText w:val="(%1)"/>
      <w:numFmt w:val="lowerRoman"/>
      <w:start w:val="7"/>
    </w:lvl>
    <w:lvl w:ilvl="1">
      <w:lvlJc w:val="left"/>
      <w:lvlText w:val="(%2)"/>
      <w:numFmt w:val="lowerLetter"/>
      <w:start w:val="2"/>
    </w:lvl>
  </w:abstractNum>
  <w:abstractNum w:abstractNumId="37">
    <w:nsid w:val="153EA438"/>
    <w:multiLevelType w:val="hybridMultilevel"/>
    <w:lvl w:ilvl="0">
      <w:lvlJc w:val="left"/>
      <w:lvlText w:val="(%1)"/>
      <w:numFmt w:val="lowerRoman"/>
      <w:start w:val="1"/>
    </w:lvl>
  </w:abstractNum>
  <w:abstractNum w:abstractNumId="38">
    <w:nsid w:val="3855585C"/>
    <w:multiLevelType w:val="hybridMultilevel"/>
    <w:lvl w:ilvl="0">
      <w:lvlJc w:val="left"/>
      <w:lvlText w:val="(%1)"/>
      <w:numFmt w:val="lowerRoman"/>
      <w:start w:val="4"/>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2019-12-07T21:17:55Z</dcterms:created>
  <dcterms:modified xsi:type="dcterms:W3CDTF">2019-12-07T21:17:55Z</dcterms:modified>
</cp:coreProperties>
</file>