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23,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64"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On April 23, 2015 a news release was issued on the subject of 2015 first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attached as Exhibit 99.1.</w:t>
      </w:r>
    </w:p>
    <w:p>
      <w:pPr>
        <w:spacing w:after="0" w:line="93"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2015 first quarter consolidated earnings release are available on GM's website at www.gm.com/company/investors/earning-releases.html.</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3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3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7300" w:type="dxa"/>
            <w:vAlign w:val="bottom"/>
            <w:gridSpan w:val="4"/>
            <w:vMerge w:val="restart"/>
          </w:tcPr>
          <w:p>
            <w:pPr>
              <w:spacing w:after="0"/>
              <w:rPr>
                <w:sz w:val="20"/>
                <w:szCs w:val="20"/>
                <w:color w:val="auto"/>
              </w:rPr>
            </w:pPr>
            <w:r>
              <w:rPr>
                <w:rFonts w:ascii="Arial" w:cs="Arial" w:eastAsia="Arial" w:hAnsi="Arial"/>
                <w:sz w:val="18"/>
                <w:szCs w:val="18"/>
                <w:color w:val="auto"/>
              </w:rPr>
              <w:t>News Release Dated April 23, 2015 and Financial Highlights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30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796"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80" w:type="dxa"/>
            <w:vAlign w:val="bottom"/>
            <w:vMerge w:val="restart"/>
          </w:tcPr>
          <w:p>
            <w:pPr>
              <w:spacing w:after="0"/>
              <w:rPr>
                <w:sz w:val="20"/>
                <w:szCs w:val="20"/>
                <w:color w:val="auto"/>
              </w:rPr>
            </w:pPr>
            <w:r>
              <w:rPr>
                <w:rFonts w:ascii="Arial" w:cs="Arial" w:eastAsia="Arial" w:hAnsi="Arial"/>
                <w:sz w:val="18"/>
                <w:szCs w:val="18"/>
                <w:color w:val="auto"/>
              </w:rPr>
              <w:t>Date: April 23, 2015</w:t>
            </w:r>
          </w:p>
        </w:tc>
        <w:tc>
          <w:tcPr>
            <w:tcW w:w="26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April 23, 7:30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Solid First Quarter Operating Performance</w:t>
      </w:r>
    </w:p>
    <w:p>
      <w:pPr>
        <w:spacing w:after="0" w:line="41" w:lineRule="exact"/>
        <w:rPr>
          <w:sz w:val="20"/>
          <w:szCs w:val="20"/>
          <w:color w:val="auto"/>
        </w:rPr>
      </w:pPr>
    </w:p>
    <w:p>
      <w:pPr>
        <w:jc w:val="center"/>
        <w:ind w:left="340"/>
        <w:spacing w:after="0"/>
        <w:rPr>
          <w:sz w:val="20"/>
          <w:szCs w:val="20"/>
          <w:color w:val="auto"/>
        </w:rPr>
      </w:pPr>
      <w:r>
        <w:rPr>
          <w:rFonts w:ascii="Arial" w:cs="Arial" w:eastAsia="Arial" w:hAnsi="Arial"/>
          <w:sz w:val="22"/>
          <w:szCs w:val="22"/>
          <w:i w:val="1"/>
          <w:iCs w:val="1"/>
          <w:color w:val="auto"/>
        </w:rPr>
        <w:t>Reaffirms 2015 outlook</w:t>
      </w:r>
    </w:p>
    <w:p>
      <w:pPr>
        <w:spacing w:after="0" w:line="19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EBIT-adjusted of $2.1 billion, up $0.3 billion from Q1 2014, excluding recalls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Repurchased 10 million shares for approximately $0.4 billion</w:t>
      </w:r>
    </w:p>
    <w:p>
      <w:pPr>
        <w:ind w:left="660" w:right="1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 North America EBIT-adjusted best since company was established in 2009, expanding core operating margin for seventh straight quarter year over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Europe increased Opel/Vauxhall share in 11 markets and improved operating performance, despite Russia market challenges</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First quarter net income of $0.9 billion, up $0.8 billion from first quarter 2014</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EPS of $0.56, EPS adjusted for special items of $0.86</w:t>
      </w:r>
    </w:p>
    <w:p>
      <w:pPr>
        <w:spacing w:after="0" w:line="194" w:lineRule="exact"/>
        <w:rPr>
          <w:sz w:val="20"/>
          <w:szCs w:val="20"/>
          <w:color w:val="auto"/>
        </w:rPr>
      </w:pPr>
    </w:p>
    <w:p>
      <w:pPr>
        <w:jc w:val="both"/>
        <w:ind w:right="160"/>
        <w:spacing w:after="0" w:line="32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first quarter net income attributable to common stockholders of $0.9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$0.56 per diluted share. The current quarter included a net loss from special items of $0.5 billion, or $(0.30) per diluted share.</w:t>
      </w:r>
    </w:p>
    <w:p>
      <w:pPr>
        <w:spacing w:after="0" w:line="13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Special items in the quarter included $0.4 billion related to the decision to change the company’s business model in Russia and $0.1 billion for an adjustment to the estimated costs of the ignition switch compensation program.</w:t>
      </w:r>
    </w:p>
    <w:p>
      <w:pPr>
        <w:spacing w:after="0" w:line="190"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In the first quarter of 2014, GM’s net income attributable to common stockholders was $0.1 billion, or $0.06 per diluted share, including a net loss from special items of $0.4 billion or $(0.23) per diluted share, and the impact of recall-related pre-tax costs of $1.3 billion, or $(0.48) per diluted share.</w:t>
      </w:r>
    </w:p>
    <w:p>
      <w:pPr>
        <w:spacing w:after="0" w:line="200"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Earnings before interest and tax (EBIT) adjusted was $2.1 billion and included the impact of $0.1 billion in restructuring costs. This compares to the first quarter of 2014, when the company recorded EBIT-adjusted of $0.5 billion, which included recall-related pre-tax costs of $1.3 billion and $0.3 billion in restructuring costs.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Net revenue in the first quarter of 2015 was $35.7 billion, compared to $37.4 billion in the first quarter of 2014.</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“Our results in the first quarter provide a solid foundation to achieve our financial commitments for the year,” said GM CEO Mary</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Barra. “Continued execution of our plan, including our capital allocation framework, will drive profitable growth, return on invested capital and shareholder value.”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GM Results Overview </w:t>
      </w:r>
      <w:r>
        <w:rPr>
          <w:rFonts w:ascii="Arial" w:cs="Arial" w:eastAsia="Arial" w:hAnsi="Arial"/>
          <w:sz w:val="14"/>
          <w:szCs w:val="14"/>
          <w:color w:val="auto"/>
        </w:rPr>
        <w:t>(in billions except for per share amounts and ROIC)</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68" w:right="239"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300" w:type="dxa"/>
            <w:vAlign w:val="bottom"/>
          </w:tcPr>
          <w:p>
            <w:pPr>
              <w:jc w:val="right"/>
              <w:ind w:right="262"/>
              <w:spacing w:after="0"/>
              <w:rPr>
                <w:sz w:val="20"/>
                <w:szCs w:val="20"/>
                <w:color w:val="auto"/>
              </w:rPr>
            </w:pPr>
            <w:r>
              <w:rPr>
                <w:rFonts w:ascii="Arial" w:cs="Arial" w:eastAsia="Arial" w:hAnsi="Arial"/>
                <w:sz w:val="18"/>
                <w:szCs w:val="18"/>
                <w:b w:val="1"/>
                <w:bCs w:val="1"/>
                <w:color w:val="auto"/>
              </w:rPr>
              <w:t>Q1 2015</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Q1 2014</w:t>
            </w:r>
          </w:p>
        </w:tc>
      </w:tr>
      <w:tr>
        <w:trPr>
          <w:trHeight w:val="288"/>
        </w:trPr>
        <w:tc>
          <w:tcPr>
            <w:tcW w:w="51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300" w:type="dxa"/>
            <w:vAlign w:val="bottom"/>
          </w:tcPr>
          <w:p>
            <w:pPr>
              <w:jc w:val="right"/>
              <w:ind w:right="262"/>
              <w:spacing w:after="0"/>
              <w:rPr>
                <w:sz w:val="20"/>
                <w:szCs w:val="20"/>
                <w:color w:val="auto"/>
              </w:rPr>
            </w:pPr>
            <w:r>
              <w:rPr>
                <w:rFonts w:ascii="Arial" w:cs="Arial" w:eastAsia="Arial" w:hAnsi="Arial"/>
                <w:sz w:val="20"/>
                <w:szCs w:val="20"/>
                <w:color w:val="auto"/>
              </w:rPr>
              <w:t>$35.7</w:t>
            </w:r>
          </w:p>
        </w:tc>
        <w:tc>
          <w:tcPr>
            <w:tcW w:w="980" w:type="dxa"/>
            <w:vAlign w:val="bottom"/>
          </w:tcPr>
          <w:p>
            <w:pPr>
              <w:jc w:val="right"/>
              <w:spacing w:after="0"/>
              <w:rPr>
                <w:sz w:val="20"/>
                <w:szCs w:val="20"/>
                <w:color w:val="auto"/>
              </w:rPr>
            </w:pPr>
            <w:r>
              <w:rPr>
                <w:rFonts w:ascii="Arial" w:cs="Arial" w:eastAsia="Arial" w:hAnsi="Arial"/>
                <w:sz w:val="20"/>
                <w:szCs w:val="20"/>
                <w:color w:val="auto"/>
              </w:rPr>
              <w:t>$37.4</w:t>
            </w:r>
          </w:p>
        </w:tc>
      </w:tr>
      <w:tr>
        <w:trPr>
          <w:trHeight w:val="284"/>
        </w:trPr>
        <w:tc>
          <w:tcPr>
            <w:tcW w:w="5160" w:type="dxa"/>
            <w:vAlign w:val="bottom"/>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300" w:type="dxa"/>
            <w:vAlign w:val="bottom"/>
          </w:tcPr>
          <w:p>
            <w:pPr>
              <w:jc w:val="right"/>
              <w:ind w:right="262"/>
              <w:spacing w:after="0"/>
              <w:rPr>
                <w:sz w:val="20"/>
                <w:szCs w:val="20"/>
                <w:color w:val="auto"/>
              </w:rPr>
            </w:pPr>
            <w:r>
              <w:rPr>
                <w:rFonts w:ascii="Arial" w:cs="Arial" w:eastAsia="Arial" w:hAnsi="Arial"/>
                <w:sz w:val="20"/>
                <w:szCs w:val="20"/>
                <w:color w:val="auto"/>
              </w:rPr>
              <w:t>$0.9</w:t>
            </w:r>
          </w:p>
        </w:tc>
        <w:tc>
          <w:tcPr>
            <w:tcW w:w="98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284"/>
        </w:trPr>
        <w:tc>
          <w:tcPr>
            <w:tcW w:w="5160" w:type="dxa"/>
            <w:vAlign w:val="bottom"/>
          </w:tcPr>
          <w:p>
            <w:pPr>
              <w:spacing w:after="0"/>
              <w:rPr>
                <w:sz w:val="20"/>
                <w:szCs w:val="20"/>
                <w:color w:val="auto"/>
              </w:rPr>
            </w:pPr>
            <w:r>
              <w:rPr>
                <w:rFonts w:ascii="Arial" w:cs="Arial" w:eastAsia="Arial" w:hAnsi="Arial"/>
                <w:sz w:val="18"/>
                <w:szCs w:val="18"/>
                <w:b w:val="1"/>
                <w:bCs w:val="1"/>
                <w:color w:val="auto"/>
              </w:rPr>
              <w:t>Earnings per share (EPS) diluted</w:t>
            </w:r>
          </w:p>
        </w:tc>
        <w:tc>
          <w:tcPr>
            <w:tcW w:w="2300" w:type="dxa"/>
            <w:vAlign w:val="bottom"/>
          </w:tcPr>
          <w:p>
            <w:pPr>
              <w:jc w:val="right"/>
              <w:ind w:right="262"/>
              <w:spacing w:after="0"/>
              <w:rPr>
                <w:sz w:val="20"/>
                <w:szCs w:val="20"/>
                <w:color w:val="auto"/>
              </w:rPr>
            </w:pPr>
            <w:r>
              <w:rPr>
                <w:rFonts w:ascii="Arial" w:cs="Arial" w:eastAsia="Arial" w:hAnsi="Arial"/>
                <w:sz w:val="20"/>
                <w:szCs w:val="20"/>
                <w:color w:val="auto"/>
              </w:rPr>
              <w:t>$0.56</w:t>
            </w:r>
          </w:p>
        </w:tc>
        <w:tc>
          <w:tcPr>
            <w:tcW w:w="980" w:type="dxa"/>
            <w:vAlign w:val="bottom"/>
          </w:tcPr>
          <w:p>
            <w:pPr>
              <w:jc w:val="right"/>
              <w:spacing w:after="0"/>
              <w:rPr>
                <w:sz w:val="20"/>
                <w:szCs w:val="20"/>
                <w:color w:val="auto"/>
              </w:rPr>
            </w:pPr>
            <w:r>
              <w:rPr>
                <w:rFonts w:ascii="Arial" w:cs="Arial" w:eastAsia="Arial" w:hAnsi="Arial"/>
                <w:sz w:val="20"/>
                <w:szCs w:val="20"/>
                <w:color w:val="auto"/>
              </w:rPr>
              <w:t>$0.06</w:t>
            </w:r>
          </w:p>
        </w:tc>
      </w:tr>
      <w:tr>
        <w:trPr>
          <w:trHeight w:val="284"/>
        </w:trPr>
        <w:tc>
          <w:tcPr>
            <w:tcW w:w="5160" w:type="dxa"/>
            <w:vAlign w:val="bottom"/>
          </w:tcPr>
          <w:p>
            <w:pPr>
              <w:spacing w:after="0"/>
              <w:rPr>
                <w:sz w:val="20"/>
                <w:szCs w:val="20"/>
                <w:color w:val="auto"/>
              </w:rPr>
            </w:pPr>
            <w:r>
              <w:rPr>
                <w:rFonts w:ascii="Arial" w:cs="Arial" w:eastAsia="Arial" w:hAnsi="Arial"/>
                <w:sz w:val="18"/>
                <w:szCs w:val="18"/>
                <w:b w:val="1"/>
                <w:bCs w:val="1"/>
                <w:color w:val="auto"/>
              </w:rPr>
              <w:t>Impact of special items on EPS diluted</w:t>
            </w:r>
          </w:p>
        </w:tc>
        <w:tc>
          <w:tcPr>
            <w:tcW w:w="2300" w:type="dxa"/>
            <w:vAlign w:val="bottom"/>
          </w:tcPr>
          <w:p>
            <w:pPr>
              <w:jc w:val="right"/>
              <w:ind w:right="262"/>
              <w:spacing w:after="0"/>
              <w:rPr>
                <w:sz w:val="20"/>
                <w:szCs w:val="20"/>
                <w:color w:val="auto"/>
              </w:rPr>
            </w:pPr>
            <w:r>
              <w:rPr>
                <w:rFonts w:ascii="Arial" w:cs="Arial" w:eastAsia="Arial" w:hAnsi="Arial"/>
                <w:sz w:val="20"/>
                <w:szCs w:val="20"/>
                <w:color w:val="auto"/>
              </w:rPr>
              <w:t>$(0.30)</w:t>
            </w:r>
          </w:p>
        </w:tc>
        <w:tc>
          <w:tcPr>
            <w:tcW w:w="980" w:type="dxa"/>
            <w:vAlign w:val="bottom"/>
          </w:tcPr>
          <w:p>
            <w:pPr>
              <w:jc w:val="right"/>
              <w:spacing w:after="0"/>
              <w:rPr>
                <w:sz w:val="20"/>
                <w:szCs w:val="20"/>
                <w:color w:val="auto"/>
              </w:rPr>
            </w:pPr>
            <w:r>
              <w:rPr>
                <w:rFonts w:ascii="Arial" w:cs="Arial" w:eastAsia="Arial" w:hAnsi="Arial"/>
                <w:sz w:val="20"/>
                <w:szCs w:val="20"/>
                <w:color w:val="auto"/>
              </w:rPr>
              <w:t>$(0.23)</w:t>
            </w:r>
          </w:p>
        </w:tc>
      </w:tr>
      <w:tr>
        <w:trPr>
          <w:trHeight w:val="284"/>
        </w:trPr>
        <w:tc>
          <w:tcPr>
            <w:tcW w:w="5160" w:type="dxa"/>
            <w:vAlign w:val="bottom"/>
          </w:tcPr>
          <w:p>
            <w:pPr>
              <w:spacing w:after="0"/>
              <w:rPr>
                <w:sz w:val="20"/>
                <w:szCs w:val="20"/>
                <w:color w:val="auto"/>
              </w:rPr>
            </w:pPr>
            <w:r>
              <w:rPr>
                <w:rFonts w:ascii="Arial" w:cs="Arial" w:eastAsia="Arial" w:hAnsi="Arial"/>
                <w:sz w:val="18"/>
                <w:szCs w:val="18"/>
                <w:b w:val="1"/>
                <w:bCs w:val="1"/>
                <w:color w:val="auto"/>
              </w:rPr>
              <w:t>EBIT-adjusted</w:t>
            </w:r>
          </w:p>
        </w:tc>
        <w:tc>
          <w:tcPr>
            <w:tcW w:w="2300" w:type="dxa"/>
            <w:vAlign w:val="bottom"/>
          </w:tcPr>
          <w:p>
            <w:pPr>
              <w:jc w:val="right"/>
              <w:ind w:right="262"/>
              <w:spacing w:after="0"/>
              <w:rPr>
                <w:sz w:val="20"/>
                <w:szCs w:val="20"/>
                <w:color w:val="auto"/>
              </w:rPr>
            </w:pPr>
            <w:r>
              <w:rPr>
                <w:rFonts w:ascii="Arial" w:cs="Arial" w:eastAsia="Arial" w:hAnsi="Arial"/>
                <w:sz w:val="20"/>
                <w:szCs w:val="20"/>
                <w:color w:val="auto"/>
              </w:rPr>
              <w:t>$2.1</w:t>
            </w:r>
          </w:p>
        </w:tc>
        <w:tc>
          <w:tcPr>
            <w:tcW w:w="980" w:type="dxa"/>
            <w:vAlign w:val="bottom"/>
          </w:tcPr>
          <w:p>
            <w:pPr>
              <w:jc w:val="right"/>
              <w:spacing w:after="0"/>
              <w:rPr>
                <w:sz w:val="20"/>
                <w:szCs w:val="20"/>
                <w:color w:val="auto"/>
              </w:rPr>
            </w:pPr>
            <w:r>
              <w:rPr>
                <w:rFonts w:ascii="Arial" w:cs="Arial" w:eastAsia="Arial" w:hAnsi="Arial"/>
                <w:sz w:val="20"/>
                <w:szCs w:val="20"/>
                <w:color w:val="auto"/>
              </w:rPr>
              <w:t>$0.5</w:t>
            </w:r>
          </w:p>
        </w:tc>
      </w:tr>
      <w:tr>
        <w:trPr>
          <w:trHeight w:val="284"/>
        </w:trPr>
        <w:tc>
          <w:tcPr>
            <w:tcW w:w="5160" w:type="dxa"/>
            <w:vAlign w:val="bottom"/>
          </w:tcPr>
          <w:p>
            <w:pPr>
              <w:spacing w:after="0"/>
              <w:rPr>
                <w:sz w:val="20"/>
                <w:szCs w:val="20"/>
                <w:color w:val="auto"/>
              </w:rPr>
            </w:pPr>
            <w:r>
              <w:rPr>
                <w:rFonts w:ascii="Arial" w:cs="Arial" w:eastAsia="Arial" w:hAnsi="Arial"/>
                <w:sz w:val="18"/>
                <w:szCs w:val="18"/>
                <w:b w:val="1"/>
                <w:bCs w:val="1"/>
                <w:color w:val="auto"/>
              </w:rPr>
              <w:t>Automotive net cash flow from operating activities</w:t>
            </w:r>
          </w:p>
        </w:tc>
        <w:tc>
          <w:tcPr>
            <w:tcW w:w="2300" w:type="dxa"/>
            <w:vAlign w:val="bottom"/>
          </w:tcPr>
          <w:p>
            <w:pPr>
              <w:jc w:val="right"/>
              <w:ind w:right="262"/>
              <w:spacing w:after="0"/>
              <w:rPr>
                <w:sz w:val="20"/>
                <w:szCs w:val="20"/>
                <w:color w:val="auto"/>
              </w:rPr>
            </w:pPr>
            <w:r>
              <w:rPr>
                <w:rFonts w:ascii="Arial" w:cs="Arial" w:eastAsia="Arial" w:hAnsi="Arial"/>
                <w:sz w:val="20"/>
                <w:szCs w:val="20"/>
                <w:color w:val="auto"/>
              </w:rPr>
              <w:t>$0.0</w:t>
            </w:r>
          </w:p>
        </w:tc>
        <w:tc>
          <w:tcPr>
            <w:tcW w:w="9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5160" w:type="dxa"/>
            <w:vAlign w:val="bottom"/>
          </w:tcPr>
          <w:p>
            <w:pPr>
              <w:spacing w:after="0"/>
              <w:rPr>
                <w:sz w:val="20"/>
                <w:szCs w:val="20"/>
                <w:color w:val="auto"/>
              </w:rPr>
            </w:pPr>
            <w:r>
              <w:rPr>
                <w:rFonts w:ascii="Arial" w:cs="Arial" w:eastAsia="Arial" w:hAnsi="Arial"/>
                <w:sz w:val="18"/>
                <w:szCs w:val="18"/>
                <w:b w:val="1"/>
                <w:bCs w:val="1"/>
                <w:color w:val="auto"/>
              </w:rPr>
              <w:t>Adjusted automotive free cash flow</w:t>
            </w:r>
          </w:p>
        </w:tc>
        <w:tc>
          <w:tcPr>
            <w:tcW w:w="2300" w:type="dxa"/>
            <w:vAlign w:val="bottom"/>
          </w:tcPr>
          <w:p>
            <w:pPr>
              <w:jc w:val="right"/>
              <w:ind w:right="262"/>
              <w:spacing w:after="0"/>
              <w:rPr>
                <w:sz w:val="20"/>
                <w:szCs w:val="20"/>
                <w:color w:val="auto"/>
              </w:rPr>
            </w:pPr>
            <w:r>
              <w:rPr>
                <w:rFonts w:ascii="Arial" w:cs="Arial" w:eastAsia="Arial" w:hAnsi="Arial"/>
                <w:sz w:val="20"/>
                <w:szCs w:val="20"/>
                <w:color w:val="auto"/>
              </w:rPr>
              <w:t>$(1.7)</w:t>
            </w:r>
          </w:p>
        </w:tc>
        <w:tc>
          <w:tcPr>
            <w:tcW w:w="980" w:type="dxa"/>
            <w:vAlign w:val="bottom"/>
          </w:tcPr>
          <w:p>
            <w:pPr>
              <w:jc w:val="right"/>
              <w:spacing w:after="0"/>
              <w:rPr>
                <w:sz w:val="20"/>
                <w:szCs w:val="20"/>
                <w:color w:val="auto"/>
              </w:rPr>
            </w:pPr>
            <w:r>
              <w:rPr>
                <w:rFonts w:ascii="Arial" w:cs="Arial" w:eastAsia="Arial" w:hAnsi="Arial"/>
                <w:sz w:val="20"/>
                <w:szCs w:val="20"/>
                <w:color w:val="auto"/>
              </w:rPr>
              <w:t>$0.2</w:t>
            </w:r>
          </w:p>
        </w:tc>
      </w:tr>
      <w:tr>
        <w:trPr>
          <w:trHeight w:val="284"/>
        </w:trPr>
        <w:tc>
          <w:tcPr>
            <w:tcW w:w="5160" w:type="dxa"/>
            <w:vAlign w:val="bottom"/>
          </w:tcPr>
          <w:p>
            <w:pPr>
              <w:spacing w:after="0"/>
              <w:rPr>
                <w:sz w:val="20"/>
                <w:szCs w:val="20"/>
                <w:color w:val="auto"/>
              </w:rPr>
            </w:pPr>
            <w:r>
              <w:rPr>
                <w:rFonts w:ascii="Arial" w:cs="Arial" w:eastAsia="Arial" w:hAnsi="Arial"/>
                <w:sz w:val="18"/>
                <w:szCs w:val="18"/>
                <w:b w:val="1"/>
                <w:bCs w:val="1"/>
                <w:color w:val="auto"/>
              </w:rPr>
              <w:t>% Return on Invested Capital (ROIC)</w:t>
            </w:r>
          </w:p>
        </w:tc>
        <w:tc>
          <w:tcPr>
            <w:tcW w:w="2300" w:type="dxa"/>
            <w:vAlign w:val="bottom"/>
          </w:tcPr>
          <w:p>
            <w:pPr>
              <w:jc w:val="right"/>
              <w:ind w:right="262"/>
              <w:spacing w:after="0"/>
              <w:rPr>
                <w:sz w:val="20"/>
                <w:szCs w:val="20"/>
                <w:color w:val="auto"/>
              </w:rPr>
            </w:pPr>
            <w:r>
              <w:rPr>
                <w:rFonts w:ascii="Arial" w:cs="Arial" w:eastAsia="Arial" w:hAnsi="Arial"/>
                <w:sz w:val="20"/>
                <w:szCs w:val="20"/>
                <w:color w:val="auto"/>
              </w:rPr>
              <w:t>19.5</w:t>
            </w:r>
          </w:p>
        </w:tc>
        <w:tc>
          <w:tcPr>
            <w:tcW w:w="980" w:type="dxa"/>
            <w:vAlign w:val="bottom"/>
          </w:tcPr>
          <w:p>
            <w:pPr>
              <w:jc w:val="right"/>
              <w:spacing w:after="0"/>
              <w:rPr>
                <w:sz w:val="20"/>
                <w:szCs w:val="20"/>
                <w:color w:val="auto"/>
              </w:rPr>
            </w:pPr>
            <w:r>
              <w:rPr>
                <w:rFonts w:ascii="Arial" w:cs="Arial" w:eastAsia="Arial" w:hAnsi="Arial"/>
                <w:sz w:val="20"/>
                <w:szCs w:val="20"/>
                <w:color w:val="auto"/>
              </w:rPr>
              <w:t>16.9</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w:t>
      </w:r>
    </w:p>
    <w:p>
      <w:pPr>
        <w:spacing w:after="0" w:line="235" w:lineRule="exact"/>
        <w:rPr>
          <w:sz w:val="20"/>
          <w:szCs w:val="20"/>
          <w:color w:val="auto"/>
        </w:rPr>
      </w:pPr>
    </w:p>
    <w:p>
      <w:pPr>
        <w:ind w:left="660" w:right="380" w:hanging="328"/>
        <w:spacing w:after="0" w:line="247"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North America reported EBIT-adjusted of $2.2 billion. This compares with EBIT-adjusted of $0.6 billion in the first quarter of 2014, which included the impact of a $1.3 billion pre-tax charge for recall costs.</w:t>
      </w:r>
    </w:p>
    <w:p>
      <w:pPr>
        <w:spacing w:after="0" w:line="1" w:lineRule="exact"/>
        <w:rPr>
          <w:rFonts w:ascii="Arial" w:cs="Arial" w:eastAsia="Arial" w:hAnsi="Arial"/>
          <w:sz w:val="20"/>
          <w:szCs w:val="20"/>
          <w:color w:val="auto"/>
        </w:rPr>
      </w:pPr>
    </w:p>
    <w:p>
      <w:pPr>
        <w:ind w:left="660" w:right="24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Europe reported EBIT-adjusted of $(0.2) billion. This compares with EBIT-adjusted of $(0.3) billion in the first quarter of 2014, which included $0.2 billion for restructuring costs.</w:t>
      </w:r>
    </w:p>
    <w:p>
      <w:pPr>
        <w:spacing w:after="0" w:line="1" w:lineRule="exact"/>
        <w:rPr>
          <w:rFonts w:ascii="Arial" w:cs="Arial" w:eastAsia="Arial" w:hAnsi="Arial"/>
          <w:sz w:val="20"/>
          <w:szCs w:val="20"/>
          <w:color w:val="auto"/>
        </w:rPr>
      </w:pPr>
    </w:p>
    <w:p>
      <w:pPr>
        <w:ind w:left="660" w:right="2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International Operations reported EBIT-adjusted of $0.4 billion, compared with EBIT-adjusted of $0.3 billion in the first quarter of 2014.</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South America reported EBIT-adjusted of $(0.2) billion, approximately equal to the first quarter of 2014.</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Financial reported earnings before tax of $0.2 billion, matching its results for the first quarter of 2014.</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“Key vehicles like our recently launched full and mid-size trucks, and our cost discipline helped us deliver a solid quarter,” said Chuck Stevens, GM executive vice president and chief financial officer. “We continue to take decisive actions to address issues head-on and to drive the company to generate strong results.”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Capital Return, Liquidity and ROIC</w:t>
      </w:r>
    </w:p>
    <w:p>
      <w:pPr>
        <w:spacing w:after="0" w:line="23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First quarter automotive cash flow from operating activities of $0.0 billion and adjusted automotive free cash flow of $(1.7) billion, were down from $2.0 billion and $0.2 billion a year ago, respectively. The declines in automotive operating and adjusted automotive free cash flows were primarily related to one extra weekly payment cycle to suppliers during the quarter compared with the same quarter a year ago, and cash payments related to recalls and restructuring.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Since announcing its $5 billion common stock repurchase program on March 9, 2015, GM has repurchased 19.4 million shares through April</w:t>
      </w:r>
    </w:p>
    <w:p>
      <w:pPr>
        <w:spacing w:after="0" w:line="39" w:lineRule="exact"/>
        <w:rPr>
          <w:sz w:val="20"/>
          <w:szCs w:val="20"/>
          <w:color w:val="auto"/>
        </w:rPr>
      </w:pPr>
    </w:p>
    <w:p>
      <w:pPr>
        <w:ind w:right="160" w:firstLine="8"/>
        <w:spacing w:after="0" w:line="244" w:lineRule="auto"/>
        <w:tabs>
          <w:tab w:leader="none" w:pos="297" w:val="left"/>
        </w:tabs>
        <w:numPr>
          <w:ilvl w:val="0"/>
          <w:numId w:val="4"/>
        </w:numPr>
        <w:rPr>
          <w:rFonts w:ascii="Arial" w:cs="Arial" w:eastAsia="Arial" w:hAnsi="Arial"/>
          <w:sz w:val="20"/>
          <w:szCs w:val="20"/>
          <w:color w:val="auto"/>
        </w:rPr>
      </w:pPr>
      <w:r>
        <w:rPr>
          <w:rFonts w:ascii="Arial" w:cs="Arial" w:eastAsia="Arial" w:hAnsi="Arial"/>
          <w:sz w:val="20"/>
          <w:szCs w:val="20"/>
          <w:color w:val="auto"/>
        </w:rPr>
        <w:t>Of this total, 10 million shares were repurchased through the March 31 trading date for approximately $0.4 billion. Additionally, GM paid common stock dividends of approximately $0.5 billion to shareholders during the quarter.</w:t>
      </w:r>
    </w:p>
    <w:p>
      <w:pPr>
        <w:spacing w:after="0" w:line="205"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GM ended the quarter with strong total automotive liquidity of $34.2 billion. Automotive cash and marketable securities was $22.1 billion compared with $25.2 billion at year-end 2014.</w:t>
      </w:r>
    </w:p>
    <w:p>
      <w:pPr>
        <w:spacing w:after="0" w:line="19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previously announced, GM will reinvest in its business with the objective of driving 20 percent or higher average return on invested capital (ROIC) through investments in world-class vehicles and leading technology. Beginning this quarter, the company will report trailing four quarter ROIC. On this basis, ROIC at the end of the quarter was 19.5 percent, compared to 16.9 percent at the end of the first quarter of 2014.</w:t>
      </w:r>
    </w:p>
    <w:p>
      <w:pPr>
        <w:spacing w:after="0" w:line="132"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Based on its first quarter results, the company reaffirmed the 2015 annual outlook it communicated on January 14. GM expects its total EBIT adjusted and EBIT-adjusted margin to increase in 2015, compared to 2014, after adjusting 2014 for the impact of recall costs, with improved automotive results anticipated in all regions.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2" w:right="259" w:bottom="1440" w:gutter="0" w:footer="0" w:header="0"/>
        </w:sectPr>
      </w:pPr>
    </w:p>
    <w:bookmarkStart w:id="5" w:name="page6"/>
    <w:bookmarkEnd w:id="5"/>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GM’s brands include Chevrolet and Cadillac, as well as Baojun, Buick, GMC, Holden, Daewoo,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CONTACTS:</w:t>
            </w:r>
          </w:p>
        </w:tc>
        <w:tc>
          <w:tcPr>
            <w:tcW w:w="3300" w:type="dxa"/>
            <w:vAlign w:val="bottom"/>
            <w:gridSpan w:val="2"/>
          </w:tcPr>
          <w:p>
            <w:pPr>
              <w:jc w:val="right"/>
              <w:ind w:right="1580"/>
              <w:spacing w:after="0"/>
              <w:rPr>
                <w:sz w:val="20"/>
                <w:szCs w:val="20"/>
                <w:color w:val="auto"/>
              </w:rPr>
            </w:pPr>
            <w:r>
              <w:rPr>
                <w:rFonts w:ascii="Arial" w:cs="Arial" w:eastAsia="Arial" w:hAnsi="Arial"/>
                <w:sz w:val="20"/>
                <w:szCs w:val="20"/>
                <w:color w:val="auto"/>
              </w:rPr>
              <w:t># # #</w:t>
            </w:r>
          </w:p>
        </w:tc>
        <w:tc>
          <w:tcPr>
            <w:tcW w:w="0" w:type="dxa"/>
            <w:vAlign w:val="bottom"/>
          </w:tcPr>
          <w:p>
            <w:pPr>
              <w:spacing w:after="0"/>
              <w:rPr>
                <w:sz w:val="1"/>
                <w:szCs w:val="1"/>
                <w:color w:val="auto"/>
              </w:rPr>
            </w:pPr>
          </w:p>
        </w:tc>
      </w:tr>
      <w:tr>
        <w:trPr>
          <w:trHeight w:val="212"/>
        </w:trPr>
        <w:tc>
          <w:tcPr>
            <w:tcW w:w="4200" w:type="dxa"/>
            <w:vAlign w:val="bottom"/>
            <w:gridSpan w:val="3"/>
            <w:vMerge w:val="continue"/>
          </w:tcPr>
          <w:p>
            <w:pPr>
              <w:spacing w:after="0"/>
              <w:rPr>
                <w:sz w:val="18"/>
                <w:szCs w:val="18"/>
                <w:color w:val="auto"/>
              </w:rPr>
            </w:pPr>
          </w:p>
        </w:tc>
        <w:tc>
          <w:tcPr>
            <w:tcW w:w="1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4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3300" w:type="dxa"/>
            <w:vAlign w:val="bottom"/>
            <w:gridSpan w:val="2"/>
          </w:tcPr>
          <w:p>
            <w:pPr>
              <w:ind w:left="1540"/>
              <w:spacing w:after="0"/>
              <w:rPr>
                <w:sz w:val="20"/>
                <w:szCs w:val="20"/>
                <w:color w:val="auto"/>
              </w:rPr>
            </w:pPr>
            <w:r>
              <w:rPr>
                <w:rFonts w:ascii="Arial" w:cs="Arial" w:eastAsia="Arial" w:hAnsi="Arial"/>
                <w:sz w:val="18"/>
                <w:szCs w:val="18"/>
                <w:color w:val="auto"/>
              </w:rPr>
              <w:t>Randy Arickx</w:t>
            </w:r>
          </w:p>
        </w:tc>
        <w:tc>
          <w:tcPr>
            <w:tcW w:w="0" w:type="dxa"/>
            <w:vAlign w:val="bottom"/>
          </w:tcPr>
          <w:p>
            <w:pPr>
              <w:spacing w:after="0"/>
              <w:rPr>
                <w:sz w:val="1"/>
                <w:szCs w:val="1"/>
                <w:color w:val="auto"/>
              </w:rPr>
            </w:pPr>
          </w:p>
        </w:tc>
      </w:tr>
      <w:tr>
        <w:trPr>
          <w:trHeight w:val="216"/>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313-410-2704</w:t>
            </w:r>
          </w:p>
        </w:tc>
        <w:tc>
          <w:tcPr>
            <w:tcW w:w="1840" w:type="dxa"/>
            <w:vAlign w:val="bottom"/>
          </w:tcPr>
          <w:p>
            <w:pPr>
              <w:spacing w:after="0"/>
              <w:rPr>
                <w:sz w:val="18"/>
                <w:szCs w:val="18"/>
                <w:color w:val="auto"/>
              </w:rPr>
            </w:pPr>
          </w:p>
        </w:tc>
        <w:tc>
          <w:tcPr>
            <w:tcW w:w="3300" w:type="dxa"/>
            <w:vAlign w:val="bottom"/>
            <w:gridSpan w:val="2"/>
          </w:tcPr>
          <w:p>
            <w:pPr>
              <w:ind w:left="1540"/>
              <w:spacing w:after="0"/>
              <w:rPr>
                <w:sz w:val="20"/>
                <w:szCs w:val="20"/>
                <w:color w:val="auto"/>
              </w:rPr>
            </w:pPr>
            <w:r>
              <w:rPr>
                <w:rFonts w:ascii="Arial" w:cs="Arial" w:eastAsia="Arial" w:hAnsi="Arial"/>
                <w:sz w:val="18"/>
                <w:szCs w:val="18"/>
                <w:color w:val="auto"/>
              </w:rPr>
              <w:t>313-268-7070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Global Financial Communications</w:t>
            </w:r>
          </w:p>
        </w:tc>
        <w:tc>
          <w:tcPr>
            <w:tcW w:w="3300" w:type="dxa"/>
            <w:vAlign w:val="bottom"/>
            <w:gridSpan w:val="2"/>
          </w:tcPr>
          <w:p>
            <w:pPr>
              <w:ind w:left="1540"/>
              <w:spacing w:after="0"/>
              <w:rPr>
                <w:sz w:val="20"/>
                <w:szCs w:val="20"/>
                <w:color w:val="auto"/>
              </w:rPr>
            </w:pPr>
            <w:r>
              <w:rPr>
                <w:rFonts w:ascii="Arial" w:cs="Arial" w:eastAsia="Arial" w:hAnsi="Arial"/>
                <w:sz w:val="18"/>
                <w:szCs w:val="18"/>
                <w:color w:val="auto"/>
                <w:w w:val="97"/>
              </w:rPr>
              <w:t>GM Investor Relations</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780" w:type="dxa"/>
            <w:vAlign w:val="bottom"/>
            <w:gridSpan w:val="2"/>
          </w:tcPr>
          <w:p>
            <w:pPr>
              <w:spacing w:after="0" w:line="190" w:lineRule="exact"/>
              <w:rPr>
                <w:sz w:val="20"/>
                <w:szCs w:val="20"/>
                <w:color w:val="auto"/>
              </w:rPr>
            </w:pPr>
            <w:r>
              <w:rPr>
                <w:rFonts w:ascii="Arial" w:cs="Arial" w:eastAsia="Arial" w:hAnsi="Arial"/>
                <w:sz w:val="18"/>
                <w:szCs w:val="18"/>
                <w:color w:val="0000FF"/>
              </w:rPr>
              <w:t>tom.e.henderson@gm.com</w:t>
            </w:r>
          </w:p>
        </w:tc>
        <w:tc>
          <w:tcPr>
            <w:tcW w:w="3300" w:type="dxa"/>
            <w:vAlign w:val="bottom"/>
            <w:gridSpan w:val="2"/>
          </w:tcPr>
          <w:p>
            <w:pPr>
              <w:ind w:left="1540"/>
              <w:spacing w:after="0" w:line="190" w:lineRule="exact"/>
              <w:rPr>
                <w:sz w:val="20"/>
                <w:szCs w:val="20"/>
                <w:color w:val="auto"/>
              </w:rPr>
            </w:pPr>
            <w:r>
              <w:rPr>
                <w:rFonts w:ascii="Arial" w:cs="Arial" w:eastAsia="Arial" w:hAnsi="Arial"/>
                <w:sz w:val="18"/>
                <w:szCs w:val="18"/>
                <w:color w:val="0000FF"/>
                <w:w w:val="89"/>
              </w:rPr>
              <w:t>randy.c.arickx@gm.com</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this press release and in related comments by our management, our use of the words “plans,” “expect,” “anticipate,” “possible,” “target,” “believe,” “commit,” “intend,” “continue,” “may,” “would,” “could,” “should,” “project,” “appears,” “potential,” “projected,”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our ability to remain competitive and our ability to continue to attract new customers, particularly for our new products. General Motors Co. (“GM”)’s most recent annual report on Form 10-K provides information about these and other factors, which we may revise or supplement in future reports to the Securities and Exchange Commission (the "SEC").</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accompanying tables and charts include earnings before interest and taxes adjusted for special items, presented net of noncontrolling interests (EBIT-adjusted), return on invested capital (ROIC) and Automotive adjusted free cash flow. These metrics are not prepared in accordance with Accounting Principles Generally Accepted in the United States of America (U.S. GAAP) and have not been audited or reviewed by GM's independent auditors. EBIT-adjusted, ROIC and Automotive adjusted free cash flow are considered non-GAAP financial measures.</w:t>
      </w:r>
    </w:p>
    <w:p>
      <w:pPr>
        <w:spacing w:after="0" w:line="17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Management uses EBIT-adjusted to review the operating results of its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w:t>
      </w:r>
    </w:p>
    <w:p>
      <w:pPr>
        <w:spacing w:after="0" w:line="14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Management uses ROIC to review investment and capital allocation decisions. GM defines ROIC as EBIT-adjusted for the trailing four quarters divided by average net assets, which is considered to be the average equity balances adjusted for certain assets and liabilities during the same period.</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adjusted free cash flow to review the liquidity of its automotive operations. GM measures adjusted free cash flow as cash flow from operations less capital expenditures adjusted for management actions, primarily related to strengthening its balance sheet, such as accrued interest on prepayments of debt and voluntary contributions to employee benefit plans.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these non-GAAP measures in its financial and operational decision making processes, for internal reporting and as part of its forecasting and budgeting processes as they provide additional transparency of GM's core operations. These measures allow management to view operating trends, perform analytical comparisons and benchmark performance between periods and among geographic regions.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GM's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related U.S. GAAP measures.</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reconciliation of EBIT-adjusted to its most comparable U.S. GAAP measure, Income before income taxes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segments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GM North America (GMNA)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Europe (GME)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GM International Operations (GMIO)</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South America (GMSA)</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General Motors Financial Company, Inc. (GM Financial)(a)</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segments(a)</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EBIT-adjusted(b)</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1,437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GM's automotive operations' interest income and interest expense are recorded centrally in Corporate.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jc w:val="both"/>
        <w:ind w:firstLine="162"/>
        <w:spacing w:after="0" w:line="320" w:lineRule="auto"/>
        <w:rPr>
          <w:sz w:val="20"/>
          <w:szCs w:val="20"/>
          <w:color w:val="auto"/>
        </w:rPr>
      </w:pPr>
      <w:r>
        <w:rPr>
          <w:rFonts w:ascii="Arial" w:cs="Arial" w:eastAsia="Arial" w:hAnsi="Arial"/>
          <w:sz w:val="16"/>
          <w:szCs w:val="16"/>
          <w:color w:val="auto"/>
        </w:rPr>
        <w:t>In the three months ended March 31, 2015 special items consisted of net insurance recoveries related to flood damage of $32 million in its GMNA segment; costs related to the change in GM's business model in Russia of $337 million in its GME segment and $91 million in its GMIO segment, which is net of non-controlling interests; charge related to the ignition switch recall compensation program of $150 million in its Corporate segment; and other of $1 million.</w:t>
      </w:r>
    </w:p>
    <w:p>
      <w:pPr>
        <w:spacing w:after="0" w:line="1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2014 special items consisted of Venezuela currency devaluation of $419 million in its GMSA segment and other of $8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reconciliation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Four Quarters Ended</w:t>
            </w:r>
          </w:p>
        </w:tc>
        <w:tc>
          <w:tcPr>
            <w:tcW w:w="0" w:type="dxa"/>
            <w:vAlign w:val="bottom"/>
          </w:tcPr>
          <w:p>
            <w:pPr>
              <w:spacing w:after="0"/>
              <w:rPr>
                <w:sz w:val="1"/>
                <w:szCs w:val="1"/>
                <w:color w:val="auto"/>
              </w:rPr>
            </w:pPr>
          </w:p>
        </w:tc>
      </w:tr>
      <w:tr>
        <w:trPr>
          <w:trHeight w:val="264"/>
        </w:trPr>
        <w:tc>
          <w:tcPr>
            <w:tcW w:w="7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2015</w:t>
            </w:r>
          </w:p>
        </w:tc>
        <w:tc>
          <w:tcPr>
            <w:tcW w:w="240" w:type="dxa"/>
            <w:vAlign w:val="bottom"/>
          </w:tcPr>
          <w:p>
            <w:pPr>
              <w:spacing w:after="0"/>
              <w:rPr>
                <w:sz w:val="22"/>
                <w:szCs w:val="22"/>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250"/>
        </w:trPr>
        <w:tc>
          <w:tcPr>
            <w:tcW w:w="7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4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Less: Average net automotive income tax asset</w:t>
            </w:r>
          </w:p>
        </w:tc>
        <w:tc>
          <w:tcPr>
            <w:tcW w:w="24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 average net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ROIC</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following table summarizes the reconciliation of Automotive adjusted free cash flow to Automotive net cash provided by operating activities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March 31,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adjusted free cash flow</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1,752</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net cash provided by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2,000</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30"/>
        </w:trPr>
        <w:tc>
          <w:tcPr>
            <w:tcW w:w="218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72"/>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rPr>
              <w:t>March 31, 2015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8"/>
        </w:trPr>
        <w:tc>
          <w:tcPr>
            <w:tcW w:w="2180" w:type="dxa"/>
            <w:vAlign w:val="bottom"/>
            <w:shd w:val="clear" w:color="auto" w:fill="BFE4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24,676</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4,449</w:t>
            </w:r>
          </w:p>
        </w:tc>
        <w:tc>
          <w:tcPr>
            <w:tcW w:w="14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3,112</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2,092</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BFE4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34,364</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1,354</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35,712</w:t>
            </w: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244</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1,684</w:t>
            </w:r>
          </w:p>
        </w:tc>
      </w:tr>
      <w:tr>
        <w:trPr>
          <w:trHeight w:val="156"/>
        </w:trPr>
        <w:tc>
          <w:tcPr>
            <w:tcW w:w="2180" w:type="dxa"/>
            <w:vAlign w:val="bottom"/>
            <w:shd w:val="clear" w:color="auto" w:fill="BFE4FF"/>
          </w:tcPr>
          <w:p>
            <w:pPr>
              <w:ind w:left="40"/>
              <w:spacing w:after="0"/>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54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7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9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7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620" w:type="dxa"/>
            <w:vAlign w:val="bottom"/>
            <w:shd w:val="clear" w:color="auto" w:fill="BFE4FF"/>
          </w:tcPr>
          <w:p>
            <w:pPr>
              <w:spacing w:after="0"/>
              <w:rPr>
                <w:sz w:val="13"/>
                <w:szCs w:val="13"/>
                <w:color w:val="auto"/>
              </w:rPr>
            </w:pPr>
          </w:p>
        </w:tc>
      </w:tr>
      <w:tr>
        <w:trPr>
          <w:trHeight w:val="135"/>
        </w:trPr>
        <w:tc>
          <w:tcPr>
            <w:tcW w:w="2180" w:type="dxa"/>
            <w:vAlign w:val="bottom"/>
            <w:shd w:val="clear" w:color="auto" w:fill="BFE4FF"/>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shd w:val="clear" w:color="auto" w:fill="BFE4FF"/>
          </w:tcPr>
          <w:p>
            <w:pPr>
              <w:spacing w:after="0"/>
              <w:rPr>
                <w:sz w:val="11"/>
                <w:szCs w:val="11"/>
                <w:color w:val="auto"/>
              </w:rPr>
            </w:pPr>
          </w:p>
        </w:tc>
        <w:tc>
          <w:tcPr>
            <w:tcW w:w="5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60" w:type="dxa"/>
            <w:vAlign w:val="bottom"/>
            <w:shd w:val="clear" w:color="auto" w:fill="BFE4FF"/>
          </w:tcPr>
          <w:p>
            <w:pPr>
              <w:spacing w:after="0"/>
              <w:rPr>
                <w:sz w:val="11"/>
                <w:szCs w:val="11"/>
                <w:color w:val="auto"/>
              </w:rPr>
            </w:pPr>
          </w:p>
        </w:tc>
        <w:tc>
          <w:tcPr>
            <w:tcW w:w="540" w:type="dxa"/>
            <w:vAlign w:val="bottom"/>
            <w:shd w:val="clear" w:color="auto" w:fill="BFE4FF"/>
          </w:tcPr>
          <w:p>
            <w:pPr>
              <w:spacing w:after="0"/>
              <w:rPr>
                <w:sz w:val="11"/>
                <w:szCs w:val="11"/>
                <w:color w:val="auto"/>
              </w:rPr>
            </w:pPr>
          </w:p>
        </w:tc>
        <w:tc>
          <w:tcPr>
            <w:tcW w:w="14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5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5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9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320" w:type="dxa"/>
            <w:vAlign w:val="bottom"/>
            <w:shd w:val="clear" w:color="auto" w:fill="BFE4FF"/>
          </w:tcPr>
          <w:p>
            <w:pPr>
              <w:spacing w:after="0"/>
              <w:rPr>
                <w:sz w:val="11"/>
                <w:szCs w:val="11"/>
                <w:color w:val="auto"/>
              </w:rPr>
            </w:pPr>
          </w:p>
        </w:tc>
        <w:tc>
          <w:tcPr>
            <w:tcW w:w="7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66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8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60" w:type="dxa"/>
            <w:vAlign w:val="bottom"/>
            <w:shd w:val="clear" w:color="auto" w:fill="BFE4FF"/>
          </w:tcPr>
          <w:p>
            <w:pPr>
              <w:spacing w:after="0"/>
              <w:rPr>
                <w:sz w:val="11"/>
                <w:szCs w:val="11"/>
                <w:color w:val="auto"/>
              </w:rPr>
            </w:pPr>
          </w:p>
        </w:tc>
        <w:tc>
          <w:tcPr>
            <w:tcW w:w="620" w:type="dxa"/>
            <w:vAlign w:val="bottom"/>
            <w:shd w:val="clear" w:color="auto" w:fill="BFE4FF"/>
          </w:tcPr>
          <w:p>
            <w:pPr>
              <w:spacing w:after="0"/>
              <w:rPr>
                <w:sz w:val="11"/>
                <w:szCs w:val="11"/>
                <w:color w:val="auto"/>
              </w:rPr>
            </w:pPr>
          </w:p>
        </w:tc>
      </w:tr>
      <w:tr>
        <w:trPr>
          <w:trHeight w:val="176"/>
        </w:trPr>
        <w:tc>
          <w:tcPr>
            <w:tcW w:w="2180" w:type="dxa"/>
            <w:vAlign w:val="bottom"/>
            <w:shd w:val="clear" w:color="auto" w:fill="BFE4FF"/>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1,101</w:t>
            </w:r>
          </w:p>
        </w:tc>
        <w:tc>
          <w:tcPr>
            <w:tcW w:w="120" w:type="dxa"/>
            <w:vAlign w:val="bottom"/>
            <w:shd w:val="clear" w:color="auto" w:fill="BFE4FF"/>
          </w:tcPr>
          <w:p>
            <w:pPr>
              <w:spacing w:after="0"/>
              <w:rPr>
                <w:sz w:val="15"/>
                <w:szCs w:val="15"/>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121</w:t>
            </w:r>
          </w:p>
        </w:tc>
        <w:tc>
          <w:tcPr>
            <w:tcW w:w="14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1,412</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1,757</w:t>
            </w:r>
          </w:p>
        </w:tc>
      </w:tr>
      <w:tr>
        <w:trPr>
          <w:trHeight w:val="254"/>
        </w:trPr>
        <w:tc>
          <w:tcPr>
            <w:tcW w:w="218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553</w:t>
            </w:r>
          </w:p>
        </w:tc>
      </w:tr>
      <w:tr>
        <w:trPr>
          <w:trHeight w:val="160"/>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30"/>
        </w:trPr>
        <w:tc>
          <w:tcPr>
            <w:tcW w:w="218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72"/>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rPr>
              <w:t>March 31, 2014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8"/>
        </w:trPr>
        <w:tc>
          <w:tcPr>
            <w:tcW w:w="2180" w:type="dxa"/>
            <w:vAlign w:val="bottom"/>
            <w:shd w:val="clear" w:color="auto" w:fill="BFE4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24,404</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5,620</w:t>
            </w:r>
          </w:p>
        </w:tc>
        <w:tc>
          <w:tcPr>
            <w:tcW w:w="14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3,025</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BFE4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36,315</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1,097</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37,408</w:t>
            </w: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1,195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201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1,759</w:t>
            </w:r>
          </w:p>
        </w:tc>
      </w:tr>
      <w:tr>
        <w:trPr>
          <w:trHeight w:val="156"/>
        </w:trPr>
        <w:tc>
          <w:tcPr>
            <w:tcW w:w="2180" w:type="dxa"/>
            <w:vAlign w:val="bottom"/>
            <w:shd w:val="clear" w:color="auto" w:fill="BFE4FF"/>
          </w:tcPr>
          <w:p>
            <w:pPr>
              <w:ind w:left="40"/>
              <w:spacing w:after="0"/>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54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7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9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7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620" w:type="dxa"/>
            <w:vAlign w:val="bottom"/>
            <w:shd w:val="clear" w:color="auto" w:fill="BFE4FF"/>
          </w:tcPr>
          <w:p>
            <w:pPr>
              <w:spacing w:after="0"/>
              <w:rPr>
                <w:sz w:val="13"/>
                <w:szCs w:val="13"/>
                <w:color w:val="auto"/>
              </w:rPr>
            </w:pPr>
          </w:p>
        </w:tc>
      </w:tr>
      <w:tr>
        <w:trPr>
          <w:trHeight w:val="135"/>
        </w:trPr>
        <w:tc>
          <w:tcPr>
            <w:tcW w:w="2180" w:type="dxa"/>
            <w:vAlign w:val="bottom"/>
            <w:shd w:val="clear" w:color="auto" w:fill="BFE4FF"/>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shd w:val="clear" w:color="auto" w:fill="BFE4FF"/>
          </w:tcPr>
          <w:p>
            <w:pPr>
              <w:spacing w:after="0"/>
              <w:rPr>
                <w:sz w:val="11"/>
                <w:szCs w:val="11"/>
                <w:color w:val="auto"/>
              </w:rPr>
            </w:pPr>
          </w:p>
        </w:tc>
        <w:tc>
          <w:tcPr>
            <w:tcW w:w="5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60" w:type="dxa"/>
            <w:vAlign w:val="bottom"/>
            <w:shd w:val="clear" w:color="auto" w:fill="BFE4FF"/>
          </w:tcPr>
          <w:p>
            <w:pPr>
              <w:spacing w:after="0"/>
              <w:rPr>
                <w:sz w:val="11"/>
                <w:szCs w:val="11"/>
                <w:color w:val="auto"/>
              </w:rPr>
            </w:pPr>
          </w:p>
        </w:tc>
        <w:tc>
          <w:tcPr>
            <w:tcW w:w="540" w:type="dxa"/>
            <w:vAlign w:val="bottom"/>
            <w:shd w:val="clear" w:color="auto" w:fill="BFE4FF"/>
          </w:tcPr>
          <w:p>
            <w:pPr>
              <w:spacing w:after="0"/>
              <w:rPr>
                <w:sz w:val="11"/>
                <w:szCs w:val="11"/>
                <w:color w:val="auto"/>
              </w:rPr>
            </w:pPr>
          </w:p>
        </w:tc>
        <w:tc>
          <w:tcPr>
            <w:tcW w:w="14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5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5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9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320" w:type="dxa"/>
            <w:vAlign w:val="bottom"/>
            <w:shd w:val="clear" w:color="auto" w:fill="BFE4FF"/>
          </w:tcPr>
          <w:p>
            <w:pPr>
              <w:spacing w:after="0"/>
              <w:rPr>
                <w:sz w:val="11"/>
                <w:szCs w:val="11"/>
                <w:color w:val="auto"/>
              </w:rPr>
            </w:pPr>
          </w:p>
        </w:tc>
        <w:tc>
          <w:tcPr>
            <w:tcW w:w="7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66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8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60" w:type="dxa"/>
            <w:vAlign w:val="bottom"/>
            <w:shd w:val="clear" w:color="auto" w:fill="BFE4FF"/>
          </w:tcPr>
          <w:p>
            <w:pPr>
              <w:spacing w:after="0"/>
              <w:rPr>
                <w:sz w:val="11"/>
                <w:szCs w:val="11"/>
                <w:color w:val="auto"/>
              </w:rPr>
            </w:pPr>
          </w:p>
        </w:tc>
        <w:tc>
          <w:tcPr>
            <w:tcW w:w="620" w:type="dxa"/>
            <w:vAlign w:val="bottom"/>
            <w:shd w:val="clear" w:color="auto" w:fill="BFE4FF"/>
          </w:tcPr>
          <w:p>
            <w:pPr>
              <w:spacing w:after="0"/>
              <w:rPr>
                <w:sz w:val="11"/>
                <w:szCs w:val="11"/>
                <w:color w:val="auto"/>
              </w:rPr>
            </w:pPr>
          </w:p>
        </w:tc>
      </w:tr>
      <w:tr>
        <w:trPr>
          <w:trHeight w:val="176"/>
        </w:trPr>
        <w:tc>
          <w:tcPr>
            <w:tcW w:w="2180" w:type="dxa"/>
            <w:vAlign w:val="bottom"/>
            <w:shd w:val="clear" w:color="auto" w:fill="BFE4FF"/>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1,092</w:t>
            </w:r>
          </w:p>
        </w:tc>
        <w:tc>
          <w:tcPr>
            <w:tcW w:w="120" w:type="dxa"/>
            <w:vAlign w:val="bottom"/>
            <w:shd w:val="clear" w:color="auto" w:fill="BFE4FF"/>
          </w:tcPr>
          <w:p>
            <w:pPr>
              <w:spacing w:after="0"/>
              <w:rPr>
                <w:sz w:val="15"/>
                <w:szCs w:val="15"/>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109</w:t>
            </w:r>
          </w:p>
        </w:tc>
        <w:tc>
          <w:tcPr>
            <w:tcW w:w="14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1,431</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1,607</w:t>
            </w:r>
          </w:p>
        </w:tc>
      </w:tr>
      <w:tr>
        <w:trPr>
          <w:trHeight w:val="254"/>
        </w:trPr>
        <w:tc>
          <w:tcPr>
            <w:tcW w:w="218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605</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2015</w:t>
            </w:r>
          </w:p>
        </w:tc>
        <w:tc>
          <w:tcPr>
            <w:tcW w:w="17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Worldwide Employment (in thousands)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GMNA</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27"/>
        </w:trPr>
        <w:tc>
          <w:tcPr>
            <w:tcW w:w="8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GMIO</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8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GMSA</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GM Financial</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8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Worldwide</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216</w:t>
            </w:r>
          </w:p>
        </w:tc>
      </w:tr>
      <w:tr>
        <w:trPr>
          <w:trHeight w:val="20"/>
        </w:trPr>
        <w:tc>
          <w:tcPr>
            <w:tcW w:w="8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7"/>
        </w:trPr>
        <w:tc>
          <w:tcPr>
            <w:tcW w:w="8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 Salaried</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U.S. - Hourly</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Sales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in the tables below and corresponding calculations of its market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Wholesale vehicle sales data, which represents sales directly to dealers and others, is the measure that correlates vehicle sales to revenue from the sale of vehicles, which is the largest component of automotive Net sales and revenue. Wholesale vehicle sales exclude vehicles produced by unconsolidated joint ventures. In the three months ended March 31, 2015, 49.5% of GM's wholesale vehicle sales volume was generated outside the U.S. The following table summarizes total wholesale vehicle sales of new vehicles by automotive segment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2015</w:t>
            </w: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3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GME</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291</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GMSA</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208</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1,468</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Sales and Market Share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the end customers based upon the good faith estimates of management, including fleets, does not correlate directly to the revenue GM recognizes during the period. However, retail vehicle sales data is indicative of the underlying demand for GM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vehicles sales on non-GM trademarked vehicles by those joint ventures. Retail vehicle sales data includes vehicles sold through the dealer registration channel. This sales channel consists primarily of dealer demonstrator, loaner and self-registered vehicles (primarily in Europe). These vehicles are not eligible to be sold as new vehicles after being registered by dealers. Certain fleet sales that are accounted for as operating leases are included in retail vehicle sales at the time of delivery to the daily rental car companies. The following table summarizes total retail sales volume, or estimated sales volume where retail sales volume is not available, of new vehicles by geographic region (vehicles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 2015</w:t>
            </w:r>
          </w:p>
        </w:tc>
        <w:tc>
          <w:tcPr>
            <w:tcW w:w="1360" w:type="dxa"/>
            <w:vAlign w:val="bottom"/>
          </w:tcPr>
          <w:p>
            <w:pPr>
              <w:jc w:val="right"/>
              <w:ind w:right="11"/>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Chevrolet - Cars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217</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Chevrolet - Trucks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Chevrolet - Crossovers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Cadillac</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Buick</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GMC</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Total United States</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684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650</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Mexico and Other</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Total North America</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745</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Opel/Vauxhall</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Chevrolet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Europe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Asia/Pacific, Middle East and Africa</w:t>
            </w: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Chevrolet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Wuling</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461</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Buick</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Holden</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GMC</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Cadillac</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Total Asia/Pacific, Middle East and Africa</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1,138</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1,123</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Chevrolet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211</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Total South America</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211</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Worldwide</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2,399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2,416</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vehicle sales at GM's China joint ventures presented in the following table are included in GM's retail vehicle sales (vehicles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2015</w:t>
            </w: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Sales Co., Ltd.</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SAIC-GM-Wuling Automobile Co., Ltd. and FAW-GM Light Duty Commercial Vehicle Co., Ltd.</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497</w:t>
            </w:r>
          </w:p>
        </w:tc>
      </w:tr>
      <w:tr>
        <w:trPr>
          <w:trHeight w:val="426"/>
        </w:trPr>
        <w:tc>
          <w:tcPr>
            <w:tcW w:w="8580" w:type="dxa"/>
            <w:vAlign w:val="bottom"/>
          </w:tcPr>
          <w:p>
            <w:pPr>
              <w:spacing w:after="0"/>
              <w:rPr>
                <w:sz w:val="24"/>
                <w:szCs w:val="24"/>
                <w:color w:val="auto"/>
              </w:rPr>
            </w:pPr>
          </w:p>
        </w:tc>
        <w:tc>
          <w:tcPr>
            <w:tcW w:w="284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2015</w:t>
            </w: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 Share</w:t>
            </w: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United States - Cars</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12.2%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14.9%</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 - Trucks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20.4%</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United States - Crossovers</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17.6%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17.4%</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17.0%</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Total North America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16.4%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16.5%</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Europe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7.2%</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Total Asia/Pacific, Middle East and Africa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South America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16.3%</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Total Worldwide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11.0%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11.1%</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U.S. Retail/Fleet Mix</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Fleet Sales - Cars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31.7%</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 Fleet Sales - Trucks</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22.5%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17.8%</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Fleet Sales - Crossovers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21.7%</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Total Vehicles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26.7%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24.6%</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North America Capacity Utilization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Income Statements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0"/>
              </w:rPr>
              <w:t>Three Months Ended March 31, 2015</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90"/>
              </w:rPr>
              <w:t>Three Months Ended March 31,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Automotive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34,364</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color w:val="auto"/>
              </w:rPr>
              <w:t>34,364</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36,315</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36,315</w:t>
            </w:r>
          </w:p>
        </w:tc>
        <w:tc>
          <w:tcPr>
            <w:tcW w:w="0" w:type="dxa"/>
            <w:vAlign w:val="bottom"/>
          </w:tcPr>
          <w:p>
            <w:pPr>
              <w:spacing w:after="0"/>
              <w:rPr>
                <w:sz w:val="1"/>
                <w:szCs w:val="1"/>
                <w:color w:val="auto"/>
              </w:rPr>
            </w:pPr>
          </w:p>
        </w:tc>
      </w:tr>
      <w:tr>
        <w:trPr>
          <w:trHeight w:val="75"/>
        </w:trPr>
        <w:tc>
          <w:tcPr>
            <w:tcW w:w="37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1,354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1,348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1,097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82"/>
        </w:trPr>
        <w:tc>
          <w:tcPr>
            <w:tcW w:w="3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4"/>
                <w:szCs w:val="14"/>
                <w:color w:val="auto"/>
              </w:rPr>
              <w:t>Total net sales and revenue</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color w:val="auto"/>
              </w:rPr>
              <w:t>34,364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color w:val="auto"/>
              </w:rPr>
              <w:t>1,354</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35,712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36,315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37,408</w:t>
            </w:r>
          </w:p>
        </w:tc>
        <w:tc>
          <w:tcPr>
            <w:tcW w:w="0" w:type="dxa"/>
            <w:vAlign w:val="bottom"/>
          </w:tcPr>
          <w:p>
            <w:pPr>
              <w:spacing w:after="0"/>
              <w:rPr>
                <w:sz w:val="1"/>
                <w:szCs w:val="1"/>
                <w:color w:val="auto"/>
              </w:rPr>
            </w:pPr>
          </w:p>
        </w:tc>
      </w:tr>
      <w:tr>
        <w:trPr>
          <w:trHeight w:val="75"/>
        </w:trPr>
        <w:tc>
          <w:tcPr>
            <w:tcW w:w="37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Automotive cost of sales</w:t>
            </w:r>
          </w:p>
        </w:tc>
        <w:tc>
          <w:tcPr>
            <w:tcW w:w="120" w:type="dxa"/>
            <w:vAlign w:val="bottom"/>
          </w:tcPr>
          <w:p>
            <w:pPr>
              <w:spacing w:after="0"/>
              <w:rPr>
                <w:sz w:val="16"/>
                <w:szCs w:val="16"/>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30,677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color w:val="auto"/>
              </w:rPr>
              <w:t>30,674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34,130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34,127</w:t>
            </w:r>
          </w:p>
        </w:tc>
        <w:tc>
          <w:tcPr>
            <w:tcW w:w="0" w:type="dxa"/>
            <w:vAlign w:val="bottom"/>
          </w:tcPr>
          <w:p>
            <w:pPr>
              <w:spacing w:after="0"/>
              <w:rPr>
                <w:sz w:val="1"/>
                <w:szCs w:val="1"/>
                <w:color w:val="auto"/>
              </w:rPr>
            </w:pPr>
          </w:p>
        </w:tc>
      </w:tr>
      <w:tr>
        <w:trPr>
          <w:trHeight w:val="75"/>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 interest, operating and other expenses</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82"/>
        </w:trPr>
        <w:tc>
          <w:tcPr>
            <w:tcW w:w="3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Automotive selling, general and administrative expense</w:t>
            </w:r>
          </w:p>
        </w:tc>
        <w:tc>
          <w:tcPr>
            <w:tcW w:w="120" w:type="dxa"/>
            <w:vAlign w:val="bottom"/>
          </w:tcPr>
          <w:p>
            <w:pPr>
              <w:spacing w:after="0"/>
              <w:rPr>
                <w:sz w:val="22"/>
                <w:szCs w:val="22"/>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3,117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3,117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2,941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2,941</w:t>
            </w:r>
          </w:p>
        </w:tc>
        <w:tc>
          <w:tcPr>
            <w:tcW w:w="0" w:type="dxa"/>
            <w:vAlign w:val="bottom"/>
          </w:tcPr>
          <w:p>
            <w:pPr>
              <w:spacing w:after="0"/>
              <w:rPr>
                <w:sz w:val="1"/>
                <w:szCs w:val="1"/>
                <w:color w:val="auto"/>
              </w:rPr>
            </w:pPr>
          </w:p>
        </w:tc>
      </w:tr>
      <w:tr>
        <w:trPr>
          <w:trHeight w:val="175"/>
        </w:trPr>
        <w:tc>
          <w:tcPr>
            <w:tcW w:w="37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33,794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1,168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34,959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37,071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875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37,943</w:t>
            </w:r>
          </w:p>
        </w:tc>
        <w:tc>
          <w:tcPr>
            <w:tcW w:w="0" w:type="dxa"/>
            <w:vAlign w:val="bottom"/>
          </w:tcPr>
          <w:p>
            <w:pPr>
              <w:spacing w:after="0"/>
              <w:rPr>
                <w:sz w:val="1"/>
                <w:szCs w:val="1"/>
                <w:color w:val="auto"/>
              </w:rPr>
            </w:pPr>
          </w:p>
        </w:tc>
      </w:tr>
      <w:tr>
        <w:trPr>
          <w:trHeight w:val="82"/>
        </w:trPr>
        <w:tc>
          <w:tcPr>
            <w:tcW w:w="378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380"/>
              <w:spacing w:after="0"/>
              <w:rPr>
                <w:sz w:val="20"/>
                <w:szCs w:val="20"/>
                <w:color w:val="auto"/>
              </w:rPr>
            </w:pPr>
            <w:r>
              <w:rPr>
                <w:rFonts w:ascii="Arial" w:cs="Arial" w:eastAsia="Arial" w:hAnsi="Arial"/>
                <w:sz w:val="14"/>
                <w:szCs w:val="14"/>
                <w:color w:val="auto"/>
              </w:rPr>
              <w:t>Operating income (loss)</w:t>
            </w: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75"/>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interest expense</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82"/>
        </w:trPr>
        <w:tc>
          <w:tcPr>
            <w:tcW w:w="3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4"/>
                <w:szCs w:val="14"/>
                <w:color w:val="auto"/>
              </w:rPr>
              <w:t>Interest income and other non-operating income, net</w:t>
            </w:r>
          </w:p>
        </w:tc>
        <w:tc>
          <w:tcPr>
            <w:tcW w:w="120" w:type="dxa"/>
            <w:vAlign w:val="bottom"/>
          </w:tcPr>
          <w:p>
            <w:pPr>
              <w:spacing w:after="0"/>
              <w:rPr>
                <w:sz w:val="16"/>
                <w:szCs w:val="16"/>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75"/>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82"/>
        </w:trPr>
        <w:tc>
          <w:tcPr>
            <w:tcW w:w="378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color w:val="auto"/>
              </w:rPr>
              <w:t>1,437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75"/>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82"/>
        </w:trPr>
        <w:tc>
          <w:tcPr>
            <w:tcW w:w="378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75"/>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noncontrolling interests</w:t>
            </w: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9"/>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stockholders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4"/>
                <w:szCs w:val="14"/>
                <w:color w:val="auto"/>
              </w:rPr>
            </w:pP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62"/>
        </w:trPr>
        <w:tc>
          <w:tcPr>
            <w:tcW w:w="37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31,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cumulative dividends on Series A preferred stock(a)</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Dilutive effect of warrants and restricted stock units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0.06</w:t>
            </w:r>
          </w:p>
        </w:tc>
      </w:tr>
      <w:tr>
        <w:trPr>
          <w:trHeight w:val="220"/>
        </w:trPr>
        <w:tc>
          <w:tcPr>
            <w:tcW w:w="8580" w:type="dxa"/>
            <w:vAlign w:val="bottom"/>
          </w:tcPr>
          <w:p>
            <w:pPr>
              <w:spacing w:after="0"/>
              <w:rPr>
                <w:sz w:val="20"/>
                <w:szCs w:val="20"/>
                <w:color w:val="auto"/>
              </w:rPr>
            </w:pPr>
            <w:r>
              <w:rPr>
                <w:rFonts w:ascii="Arial" w:cs="Arial" w:eastAsia="Arial" w:hAnsi="Arial"/>
                <w:sz w:val="16"/>
                <w:szCs w:val="16"/>
                <w:color w:val="auto"/>
              </w:rPr>
              <w:t>________</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earned but undeclared dividends of $15 million on GM's Series A preferred stock in the three months ended March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ASSETS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Assets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securities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Restricted cash and marketable securities</w:t>
      </w:r>
    </w:p>
    <w:p>
      <w:pPr>
        <w:spacing w:after="0" w:line="177" w:lineRule="exact"/>
        <w:rPr>
          <w:sz w:val="20"/>
          <w:szCs w:val="20"/>
          <w:color w:val="auto"/>
        </w:rPr>
      </w:pPr>
    </w:p>
    <w:p>
      <w:pPr>
        <w:ind w:left="140" w:right="1020"/>
        <w:spacing w:after="0" w:line="411" w:lineRule="auto"/>
        <w:rPr>
          <w:sz w:val="20"/>
          <w:szCs w:val="20"/>
          <w:color w:val="auto"/>
        </w:rPr>
      </w:pPr>
      <w:r>
        <w:rPr>
          <w:rFonts w:ascii="Arial" w:cs="Arial" w:eastAsia="Arial" w:hAnsi="Arial"/>
          <w:sz w:val="12"/>
          <w:szCs w:val="12"/>
          <w:color w:val="auto"/>
        </w:rPr>
        <w:t>Accounts and notes receivable, net GM Financial receivables, net</w:t>
      </w:r>
    </w:p>
    <w:p>
      <w:pPr>
        <w:ind w:left="1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Equipment on operating leases,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Assets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Restricted cash and marketable securities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 receivables,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Property,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Goodwill and intangible assets,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non-current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LIABILITIES AND EQUITY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payable (principally trade)</w:t>
      </w:r>
    </w:p>
    <w:p>
      <w:pPr>
        <w:spacing w:after="0" w:line="109" w:lineRule="exact"/>
        <w:rPr>
          <w:sz w:val="20"/>
          <w:szCs w:val="20"/>
          <w:color w:val="auto"/>
        </w:rPr>
      </w:pPr>
    </w:p>
    <w:p>
      <w:pPr>
        <w:ind w:left="300" w:hanging="161"/>
        <w:spacing w:after="0" w:line="402" w:lineRule="auto"/>
        <w:rPr>
          <w:sz w:val="20"/>
          <w:szCs w:val="20"/>
          <w:color w:val="auto"/>
        </w:rPr>
      </w:pPr>
      <w:r>
        <w:rPr>
          <w:rFonts w:ascii="Arial" w:cs="Arial" w:eastAsia="Arial" w:hAnsi="Arial"/>
          <w:sz w:val="14"/>
          <w:szCs w:val="14"/>
          <w:color w:val="auto"/>
        </w:rPr>
        <w:t>Short-term debt and current portion of long-term debt Automotive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Accrued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Postretirement benefits other than pensions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Pensions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non-current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Common stock</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Additional paid-in capital</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stockholders’ equity</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Noncontrolling interests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Consolidating Balance Sheets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91"/>
              </w:rPr>
              <w:t>March 31, 2015</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8"/>
              </w:rPr>
              <w:t>December 31,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9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13,655</w:t>
            </w:r>
          </w:p>
        </w:tc>
        <w:tc>
          <w:tcPr>
            <w:tcW w:w="12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2,121</w:t>
            </w: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15,776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15,980</w:t>
            </w:r>
          </w:p>
        </w:tc>
        <w:tc>
          <w:tcPr>
            <w:tcW w:w="120" w:type="dxa"/>
            <w:vAlign w:val="bottom"/>
          </w:tcPr>
          <w:p>
            <w:pPr>
              <w:spacing w:after="0"/>
              <w:rPr>
                <w:sz w:val="24"/>
                <w:szCs w:val="24"/>
                <w:color w:val="auto"/>
              </w:rPr>
            </w:pP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2,974</w:t>
            </w:r>
          </w:p>
        </w:tc>
        <w:tc>
          <w:tcPr>
            <w:tcW w:w="10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18,954</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8,409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8,409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9,222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9,222</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1,338</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11,816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11,569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9,396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9,078</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16,290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16,127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16,705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16,528</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14,051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14,051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13,642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13,642</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4,563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4,563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3,564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3,564</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9,445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9,704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9,440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9,760</w:t>
            </w:r>
          </w:p>
        </w:tc>
      </w:tr>
      <w:tr>
        <w:trPr>
          <w:trHeight w:val="278"/>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1,584</w:t>
            </w:r>
          </w:p>
        </w:tc>
      </w:tr>
      <w:tr>
        <w:trPr>
          <w:trHeight w:val="243"/>
        </w:trPr>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63,427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20,854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83,231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62,790</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22,163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83,670</w:t>
            </w:r>
          </w:p>
        </w:tc>
      </w:tr>
      <w:tr>
        <w:trPr>
          <w:trHeight w:val="540"/>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935</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16,180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16,180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16,006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16,006</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8,827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9,756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8,350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8,350</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27,579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27,755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27,570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27,743</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4,841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6,297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4,945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6,410</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8,939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8,939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7,060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7,060</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24,809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24,782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25,439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25,414</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2,580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2,573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2,089</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68,700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28,624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96,687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68,944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25,698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94,007</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132,127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49,478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179,918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131,734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47,861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177,677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25,145</w:t>
            </w:r>
          </w:p>
        </w:tc>
        <w:tc>
          <w:tcPr>
            <w:tcW w:w="12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25,187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22,463</w:t>
            </w:r>
          </w:p>
        </w:tc>
        <w:tc>
          <w:tcPr>
            <w:tcW w:w="120" w:type="dxa"/>
            <w:vAlign w:val="bottom"/>
          </w:tcPr>
          <w:p>
            <w:pPr>
              <w:spacing w:after="0"/>
              <w:rPr>
                <w:sz w:val="24"/>
                <w:szCs w:val="24"/>
                <w:color w:val="auto"/>
              </w:rPr>
            </w:pP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22,529</w:t>
            </w:r>
          </w:p>
        </w:tc>
      </w:tr>
      <w:tr>
        <w:trPr>
          <w:trHeight w:val="540"/>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500</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13,940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13,940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14,488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14,488</w:t>
            </w:r>
          </w:p>
        </w:tc>
      </w:tr>
      <w:tr>
        <w:trPr>
          <w:trHeight w:val="278"/>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27,074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27,804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27,444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28,184</w:t>
            </w:r>
          </w:p>
        </w:tc>
      </w:tr>
      <w:tr>
        <w:trPr>
          <w:trHeight w:val="243"/>
        </w:trPr>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52,952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15,441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67,342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51,038</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15,945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65,701</w:t>
            </w:r>
          </w:p>
        </w:tc>
      </w:tr>
      <w:tr>
        <w:trPr>
          <w:trHeight w:val="810"/>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8,722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8,722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8,910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8,910</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25,185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25,185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22,943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22,943</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6,089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6,089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6,229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6,229</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22,106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22,206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23,676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23,788</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12,784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13,551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13,396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14,082</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49,701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26,688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75,753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52,211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24,377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75,952</w:t>
            </w:r>
          </w:p>
        </w:tc>
      </w:tr>
      <w:tr>
        <w:trPr>
          <w:trHeight w:val="243"/>
        </w:trPr>
        <w:tc>
          <w:tcPr>
            <w:tcW w:w="1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102,653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42,129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143,095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103,249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40,322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141,653</w:t>
            </w:r>
          </w:p>
        </w:tc>
      </w:tr>
      <w:tr>
        <w:trPr>
          <w:trHeight w:val="810"/>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28,819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28,819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28,937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28,937</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6,697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8,128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14,825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6,604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7,973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14,577</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(6,552)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(8,073)</w:t>
            </w:r>
          </w:p>
        </w:tc>
      </w:tr>
      <w:tr>
        <w:trPr>
          <w:trHeight w:val="243"/>
        </w:trPr>
        <w:tc>
          <w:tcPr>
            <w:tcW w:w="1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28,980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7,349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36,329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27,918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7,539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35,457</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r>
      <w:tr>
        <w:trPr>
          <w:trHeight w:val="250"/>
        </w:trPr>
        <w:tc>
          <w:tcPr>
            <w:tcW w:w="1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29,474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7,349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36,823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28,485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7,539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36,024</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132,127</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49,478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179,918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131,734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47,861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177,677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-8618220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-8266430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-7923530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-7580630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-7237095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-6894195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-6551295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-6208395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-5865495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-5521960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-5179060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-4836160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-4476115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-4133215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-3789680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-3446780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-3103880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-2760980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-2417445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-2074545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-1731645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-1388745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-1045845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-702310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-359410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640"/>
          </w:cols>
          <w:pgMar w:left="280" w:top="580" w:right="239" w:bottom="125"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80" w:top="580" w:right="239" w:bottom="125"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90"/>
              </w:rPr>
              <w:t>Three Months Ended March 31, 2015</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0"/>
              </w:rPr>
              <w:t>Three Months Ended March 31,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Reclassification(a)</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Reclassification(a)</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1,976</w:t>
            </w: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(1,684)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(1,752)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rPr>
              <w:t>Available-for-sale marketable securities,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3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(1,634)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rPr>
              <w:t>Available-for-sale marketable securities,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340"/>
              <w:spacing w:after="0"/>
              <w:rPr>
                <w:sz w:val="20"/>
                <w:szCs w:val="20"/>
                <w:color w:val="auto"/>
              </w:rPr>
            </w:pPr>
            <w:r>
              <w:rPr>
                <w:rFonts w:ascii="Arial" w:cs="Arial" w:eastAsia="Arial" w:hAnsi="Arial"/>
                <w:sz w:val="14"/>
                <w:szCs w:val="14"/>
                <w:color w:val="auto"/>
              </w:rPr>
              <w:t>liquidations</w:t>
            </w:r>
          </w:p>
        </w:tc>
        <w:tc>
          <w:tcPr>
            <w:tcW w:w="14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2,467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2,467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w w:val="97"/>
              </w:rPr>
              <w:t>Acquisition of companies/investments, net of</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340"/>
              <w:spacing w:after="0"/>
              <w:rPr>
                <w:sz w:val="20"/>
                <w:szCs w:val="20"/>
                <w:color w:val="auto"/>
              </w:rPr>
            </w:pPr>
            <w:r>
              <w:rPr>
                <w:rFonts w:ascii="Arial" w:cs="Arial" w:eastAsia="Arial" w:hAnsi="Arial"/>
                <w:sz w:val="14"/>
                <w:szCs w:val="14"/>
                <w:color w:val="auto"/>
              </w:rPr>
              <w:t>cash acquired</w:t>
            </w:r>
          </w:p>
        </w:tc>
        <w:tc>
          <w:tcPr>
            <w:tcW w:w="1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restricted cash and marketable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w w:val="99"/>
              </w:rPr>
              <w:t>Decrease in restricted cash and marketable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340"/>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finance receivables</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(4,235)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(4,067)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(3,700)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w w:val="93"/>
              </w:rPr>
              <w:t>Principal collections and recoveries on finance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340"/>
              <w:spacing w:after="0"/>
              <w:rPr>
                <w:sz w:val="20"/>
                <w:szCs w:val="20"/>
                <w:color w:val="auto"/>
              </w:rPr>
            </w:pPr>
            <w:r>
              <w:rPr>
                <w:rFonts w:ascii="Arial" w:cs="Arial" w:eastAsia="Arial" w:hAnsi="Arial"/>
                <w:sz w:val="14"/>
                <w:szCs w:val="14"/>
                <w:color w:val="auto"/>
              </w:rPr>
              <w:t>receivables</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2,814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2,639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leased vehicles, net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(2,252)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63"/>
        </w:trPr>
        <w:tc>
          <w:tcPr>
            <w:tcW w:w="2880" w:type="dxa"/>
            <w:vAlign w:val="bottom"/>
          </w:tcPr>
          <w:p>
            <w:pPr>
              <w:ind w:left="180"/>
              <w:spacing w:after="0"/>
              <w:rPr>
                <w:sz w:val="20"/>
                <w:szCs w:val="20"/>
                <w:color w:val="auto"/>
              </w:rPr>
            </w:pPr>
            <w:r>
              <w:rPr>
                <w:rFonts w:ascii="Arial" w:cs="Arial" w:eastAsia="Arial" w:hAnsi="Arial"/>
                <w:sz w:val="14"/>
                <w:szCs w:val="14"/>
                <w:color w:val="auto"/>
                <w:w w:val="95"/>
              </w:rPr>
              <w:t>Proceeds from termination of leased vehicles</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28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Net cash provided by (used in) investing</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80" w:type="dxa"/>
            <w:vAlign w:val="bottom"/>
          </w:tcPr>
          <w:p>
            <w:pPr>
              <w:ind w:left="200"/>
              <w:spacing w:after="0"/>
              <w:rPr>
                <w:sz w:val="20"/>
                <w:szCs w:val="20"/>
                <w:color w:val="auto"/>
              </w:rPr>
            </w:pPr>
            <w:r>
              <w:rPr>
                <w:rFonts w:ascii="Arial" w:cs="Arial" w:eastAsia="Arial" w:hAnsi="Arial"/>
                <w:sz w:val="14"/>
                <w:szCs w:val="14"/>
                <w:b w:val="1"/>
                <w:bCs w:val="1"/>
                <w:color w:val="auto"/>
              </w:rPr>
              <w:t>activities</w:t>
            </w:r>
          </w:p>
        </w:tc>
        <w:tc>
          <w:tcPr>
            <w:tcW w:w="1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(4,703)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(5,468)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14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72"/>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debt (original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maturities greater than three months)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6,147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6,155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5,460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5,683</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w w:val="95"/>
              </w:rPr>
              <w:t>Payments on debt (original maturities greater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340"/>
              <w:spacing w:after="0"/>
              <w:rPr>
                <w:sz w:val="20"/>
                <w:szCs w:val="20"/>
                <w:color w:val="auto"/>
              </w:rPr>
            </w:pPr>
            <w:r>
              <w:rPr>
                <w:rFonts w:ascii="Arial" w:cs="Arial" w:eastAsia="Arial" w:hAnsi="Arial"/>
                <w:sz w:val="14"/>
                <w:szCs w:val="14"/>
                <w:color w:val="auto"/>
              </w:rPr>
              <w:t>than three months)</w:t>
            </w:r>
          </w:p>
        </w:tc>
        <w:tc>
          <w:tcPr>
            <w:tcW w:w="1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(3,056)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(3,109)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(4,567)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(4,764)</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to purchase stock</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288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3"/>
        </w:trPr>
        <w:tc>
          <w:tcPr>
            <w:tcW w:w="28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Net cash provided by (used in) financing</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80" w:type="dxa"/>
            <w:vAlign w:val="bottom"/>
          </w:tcPr>
          <w:p>
            <w:pPr>
              <w:ind w:left="200"/>
              <w:spacing w:after="0"/>
              <w:rPr>
                <w:sz w:val="20"/>
                <w:szCs w:val="20"/>
                <w:color w:val="auto"/>
              </w:rPr>
            </w:pPr>
            <w:r>
              <w:rPr>
                <w:rFonts w:ascii="Arial" w:cs="Arial" w:eastAsia="Arial" w:hAnsi="Arial"/>
                <w:sz w:val="14"/>
                <w:szCs w:val="14"/>
                <w:b w:val="1"/>
                <w:bCs w:val="1"/>
                <w:color w:val="auto"/>
              </w:rPr>
              <w:t>activities</w:t>
            </w:r>
          </w:p>
        </w:tc>
        <w:tc>
          <w:tcPr>
            <w:tcW w:w="1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3,248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2,359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72"/>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85"/>
              </w:rPr>
              <w:t>Effect of exchange rate changes on cash and cash</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equivalents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w w:val="92"/>
              </w:rPr>
              <w:t>Net transactions with Automotive/GM Financial</w:t>
            </w:r>
          </w:p>
        </w:tc>
        <w:tc>
          <w:tcPr>
            <w:tcW w:w="14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880" w:type="dxa"/>
            <w:vAlign w:val="bottom"/>
            <w:tcBorders>
              <w:top w:val="single" w:sz="8" w:color="CCEEFF"/>
            </w:tcBorders>
            <w:shd w:val="clear" w:color="auto" w:fill="CCEEFF"/>
          </w:tcPr>
          <w:p>
            <w:pPr>
              <w:ind w:left="180"/>
              <w:spacing w:after="0" w:line="151" w:lineRule="exact"/>
              <w:rPr>
                <w:sz w:val="20"/>
                <w:szCs w:val="20"/>
                <w:color w:val="auto"/>
              </w:rPr>
            </w:pPr>
            <w:r>
              <w:rPr>
                <w:rFonts w:ascii="Arial" w:cs="Arial" w:eastAsia="Arial" w:hAnsi="Arial"/>
                <w:sz w:val="14"/>
                <w:szCs w:val="14"/>
                <w:color w:val="auto"/>
              </w:rPr>
              <w:t>Net increase (decrease) in cash and cash</w:t>
            </w: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equivalents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(3,178)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1"/>
              </w:rPr>
              <w:t>Cash and cash equivalents at beginning of period</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15,980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2,974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18,954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18,947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20,021</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7"/>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13,655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15,776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18,264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19,426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Reclassification of purchases/collections of wholesale finance receivables resulting from vehicles sold by GM to dealers that have arranged their inventory floor plan financing through GM Financial.</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2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2019-12-08T22:01:42Z</dcterms:created>
  <dcterms:modified xsi:type="dcterms:W3CDTF">2019-12-08T22:01:42Z</dcterms:modified>
</cp:coreProperties>
</file>