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140" w:val="left"/>
        </w:tabs>
        <w:rPr>
          <w:rFonts w:ascii="Arial" w:cs="Arial" w:eastAsia="Arial" w:hAnsi="Arial"/>
          <w:sz w:val="15"/>
          <w:szCs w:val="15"/>
          <w:b w:val="1"/>
          <w:bCs w:val="1"/>
          <w:u w:val="single" w:color="auto"/>
          <w:color w:val="0000EE"/>
        </w:rPr>
      </w:pPr>
      <w:r>
        <w:rPr>
          <w:rFonts w:ascii="Arial" w:cs="Arial" w:eastAsia="Arial" w:hAnsi="Arial"/>
          <w:sz w:val="18"/>
          <w:szCs w:val="18"/>
          <w:b w:val="1"/>
          <w:bCs w:val="1"/>
          <w:color w:val="auto"/>
        </w:rPr>
        <w:t>ITEM 7.01</w:t>
      </w:r>
      <w:r>
        <w:rPr>
          <w:sz w:val="20"/>
          <w:szCs w:val="20"/>
          <w:color w:val="auto"/>
        </w:rPr>
        <w:tab/>
      </w:r>
      <w:hyperlink w:anchor="page3">
        <w:r>
          <w:rPr>
            <w:rFonts w:ascii="Arial" w:cs="Arial" w:eastAsia="Arial" w:hAnsi="Arial"/>
            <w:sz w:val="15"/>
            <w:szCs w:val="15"/>
            <w:b w:val="1"/>
            <w:bCs w:val="1"/>
            <w:u w:val="single" w:color="auto"/>
            <w:color w:val="0000EE"/>
          </w:rPr>
          <w:t>Regulation Fair Disclosure</w:t>
        </w:r>
      </w:hyperlink>
    </w:p>
    <w:p>
      <w:pPr>
        <w:spacing w:after="0" w:line="21" w:lineRule="exact"/>
        <w:rPr>
          <w:sz w:val="20"/>
          <w:szCs w:val="20"/>
          <w:color w:val="auto"/>
        </w:rPr>
      </w:pPr>
    </w:p>
    <w:p>
      <w:pPr>
        <w:spacing w:after="0"/>
        <w:tabs>
          <w:tab w:leader="none" w:pos="1140" w:val="left"/>
        </w:tabs>
        <w:rPr>
          <w:rFonts w:ascii="Arial" w:cs="Arial" w:eastAsia="Arial" w:hAnsi="Arial"/>
          <w:sz w:val="15"/>
          <w:szCs w:val="15"/>
          <w:b w:val="1"/>
          <w:bCs w:val="1"/>
          <w:u w:val="single" w:color="auto"/>
          <w:color w:val="0000EE"/>
        </w:rPr>
      </w:pPr>
      <w:r>
        <w:rPr>
          <w:rFonts w:ascii="Arial" w:cs="Arial" w:eastAsia="Arial" w:hAnsi="Arial"/>
          <w:sz w:val="18"/>
          <w:szCs w:val="18"/>
          <w:b w:val="1"/>
          <w:bCs w:val="1"/>
          <w:color w:val="auto"/>
        </w:rPr>
        <w:t>ITEM 9.01</w:t>
      </w:r>
      <w:r>
        <w:rPr>
          <w:sz w:val="20"/>
          <w:szCs w:val="20"/>
          <w:color w:val="auto"/>
        </w:rPr>
        <w:tab/>
      </w:r>
      <w:hyperlink w:anchor="page3">
        <w:r>
          <w:rPr>
            <w:rFonts w:ascii="Arial" w:cs="Arial" w:eastAsia="Arial" w:hAnsi="Arial"/>
            <w:sz w:val="15"/>
            <w:szCs w:val="15"/>
            <w:b w:val="1"/>
            <w:bCs w:val="1"/>
            <w:u w:val="single" w:color="auto"/>
            <w:color w:val="0000EE"/>
          </w:rPr>
          <w:t>Financial Statements and Exhibits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Sales Release and Charts Dated August 3, 2009</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FAIR DISCLOSURE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August 3, 2009 General Motors Company (GM) issued a news release announcing July sales. The release and charts are attached as Exhibit 99.1.</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10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Method of Filing</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Exhibit</w:t>
            </w: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99.1</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Release and Charts Dated August 3, 2009</w:t>
            </w:r>
          </w:p>
        </w:tc>
        <w:tc>
          <w:tcPr>
            <w:tcW w:w="7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Attached as Exhibit</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July Sales Total 189,443; Highest Retail Sales in Ten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Months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Chevy Retail Up 1 Percent</w:t>
      </w:r>
    </w:p>
    <w:p>
      <w:pPr>
        <w:spacing w:after="0" w:line="205" w:lineRule="exact"/>
        <w:rPr>
          <w:sz w:val="20"/>
          <w:szCs w:val="20"/>
          <w:color w:val="auto"/>
        </w:rPr>
      </w:pPr>
    </w:p>
    <w:p>
      <w:pPr>
        <w:ind w:left="460" w:right="4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July month-over-month retail sales increase led by core brands: Chevrolet, GMC, Buick and Cadillac which were up 12 percent collectively compared with June</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Chevrolet led by the Camaro and the all-new Equinox had a year-over-year retail sales improvement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All-new model pushes Chevrolet Equinox sales up 78 percent compared with July 2008</w:t>
      </w:r>
    </w:p>
    <w:p>
      <w:pPr>
        <w:spacing w:after="0" w:line="90" w:lineRule="exact"/>
        <w:rPr>
          <w:rFonts w:ascii="Arial" w:cs="Arial" w:eastAsia="Arial" w:hAnsi="Arial"/>
          <w:sz w:val="18"/>
          <w:szCs w:val="18"/>
          <w:i w:val="1"/>
          <w:iCs w:val="1"/>
          <w:color w:val="auto"/>
        </w:rPr>
      </w:pPr>
    </w:p>
    <w:p>
      <w:pPr>
        <w:ind w:left="460" w:right="18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CARS (Cash for Clunkers) program driving showroom traffic to GM’s strong portfolio of fuel-efficient new vehicles; Chevrolet Aveo total sales up 124 percent, crossovers Equinox and HHR up 164 and 36 percent respectively, Cobalt up 38 percent. GMC Canyon and Chevrolet Colorado mid-pickup sales climb 38 percent compared with June</w:t>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General Motors dealers in the United States delivered 189,443 total vehicles in July, resulting in a month-over-month sales increase. The July total,</w:t>
      </w:r>
      <w:r>
        <w:rPr>
          <w:rFonts w:ascii="Arial" w:cs="Arial" w:eastAsia="Arial" w:hAnsi="Arial"/>
          <w:sz w:val="18"/>
          <w:szCs w:val="18"/>
          <w:b w:val="1"/>
          <w:bCs w:val="1"/>
          <w:color w:val="auto"/>
        </w:rPr>
        <w:t xml:space="preserve"> </w:t>
      </w:r>
      <w:r>
        <w:rPr>
          <w:rFonts w:ascii="Arial" w:cs="Arial" w:eastAsia="Arial" w:hAnsi="Arial"/>
          <w:sz w:val="18"/>
          <w:szCs w:val="18"/>
          <w:color w:val="auto"/>
        </w:rPr>
        <w:t>when compared with a strong July last year and lower fleet sales this year, was down 19 percent compared with a year ago. Retail sales were down 9 percent while fleet sales declined 47 percent. However, when comparing GM’s strong July retail sales with June, volume was up nearly 12,000 vehicles. Large pickup retail sales began to recover in July with a 16 percent increase compared with June, driving total GM truck retail sales improvements of 12 percent when compared with the prior month.</w:t>
      </w:r>
    </w:p>
    <w:p>
      <w:pPr>
        <w:spacing w:after="0" w:line="1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performance is being driven by the outstanding products in our core Chevrolet, GMC, Cadillac and Buick brands. While still challenging, the market is firming and GM sales are still tracking ahead of what we projected in our reinvention plan,” said Mark LaNeve, vice president, U.S. sales. “In July we are projecting our retail market share to exceed our year-ago performance. From great new products, like our Cadillac SRX and CTS Sport Wagon, Chevrolet Camaro and Equinox, to attractive financing and new leasing opportunities and to the Cash-for-Clunkers program that helps reduce the cost to buy a new vehicle – customers have unprecedented opportunities to get into a new GM car or truck. We anticipate an additional sales lift in August if Congress approves more funding for the wildly-popular Cash-For-Clunkers economic recovery program.”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with last July, GM overall sales declined 45,741 vehicles driven largely by a planned reduction in fleet sales of 30,423 vehicles (down 47 percent). This drop in fleet sales was a direct result of a strategic decision to tightly control production and inventories that better enable GM dealers to reduce their stock of vehicles to align with market demand. Retail sales of 155,569 vehicles were down 9 percent. GM total truck sales in July were down 18 percent, and car sales of 83,736 were off 21 percent compared with a year ago. However, when compared with a year ago, GM total crossover sales of 39,937 were up 6 percent, driven by the strong performance of Chevrolet Traverse which contributed more than 6,600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When compared with June’s retail performance, there were several product highlights in GM’s core brands to note:</w:t>
      </w:r>
    </w:p>
    <w:p>
      <w:pPr>
        <w:spacing w:after="0" w:line="90" w:lineRule="exact"/>
        <w:rPr>
          <w:sz w:val="20"/>
          <w:szCs w:val="20"/>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Chevrolet Aveo, Cobalt, Impala and Malibu contributed to a Chevrolet car retail increase of 8 percent. Chevrolet truck sales increased 27 percent, led by increases by Silverado, Suburban, Avalanche, Colorado, HHR and Equinox.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GMC sales increased 8 percent, led by Sierra, Canyon and Yukon XL.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Cadillac Escalade ESV sales increased 32 percent while Escalade sales increased 3 percent.</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“Assuming the Cash-For-Clunkers program stays in place, we look to continue this positive momentum in August,” LaNeve said. “We offer twice as many vehicles that qualify for the Cash-For-Clunkers program than any other manufacturer – vehicles such as Chevrolet Aveo, Cobalt, Malibu, HHR, Silverado and GMC Sierra. Additionally, we have the best selection of crossovers in the industry with Chevrolet Traverse, GMC Acadia, Buick Enclave, and the all-new GMC Terrain, Chevrolet Equinox and Cadillac SRX. Clearly, GM dealers have the cars and trucks that customers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total of 1,487 GM hybrid vehicles were delivered in the month. So far, in 2009, GM has delivered 9,836 hybrid vehicles.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Non-core brand sales declined when compared with June as Pontiac dipped 7 percent; Saturn was down 21 percent, and HUMMER and Saab declined 26 percent.</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00"/>
          </w:cols>
          <w:pgMar w:left="240" w:top="280" w:right="25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GM inventories dropped compared with a year ago, and dipped below the half-million mark as planned, to historically low levels. In July, GM dealers had an average 76 day supply of vehicles. At the end of July, about 466,000 vehicles were in stock, down about 281,000 vehicles (or 38 percent) compared with last year, and down approximately 20 percent compared with June. There were about 202,000 cars and 264,000 trucks (including crossovers) in inventory at the end of July.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Certified Sales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GM Certified Used Vehicles, Saturn Certified Pre-Owned Vehicles, Cadillac Certified Pre-Owned Vehicles, Saab Certified Pre-Owned Vehicles, and HUMMER Certified Pre-Owned Vehicles, combined sold 29,211 vehicles.</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GM Certified Used Vehicles posted July sales of 25,441 vehicles, down 29 percent from July 2008. Saturn Certified Pre-Owned Vehicles sold 829 vehicles, down 29 percent. Cadillac Certified Pre-Owned Vehicles sold 2,383 vehicles, down 35 percent. Saab Certified Pre-Owned Vehicles sold 371 vehicles, down 52 percent. HUMMER Certified Pre-Owned Vehicles posted an increase with 187 vehicles sold, up 16 percent.</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are confident in the new GM and are committed more than ever to sell our comprehensive line-up of cars, trucks, SUVs and crossovers, whether new or used. Our Certified Used Vehicles offer a worry-free purchasing experience – a tremendous value to our customers,” LaNeve said. “GM’s national network of dealers will continue to honor warranties on current and future General Motors Certified Used/Pre-Owned vehicles, which demonstrates the durability and reliability of our products. GM Certified offers wide-ranging and long-term warranties such as the 12-month/12,000 mile bumper-to-bumper warranty and the industry-leading 100,000 mile/five-year (whichever comes first) limited powertrain warranty on the largest selection of Certified Used vehicles in the industry.”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GM North America Reports July 2009 Production; Initial Q3 2009 Production Forecast at 535,000 Vehicles, a significant improvement from Q1 and Q2 2009 levels.</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GM North America produced 102,000 vehicles (39,000 cars and 63,000 trucks). This is down 136,000 vehicles or 57 percent compared with July 2008 when the region produced 238,000 vehicles (116,000 cars and 122,000 trucks). (Production totals include joint venture production of 11,000 vehicles in July 2009 and 14,000 vehicles in July 2008.)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80" w:right="239" w:bottom="1440" w:gutter="0" w:footer="0" w:header="0"/>
        </w:sectPr>
      </w:pPr>
    </w:p>
    <w:bookmarkStart w:id="7" w:name="page8"/>
    <w:bookmarkEnd w:id="7"/>
    <w:p>
      <w:pPr>
        <w:ind w:righ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region’s 2009 third-quarter production forecast is initially set at 535,000 vehicles (210,000 cars and 325,000 trucks), which is down about 42 percent compared with a year ago. GM North America built 915,000 vehicles (436,000 cars and 479,000 trucks) in the third-quarter of 2008. However, Q3 2009 production volumes have substantially increased versus Q1 and Q2 2009 production volumes of 371,000 (up 44 percent) and 395,000 (up 35 percent), respectively.</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Company, one of the world’s largest automakers, traces its roots back to 1908. With its global headquarters in Detroit,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GM employs 235,000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313-667-3714 (office)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313-418-2139 (mobile)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john.m.mcdonald@gm.com</w:t>
      </w:r>
    </w:p>
    <w:p>
      <w:pPr>
        <w:sectPr>
          <w:pgSz w:w="11900" w:h="16838" w:orient="portrait"/>
          <w:cols w:equalWidth="0" w:num="1">
            <w:col w:w="11240"/>
          </w:cols>
          <w:pgMar w:left="240" w:top="280"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Motors dealers in the United States reported the following deliveries: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(Calendar Year-to-Date)</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*S/D Curr: 26</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July</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January - July</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 Chg</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%Chg per</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40" w:type="dxa"/>
            <w:vAlign w:val="bottom"/>
            <w:gridSpan w:val="5"/>
          </w:tcPr>
          <w:p>
            <w:pPr>
              <w:spacing w:after="0"/>
              <w:rPr>
                <w:sz w:val="20"/>
                <w:szCs w:val="20"/>
                <w:color w:val="auto"/>
              </w:rPr>
            </w:pPr>
            <w:r>
              <w:rPr>
                <w:rFonts w:ascii="Arial" w:cs="Arial" w:eastAsia="Arial" w:hAnsi="Arial"/>
                <w:sz w:val="14"/>
                <w:szCs w:val="14"/>
                <w:b w:val="1"/>
                <w:bCs w:val="1"/>
                <w:color w:val="auto"/>
              </w:rPr>
              <w:t>*S/D Prev: 26</w:t>
            </w: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Volume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S/D</w:t>
            </w: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9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Volume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Vehicle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189,443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235,184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1,143,799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1,840,126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Car Total</w:t>
            </w:r>
          </w:p>
        </w:tc>
        <w:tc>
          <w:tcPr>
            <w:tcW w:w="580" w:type="dxa"/>
            <w:vAlign w:val="bottom"/>
          </w:tcPr>
          <w:p>
            <w:pPr>
              <w:jc w:val="right"/>
              <w:spacing w:after="0"/>
              <w:rPr>
                <w:sz w:val="20"/>
                <w:szCs w:val="20"/>
                <w:color w:val="auto"/>
              </w:rPr>
            </w:pPr>
            <w:r>
              <w:rPr>
                <w:rFonts w:ascii="Arial" w:cs="Arial" w:eastAsia="Arial" w:hAnsi="Arial"/>
                <w:sz w:val="18"/>
                <w:szCs w:val="18"/>
                <w:color w:val="auto"/>
              </w:rPr>
              <w:t>83,376</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105,335</w:t>
            </w: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485,906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794,842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Light 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104,780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128,005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1,027,733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Light Vehicle Total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188,156</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233,340</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1,135,674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1,822,575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106,067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129,849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1,045,284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6040" w:type="dxa"/>
            <w:vAlign w:val="bottom"/>
            <w:gridSpan w:val="5"/>
          </w:tcPr>
          <w:p>
            <w:pPr>
              <w:spacing w:after="0"/>
              <w:rPr>
                <w:sz w:val="20"/>
                <w:szCs w:val="20"/>
                <w:color w:val="auto"/>
              </w:rPr>
            </w:pPr>
            <w:r>
              <w:rPr>
                <w:rFonts w:ascii="Arial" w:cs="Arial" w:eastAsia="Arial" w:hAnsi="Arial"/>
                <w:sz w:val="18"/>
                <w:szCs w:val="18"/>
                <w:color w:val="auto"/>
              </w:rPr>
              <w:t>GM Vehicle Deliveries by Marketing Division</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%Chg</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%Chg per</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81,176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6,171</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13,022</w:t>
            </w:r>
          </w:p>
        </w:tc>
        <w:tc>
          <w:tcPr>
            <w:tcW w:w="46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101,731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137,823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1,102,488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GMC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21,860</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27,447</w:t>
            </w: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224,667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HUMMER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22,024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25,373</w:t>
            </w: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178,127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5,968</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17,603</w:t>
            </w:r>
          </w:p>
        </w:tc>
        <w:tc>
          <w:tcPr>
            <w:tcW w:w="46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48,744</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119,808</w:t>
            </w:r>
          </w:p>
        </w:tc>
        <w:tc>
          <w:tcPr>
            <w:tcW w:w="46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189,443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235,184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1,143,799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1,840,126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color w:val="auto"/>
              </w:rPr>
              <w:t>GM Car Deliveries by Marketing Division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%Chg</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%Chg per</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54,911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3,711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8,630</w:t>
            </w:r>
          </w:p>
        </w:tc>
        <w:tc>
          <w:tcPr>
            <w:tcW w:w="46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67,267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443,422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21,133</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23,689</w:t>
            </w: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164,422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9,803</w:t>
            </w:r>
          </w:p>
        </w:tc>
        <w:tc>
          <w:tcPr>
            <w:tcW w:w="46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53,047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Car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105,335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794,842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5"/>
            <w:vMerge w:val="restart"/>
          </w:tcPr>
          <w:p>
            <w:pPr>
              <w:spacing w:after="0"/>
              <w:rPr>
                <w:sz w:val="20"/>
                <w:szCs w:val="20"/>
                <w:color w:val="auto"/>
              </w:rPr>
            </w:pPr>
            <w:r>
              <w:rPr>
                <w:rFonts w:ascii="Arial" w:cs="Arial" w:eastAsia="Arial" w:hAnsi="Arial"/>
                <w:sz w:val="18"/>
                <w:szCs w:val="18"/>
                <w:color w:val="auto"/>
              </w:rPr>
              <w:t>GM Light Truck Deliveries by Marketing Division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%Chg</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%Chg per</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%Chg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S/D</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Volume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Cadillac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46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34,464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Chevrolet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652,196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GMC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21,004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26,348</w:t>
            </w:r>
          </w:p>
        </w:tc>
        <w:tc>
          <w:tcPr>
            <w:tcW w:w="46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135,951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213,986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HUMMER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Pontiac Total</w:t>
            </w:r>
          </w:p>
        </w:tc>
        <w:tc>
          <w:tcPr>
            <w:tcW w:w="58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1,684</w:t>
            </w: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13,705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Saab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Saturn Total</w:t>
            </w:r>
          </w:p>
        </w:tc>
        <w:tc>
          <w:tcPr>
            <w:tcW w:w="580" w:type="dxa"/>
            <w:vAlign w:val="bottom"/>
          </w:tcPr>
          <w:p>
            <w:pPr>
              <w:jc w:val="right"/>
              <w:spacing w:after="0"/>
              <w:rPr>
                <w:sz w:val="20"/>
                <w:szCs w:val="20"/>
                <w:color w:val="auto"/>
              </w:rPr>
            </w:pPr>
            <w:r>
              <w:rPr>
                <w:rFonts w:ascii="Arial" w:cs="Arial" w:eastAsia="Arial" w:hAnsi="Arial"/>
                <w:sz w:val="18"/>
                <w:szCs w:val="18"/>
                <w:color w:val="auto"/>
              </w:rPr>
              <w:t>3,684</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46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66,761</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GM Light Truck 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104,780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128,005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1,027,733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Twenty-six selling days (S/D) for the July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Global Market and Industry Analysis - Sales Reporting and Data Management</w:t>
      </w:r>
      <w:r>
        <w:rPr>
          <w:sz w:val="20"/>
          <w:szCs w:val="20"/>
          <w:color w:val="auto"/>
        </w:rPr>
        <w:tab/>
      </w:r>
      <w:r>
        <w:rPr>
          <w:rFonts w:ascii="Arial" w:cs="Arial" w:eastAsia="Arial" w:hAnsi="Arial"/>
          <w:sz w:val="15"/>
          <w:szCs w:val="15"/>
          <w:color w:val="auto"/>
        </w:rPr>
        <w:t>Page 1 of 4</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(Calendar Year-to-Date)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July</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January - July</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 Chg</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%Chg per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Days (S/D)</w:t>
            </w: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Volume</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S/D</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76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5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Lucerne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620" w:type="dxa"/>
            <w:vAlign w:val="bottom"/>
          </w:tcPr>
          <w:p>
            <w:pPr>
              <w:jc w:val="right"/>
              <w:spacing w:after="0"/>
              <w:rPr>
                <w:sz w:val="20"/>
                <w:szCs w:val="20"/>
                <w:color w:val="auto"/>
              </w:rPr>
            </w:pPr>
            <w:r>
              <w:rPr>
                <w:rFonts w:ascii="Arial" w:cs="Arial" w:eastAsia="Arial" w:hAnsi="Arial"/>
                <w:sz w:val="18"/>
                <w:szCs w:val="18"/>
                <w:color w:val="auto"/>
              </w:rPr>
              <w:t>4,025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-54.4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620" w:type="dxa"/>
            <w:vAlign w:val="bottom"/>
          </w:tcPr>
          <w:p>
            <w:pPr>
              <w:jc w:val="right"/>
              <w:spacing w:after="0"/>
              <w:rPr>
                <w:sz w:val="20"/>
                <w:szCs w:val="20"/>
                <w:color w:val="auto"/>
              </w:rPr>
            </w:pPr>
            <w:r>
              <w:rPr>
                <w:rFonts w:ascii="Arial" w:cs="Arial" w:eastAsia="Arial" w:hAnsi="Arial"/>
                <w:sz w:val="18"/>
                <w:szCs w:val="18"/>
                <w:color w:val="auto"/>
              </w:rPr>
              <w:t>18,193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31,680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CTS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-54.7</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-54.7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line="20" w:lineRule="exact"/>
              <w:rPr>
                <w:sz w:val="1"/>
                <w:szCs w:val="1"/>
                <w:color w:val="auto"/>
              </w:rPr>
            </w:pPr>
          </w:p>
        </w:tc>
      </w:tr>
      <w:tr>
        <w:trPr>
          <w:trHeight w:val="208"/>
        </w:trPr>
        <w:tc>
          <w:tcPr>
            <w:tcW w:w="6740" w:type="dxa"/>
            <w:vAlign w:val="bottom"/>
            <w:gridSpan w:val="3"/>
            <w:vMerge w:val="continue"/>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620" w:type="dxa"/>
            <w:vAlign w:val="bottom"/>
          </w:tcPr>
          <w:p>
            <w:pPr>
              <w:jc w:val="right"/>
              <w:spacing w:after="0"/>
              <w:rPr>
                <w:sz w:val="20"/>
                <w:szCs w:val="20"/>
                <w:color w:val="auto"/>
              </w:rPr>
            </w:pPr>
            <w:r>
              <w:rPr>
                <w:rFonts w:ascii="Arial" w:cs="Arial" w:eastAsia="Arial" w:hAnsi="Arial"/>
                <w:sz w:val="18"/>
                <w:szCs w:val="18"/>
                <w:color w:val="auto"/>
              </w:rPr>
              <w:t>5,262</w:t>
            </w:r>
          </w:p>
        </w:tc>
        <w:tc>
          <w:tcPr>
            <w:tcW w:w="70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37,252</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DTS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STS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620" w:type="dxa"/>
            <w:vAlign w:val="bottom"/>
          </w:tcPr>
          <w:p>
            <w:pPr>
              <w:jc w:val="right"/>
              <w:spacing w:after="0"/>
              <w:rPr>
                <w:sz w:val="20"/>
                <w:szCs w:val="20"/>
                <w:color w:val="auto"/>
              </w:rPr>
            </w:pPr>
            <w:r>
              <w:rPr>
                <w:rFonts w:ascii="Arial" w:cs="Arial" w:eastAsia="Arial" w:hAnsi="Arial"/>
                <w:sz w:val="18"/>
                <w:szCs w:val="18"/>
                <w:color w:val="auto"/>
              </w:rPr>
              <w:t>1,079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-66.8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620" w:type="dxa"/>
            <w:vAlign w:val="bottom"/>
          </w:tcPr>
          <w:p>
            <w:pPr>
              <w:jc w:val="right"/>
              <w:spacing w:after="0"/>
              <w:rPr>
                <w:sz w:val="20"/>
                <w:szCs w:val="20"/>
                <w:color w:val="auto"/>
              </w:rPr>
            </w:pPr>
            <w:r>
              <w:rPr>
                <w:rFonts w:ascii="Arial" w:cs="Arial" w:eastAsia="Arial" w:hAnsi="Arial"/>
                <w:sz w:val="18"/>
                <w:szCs w:val="18"/>
                <w:color w:val="auto"/>
              </w:rPr>
              <w:t>4,272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XLR</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420"/>
              <w:spacing w:after="0"/>
              <w:rPr>
                <w:sz w:val="20"/>
                <w:szCs w:val="20"/>
                <w:color w:val="auto"/>
              </w:rPr>
            </w:pPr>
            <w:r>
              <w:rPr>
                <w:rFonts w:ascii="Arial" w:cs="Arial" w:eastAsia="Arial" w:hAnsi="Arial"/>
                <w:sz w:val="18"/>
                <w:szCs w:val="18"/>
                <w:color w:val="auto"/>
              </w:rPr>
              <w:t>Cadillac Total</w:t>
            </w: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-57.0</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-57.0</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vMerge w:val="continue"/>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3,711</w:t>
            </w:r>
          </w:p>
        </w:tc>
        <w:tc>
          <w:tcPr>
            <w:tcW w:w="620" w:type="dxa"/>
            <w:vAlign w:val="bottom"/>
          </w:tcPr>
          <w:p>
            <w:pPr>
              <w:jc w:val="right"/>
              <w:spacing w:after="0"/>
              <w:rPr>
                <w:sz w:val="20"/>
                <w:szCs w:val="20"/>
                <w:color w:val="auto"/>
              </w:rPr>
            </w:pPr>
            <w:r>
              <w:rPr>
                <w:rFonts w:ascii="Arial" w:cs="Arial" w:eastAsia="Arial" w:hAnsi="Arial"/>
                <w:sz w:val="18"/>
                <w:szCs w:val="18"/>
                <w:color w:val="auto"/>
              </w:rPr>
              <w:t>8,630</w:t>
            </w:r>
          </w:p>
        </w:tc>
        <w:tc>
          <w:tcPr>
            <w:tcW w:w="70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67,267</w:t>
            </w:r>
          </w:p>
        </w:tc>
        <w:tc>
          <w:tcPr>
            <w:tcW w:w="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Aveo</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Camaro</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7,113</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Cobalt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Corvette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620" w:type="dxa"/>
            <w:vAlign w:val="bottom"/>
          </w:tcPr>
          <w:p>
            <w:pPr>
              <w:jc w:val="right"/>
              <w:spacing w:after="0"/>
              <w:rPr>
                <w:sz w:val="20"/>
                <w:szCs w:val="20"/>
                <w:color w:val="auto"/>
              </w:rPr>
            </w:pPr>
            <w:r>
              <w:rPr>
                <w:rFonts w:ascii="Arial" w:cs="Arial" w:eastAsia="Arial" w:hAnsi="Arial"/>
                <w:sz w:val="18"/>
                <w:szCs w:val="18"/>
                <w:color w:val="auto"/>
              </w:rPr>
              <w:t>1,870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-48.3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620" w:type="dxa"/>
            <w:vAlign w:val="bottom"/>
          </w:tcPr>
          <w:p>
            <w:pPr>
              <w:jc w:val="right"/>
              <w:spacing w:after="0"/>
              <w:rPr>
                <w:sz w:val="20"/>
                <w:szCs w:val="20"/>
                <w:color w:val="auto"/>
              </w:rPr>
            </w:pPr>
            <w:r>
              <w:rPr>
                <w:rFonts w:ascii="Arial" w:cs="Arial" w:eastAsia="Arial" w:hAnsi="Arial"/>
                <w:sz w:val="18"/>
                <w:szCs w:val="18"/>
                <w:color w:val="auto"/>
              </w:rPr>
              <w:t>8,464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Impala</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14,649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Malibu</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15,339</w:t>
            </w:r>
          </w:p>
        </w:tc>
        <w:tc>
          <w:tcPr>
            <w:tcW w:w="620" w:type="dxa"/>
            <w:vAlign w:val="bottom"/>
          </w:tcPr>
          <w:p>
            <w:pPr>
              <w:jc w:val="right"/>
              <w:spacing w:after="0"/>
              <w:rPr>
                <w:sz w:val="20"/>
                <w:szCs w:val="20"/>
                <w:color w:val="auto"/>
              </w:rPr>
            </w:pPr>
            <w:r>
              <w:rPr>
                <w:rFonts w:ascii="Arial" w:cs="Arial" w:eastAsia="Arial" w:hAnsi="Arial"/>
                <w:sz w:val="18"/>
                <w:szCs w:val="18"/>
                <w:color w:val="auto"/>
              </w:rPr>
              <w:t>16,637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620" w:type="dxa"/>
            <w:vAlign w:val="bottom"/>
          </w:tcPr>
          <w:p>
            <w:pPr>
              <w:jc w:val="right"/>
              <w:spacing w:after="0"/>
              <w:rPr>
                <w:sz w:val="20"/>
                <w:szCs w:val="20"/>
                <w:color w:val="auto"/>
              </w:rPr>
            </w:pPr>
            <w:r>
              <w:rPr>
                <w:rFonts w:ascii="Arial" w:cs="Arial" w:eastAsia="Arial" w:hAnsi="Arial"/>
                <w:sz w:val="18"/>
                <w:szCs w:val="18"/>
                <w:color w:val="auto"/>
              </w:rPr>
              <w:t>91,168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105,212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 Carlo</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SSR</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52,463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293,442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G3 Wave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8"/>
        </w:trPr>
        <w:tc>
          <w:tcPr>
            <w:tcW w:w="6740" w:type="dxa"/>
            <w:vAlign w:val="bottom"/>
            <w:gridSpan w:val="3"/>
            <w:vMerge w:val="continue"/>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8,193</w:t>
            </w:r>
          </w:p>
        </w:tc>
        <w:tc>
          <w:tcPr>
            <w:tcW w:w="620" w:type="dxa"/>
            <w:vAlign w:val="bottom"/>
          </w:tcPr>
          <w:p>
            <w:pPr>
              <w:jc w:val="right"/>
              <w:spacing w:after="0"/>
              <w:rPr>
                <w:sz w:val="20"/>
                <w:szCs w:val="20"/>
                <w:color w:val="auto"/>
              </w:rPr>
            </w:pPr>
            <w:r>
              <w:rPr>
                <w:rFonts w:ascii="Arial" w:cs="Arial" w:eastAsia="Arial" w:hAnsi="Arial"/>
                <w:sz w:val="18"/>
                <w:szCs w:val="18"/>
                <w:color w:val="auto"/>
              </w:rPr>
              <w:t>13,261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620" w:type="dxa"/>
            <w:vAlign w:val="bottom"/>
          </w:tcPr>
          <w:p>
            <w:pPr>
              <w:jc w:val="right"/>
              <w:spacing w:after="0"/>
              <w:rPr>
                <w:sz w:val="20"/>
                <w:szCs w:val="20"/>
                <w:color w:val="auto"/>
              </w:rPr>
            </w:pPr>
            <w:r>
              <w:rPr>
                <w:rFonts w:ascii="Arial" w:cs="Arial" w:eastAsia="Arial" w:hAnsi="Arial"/>
                <w:sz w:val="18"/>
                <w:szCs w:val="18"/>
                <w:color w:val="auto"/>
              </w:rPr>
              <w:t>47,815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98,943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GTO</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Prix</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Solstice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-46.8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620" w:type="dxa"/>
            <w:vAlign w:val="bottom"/>
          </w:tcPr>
          <w:p>
            <w:pPr>
              <w:jc w:val="right"/>
              <w:spacing w:after="0"/>
              <w:rPr>
                <w:sz w:val="20"/>
                <w:szCs w:val="20"/>
                <w:color w:val="auto"/>
              </w:rPr>
            </w:pPr>
            <w:r>
              <w:rPr>
                <w:rFonts w:ascii="Arial" w:cs="Arial" w:eastAsia="Arial" w:hAnsi="Arial"/>
                <w:sz w:val="18"/>
                <w:szCs w:val="18"/>
                <w:color w:val="auto"/>
              </w:rPr>
              <w:t>3,339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Vibe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420"/>
              <w:spacing w:after="0"/>
              <w:rPr>
                <w:sz w:val="20"/>
                <w:szCs w:val="20"/>
                <w:color w:val="auto"/>
              </w:rPr>
            </w:pPr>
            <w:r>
              <w:rPr>
                <w:rFonts w:ascii="Arial" w:cs="Arial" w:eastAsia="Arial" w:hAnsi="Arial"/>
                <w:sz w:val="18"/>
                <w:szCs w:val="18"/>
                <w:color w:val="auto"/>
              </w:rPr>
              <w:t>Pontiac Total</w:t>
            </w: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-10.8</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-10.8</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vMerge w:val="continue"/>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21,133</w:t>
            </w:r>
          </w:p>
        </w:tc>
        <w:tc>
          <w:tcPr>
            <w:tcW w:w="620" w:type="dxa"/>
            <w:vAlign w:val="bottom"/>
          </w:tcPr>
          <w:p>
            <w:pPr>
              <w:jc w:val="right"/>
              <w:spacing w:after="0"/>
              <w:rPr>
                <w:sz w:val="20"/>
                <w:szCs w:val="20"/>
                <w:color w:val="auto"/>
              </w:rPr>
            </w:pPr>
            <w:r>
              <w:rPr>
                <w:rFonts w:ascii="Arial" w:cs="Arial" w:eastAsia="Arial" w:hAnsi="Arial"/>
                <w:sz w:val="18"/>
                <w:szCs w:val="18"/>
                <w:color w:val="auto"/>
              </w:rPr>
              <w:t>23,689</w:t>
            </w:r>
          </w:p>
        </w:tc>
        <w:tc>
          <w:tcPr>
            <w:tcW w:w="70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164,422</w:t>
            </w:r>
          </w:p>
        </w:tc>
        <w:tc>
          <w:tcPr>
            <w:tcW w:w="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9-2X</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9-3</w:t>
            </w:r>
          </w:p>
        </w:tc>
        <w:tc>
          <w:tcPr>
            <w:tcW w:w="56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620" w:type="dxa"/>
            <w:vAlign w:val="bottom"/>
          </w:tcPr>
          <w:p>
            <w:pPr>
              <w:jc w:val="right"/>
              <w:spacing w:after="0"/>
              <w:rPr>
                <w:sz w:val="20"/>
                <w:szCs w:val="20"/>
                <w:color w:val="auto"/>
              </w:rPr>
            </w:pPr>
            <w:r>
              <w:rPr>
                <w:rFonts w:ascii="Arial" w:cs="Arial" w:eastAsia="Arial" w:hAnsi="Arial"/>
                <w:sz w:val="18"/>
                <w:szCs w:val="18"/>
                <w:color w:val="auto"/>
              </w:rPr>
              <w:t>1,394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620" w:type="dxa"/>
            <w:vAlign w:val="bottom"/>
          </w:tcPr>
          <w:p>
            <w:pPr>
              <w:jc w:val="right"/>
              <w:spacing w:after="0"/>
              <w:rPr>
                <w:sz w:val="20"/>
                <w:szCs w:val="20"/>
                <w:color w:val="auto"/>
              </w:rPr>
            </w:pPr>
            <w:r>
              <w:rPr>
                <w:rFonts w:ascii="Arial" w:cs="Arial" w:eastAsia="Arial" w:hAnsi="Arial"/>
                <w:sz w:val="18"/>
                <w:szCs w:val="18"/>
                <w:color w:val="auto"/>
              </w:rPr>
              <w:t>3,601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5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420"/>
              <w:spacing w:after="0"/>
              <w:rPr>
                <w:sz w:val="20"/>
                <w:szCs w:val="20"/>
                <w:color w:val="auto"/>
              </w:rPr>
            </w:pPr>
            <w:r>
              <w:rPr>
                <w:rFonts w:ascii="Arial" w:cs="Arial" w:eastAsia="Arial" w:hAnsi="Arial"/>
                <w:sz w:val="18"/>
                <w:szCs w:val="18"/>
                <w:color w:val="auto"/>
              </w:rPr>
              <w:t>Saab Total</w:t>
            </w: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-70.2</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-70.2</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vMerge w:val="continue"/>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620" w:type="dxa"/>
            <w:vAlign w:val="bottom"/>
          </w:tcPr>
          <w:p>
            <w:pPr>
              <w:jc w:val="right"/>
              <w:spacing w:after="0"/>
              <w:rPr>
                <w:sz w:val="20"/>
                <w:szCs w:val="20"/>
                <w:color w:val="auto"/>
              </w:rPr>
            </w:pPr>
            <w:r>
              <w:rPr>
                <w:rFonts w:ascii="Arial" w:cs="Arial" w:eastAsia="Arial" w:hAnsi="Arial"/>
                <w:sz w:val="18"/>
                <w:szCs w:val="18"/>
                <w:color w:val="auto"/>
              </w:rPr>
              <w:t>1,621</w:t>
            </w:r>
          </w:p>
        </w:tc>
        <w:tc>
          <w:tcPr>
            <w:tcW w:w="70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Astra</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Aura</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620" w:type="dxa"/>
            <w:vAlign w:val="bottom"/>
          </w:tcPr>
          <w:p>
            <w:pPr>
              <w:jc w:val="right"/>
              <w:spacing w:after="0"/>
              <w:rPr>
                <w:sz w:val="20"/>
                <w:szCs w:val="20"/>
                <w:color w:val="auto"/>
              </w:rPr>
            </w:pPr>
            <w:r>
              <w:rPr>
                <w:rFonts w:ascii="Arial" w:cs="Arial" w:eastAsia="Arial" w:hAnsi="Arial"/>
                <w:sz w:val="18"/>
                <w:szCs w:val="18"/>
                <w:color w:val="auto"/>
              </w:rPr>
              <w:t>7,202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620" w:type="dxa"/>
            <w:vAlign w:val="bottom"/>
          </w:tcPr>
          <w:p>
            <w:pPr>
              <w:jc w:val="right"/>
              <w:spacing w:after="0"/>
              <w:rPr>
                <w:sz w:val="20"/>
                <w:szCs w:val="20"/>
                <w:color w:val="auto"/>
              </w:rPr>
            </w:pPr>
            <w:r>
              <w:rPr>
                <w:rFonts w:ascii="Arial" w:cs="Arial" w:eastAsia="Arial" w:hAnsi="Arial"/>
                <w:sz w:val="18"/>
                <w:szCs w:val="18"/>
                <w:color w:val="auto"/>
              </w:rPr>
              <w:t>12,076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ION</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Sky</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620" w:type="dxa"/>
            <w:vAlign w:val="bottom"/>
          </w:tcPr>
          <w:p>
            <w:pPr>
              <w:jc w:val="right"/>
              <w:spacing w:after="0"/>
              <w:rPr>
                <w:sz w:val="20"/>
                <w:szCs w:val="20"/>
                <w:color w:val="auto"/>
              </w:rPr>
            </w:pPr>
            <w:r>
              <w:rPr>
                <w:rFonts w:ascii="Arial" w:cs="Arial" w:eastAsia="Arial" w:hAnsi="Arial"/>
                <w:sz w:val="18"/>
                <w:szCs w:val="18"/>
                <w:color w:val="auto"/>
              </w:rPr>
              <w:t>1,042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-70.2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620" w:type="dxa"/>
            <w:vAlign w:val="bottom"/>
          </w:tcPr>
          <w:p>
            <w:pPr>
              <w:jc w:val="right"/>
              <w:spacing w:after="0"/>
              <w:rPr>
                <w:sz w:val="20"/>
                <w:szCs w:val="20"/>
                <w:color w:val="auto"/>
              </w:rPr>
            </w:pPr>
            <w:r>
              <w:rPr>
                <w:rFonts w:ascii="Arial" w:cs="Arial" w:eastAsia="Arial" w:hAnsi="Arial"/>
                <w:sz w:val="18"/>
                <w:szCs w:val="18"/>
                <w:color w:val="auto"/>
              </w:rPr>
              <w:t>1,970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420"/>
              <w:spacing w:after="0"/>
              <w:rPr>
                <w:sz w:val="20"/>
                <w:szCs w:val="20"/>
                <w:color w:val="auto"/>
              </w:rPr>
            </w:pPr>
            <w:r>
              <w:rPr>
                <w:rFonts w:ascii="Arial" w:cs="Arial" w:eastAsia="Arial" w:hAnsi="Arial"/>
                <w:sz w:val="18"/>
                <w:szCs w:val="18"/>
                <w:color w:val="auto"/>
              </w:rPr>
              <w:t>GM Car Total</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-20.8</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gridSpan w:val="2"/>
            <w:vMerge w:val="continue"/>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83,376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105,335</w:t>
            </w:r>
          </w:p>
        </w:tc>
        <w:tc>
          <w:tcPr>
            <w:tcW w:w="70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485,906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794,842</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40" w:type="dxa"/>
            <w:vAlign w:val="bottom"/>
            <w:gridSpan w:val="3"/>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Page 2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(Calendar Year-to-Date)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July</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January - July</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 Chg</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%Chg per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Days (S/D)</w:t>
            </w: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Volume</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S/D</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7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42"/>
        </w:trPr>
        <w:tc>
          <w:tcPr>
            <w:tcW w:w="684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Enclave</w:t>
            </w:r>
          </w:p>
        </w:tc>
        <w:tc>
          <w:tcPr>
            <w:tcW w:w="57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w:t>
            </w: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Rainier</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Rendezvous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Terraza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Buick 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rPr>
              <w:t>Escalade</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-39.8</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-39.8</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line="20" w:lineRule="exact"/>
              <w:rPr>
                <w:sz w:val="1"/>
                <w:szCs w:val="1"/>
                <w:color w:val="auto"/>
              </w:rPr>
            </w:pPr>
          </w:p>
        </w:tc>
      </w:tr>
      <w:tr>
        <w:trPr>
          <w:trHeight w:val="208"/>
        </w:trPr>
        <w:tc>
          <w:tcPr>
            <w:tcW w:w="6840" w:type="dxa"/>
            <w:vAlign w:val="bottom"/>
            <w:gridSpan w:val="3"/>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1,775</w:t>
            </w:r>
          </w:p>
        </w:tc>
        <w:tc>
          <w:tcPr>
            <w:tcW w:w="70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Escalade ESV</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Escalade EXT</w:t>
            </w: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-46.8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620" w:type="dxa"/>
            <w:vAlign w:val="bottom"/>
          </w:tcPr>
          <w:p>
            <w:pPr>
              <w:jc w:val="right"/>
              <w:spacing w:after="0"/>
              <w:rPr>
                <w:sz w:val="20"/>
                <w:szCs w:val="20"/>
                <w:color w:val="auto"/>
              </w:rPr>
            </w:pPr>
            <w:r>
              <w:rPr>
                <w:rFonts w:ascii="Arial" w:cs="Arial" w:eastAsia="Arial" w:hAnsi="Arial"/>
                <w:sz w:val="18"/>
                <w:szCs w:val="18"/>
                <w:color w:val="auto"/>
              </w:rPr>
              <w:t>1,431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ind w:left="860"/>
              <w:spacing w:after="0"/>
              <w:rPr>
                <w:sz w:val="20"/>
                <w:szCs w:val="20"/>
                <w:color w:val="auto"/>
              </w:rPr>
            </w:pPr>
            <w:r>
              <w:rPr>
                <w:rFonts w:ascii="Arial" w:cs="Arial" w:eastAsia="Arial" w:hAnsi="Arial"/>
                <w:sz w:val="18"/>
                <w:szCs w:val="18"/>
                <w:color w:val="auto"/>
              </w:rPr>
              <w:t>Cadillac Total</w:t>
            </w:r>
          </w:p>
        </w:tc>
        <w:tc>
          <w:tcPr>
            <w:tcW w:w="52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620" w:type="dxa"/>
            <w:vAlign w:val="bottom"/>
          </w:tcPr>
          <w:p>
            <w:pPr>
              <w:jc w:val="right"/>
              <w:spacing w:after="0"/>
              <w:rPr>
                <w:sz w:val="20"/>
                <w:szCs w:val="20"/>
                <w:color w:val="auto"/>
              </w:rPr>
            </w:pPr>
            <w:r>
              <w:rPr>
                <w:rFonts w:ascii="Arial" w:cs="Arial" w:eastAsia="Arial" w:hAnsi="Arial"/>
                <w:sz w:val="18"/>
                <w:szCs w:val="18"/>
                <w:color w:val="auto"/>
              </w:rPr>
              <w:t>18,000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34,464</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Chevy W Series</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-54.8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620" w:type="dxa"/>
            <w:vAlign w:val="bottom"/>
          </w:tcPr>
          <w:p>
            <w:pPr>
              <w:jc w:val="right"/>
              <w:spacing w:after="0"/>
              <w:rPr>
                <w:sz w:val="20"/>
                <w:szCs w:val="20"/>
                <w:color w:val="auto"/>
              </w:rPr>
            </w:pPr>
            <w:r>
              <w:rPr>
                <w:rFonts w:ascii="Arial" w:cs="Arial" w:eastAsia="Arial" w:hAnsi="Arial"/>
                <w:sz w:val="18"/>
                <w:szCs w:val="18"/>
                <w:color w:val="auto"/>
              </w:rPr>
              <w:t>454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Equinox</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10,834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6,095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77.8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620" w:type="dxa"/>
            <w:vAlign w:val="bottom"/>
          </w:tcPr>
          <w:p>
            <w:pPr>
              <w:jc w:val="right"/>
              <w:spacing w:after="0"/>
              <w:rPr>
                <w:sz w:val="20"/>
                <w:szCs w:val="20"/>
                <w:color w:val="auto"/>
              </w:rPr>
            </w:pPr>
            <w:r>
              <w:rPr>
                <w:rFonts w:ascii="Arial" w:cs="Arial" w:eastAsia="Arial" w:hAnsi="Arial"/>
                <w:sz w:val="18"/>
                <w:szCs w:val="18"/>
                <w:color w:val="auto"/>
              </w:rPr>
              <w:t>35,985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Express Cutaway/G Cut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Express Panel/G Van</w:t>
            </w:r>
          </w:p>
        </w:tc>
        <w:tc>
          <w:tcPr>
            <w:tcW w:w="52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17,401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Express/G Sportvan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HHR</w:t>
            </w:r>
          </w:p>
        </w:tc>
        <w:tc>
          <w:tcPr>
            <w:tcW w:w="52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11,518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620" w:type="dxa"/>
            <w:vAlign w:val="bottom"/>
          </w:tcPr>
          <w:p>
            <w:pPr>
              <w:jc w:val="right"/>
              <w:spacing w:after="0"/>
              <w:rPr>
                <w:sz w:val="20"/>
                <w:szCs w:val="20"/>
                <w:color w:val="auto"/>
              </w:rPr>
            </w:pPr>
            <w:r>
              <w:rPr>
                <w:rFonts w:ascii="Arial" w:cs="Arial" w:eastAsia="Arial" w:hAnsi="Arial"/>
                <w:sz w:val="18"/>
                <w:szCs w:val="18"/>
                <w:color w:val="auto"/>
              </w:rPr>
              <w:t>39,133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62,336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Kodiak 6/7/8 Series</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-44.9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Tahoe</w:t>
            </w:r>
          </w:p>
        </w:tc>
        <w:tc>
          <w:tcPr>
            <w:tcW w:w="52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7,732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-46.0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620" w:type="dxa"/>
            <w:vAlign w:val="bottom"/>
          </w:tcPr>
          <w:p>
            <w:pPr>
              <w:jc w:val="right"/>
              <w:spacing w:after="0"/>
              <w:rPr>
                <w:sz w:val="20"/>
                <w:szCs w:val="20"/>
                <w:color w:val="auto"/>
              </w:rPr>
            </w:pPr>
            <w:r>
              <w:rPr>
                <w:rFonts w:ascii="Arial" w:cs="Arial" w:eastAsia="Arial" w:hAnsi="Arial"/>
                <w:sz w:val="18"/>
                <w:szCs w:val="18"/>
                <w:color w:val="auto"/>
              </w:rPr>
              <w:t>36,393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59,925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TrailBlazer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Traverse</w:t>
            </w:r>
          </w:p>
        </w:tc>
        <w:tc>
          <w:tcPr>
            <w:tcW w:w="52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47,369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Uplander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Avalanche</w:t>
            </w:r>
          </w:p>
        </w:tc>
        <w:tc>
          <w:tcPr>
            <w:tcW w:w="5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2,534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620" w:type="dxa"/>
            <w:vAlign w:val="bottom"/>
          </w:tcPr>
          <w:p>
            <w:pPr>
              <w:jc w:val="right"/>
              <w:spacing w:after="0"/>
              <w:rPr>
                <w:sz w:val="20"/>
                <w:szCs w:val="20"/>
                <w:color w:val="auto"/>
              </w:rPr>
            </w:pPr>
            <w:r>
              <w:rPr>
                <w:rFonts w:ascii="Arial" w:cs="Arial" w:eastAsia="Arial" w:hAnsi="Arial"/>
                <w:sz w:val="18"/>
                <w:szCs w:val="18"/>
                <w:color w:val="auto"/>
              </w:rPr>
              <w:t>8,851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20,835</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Silverado-C/K Pickup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32,989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177,566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Chevrolet Fullsize Pickups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29,338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35,523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-17.4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186,417</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285,144</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Chevrolet 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72,485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82,317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428,438</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659,066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rPr>
              <w:t>Acadia</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-7.8</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line="20" w:lineRule="exact"/>
              <w:rPr>
                <w:sz w:val="1"/>
                <w:szCs w:val="1"/>
                <w:color w:val="auto"/>
              </w:rPr>
            </w:pPr>
          </w:p>
        </w:tc>
      </w:tr>
      <w:tr>
        <w:trPr>
          <w:trHeight w:val="208"/>
        </w:trPr>
        <w:tc>
          <w:tcPr>
            <w:tcW w:w="6840" w:type="dxa"/>
            <w:vAlign w:val="bottom"/>
            <w:gridSpan w:val="3"/>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5,397</w:t>
            </w:r>
          </w:p>
        </w:tc>
        <w:tc>
          <w:tcPr>
            <w:tcW w:w="70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Canyon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Envoy</w:t>
            </w:r>
          </w:p>
        </w:tc>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620" w:type="dxa"/>
            <w:vAlign w:val="bottom"/>
          </w:tcPr>
          <w:p>
            <w:pPr>
              <w:jc w:val="right"/>
              <w:spacing w:after="0"/>
              <w:rPr>
                <w:sz w:val="20"/>
                <w:szCs w:val="20"/>
                <w:color w:val="auto"/>
              </w:rPr>
            </w:pPr>
            <w:r>
              <w:rPr>
                <w:rFonts w:ascii="Arial" w:cs="Arial" w:eastAsia="Arial" w:hAnsi="Arial"/>
                <w:sz w:val="18"/>
                <w:szCs w:val="18"/>
                <w:color w:val="auto"/>
              </w:rPr>
              <w:t>4,055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C/T Series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GMC W Series</w:t>
            </w: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29.5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620" w:type="dxa"/>
            <w:vAlign w:val="bottom"/>
          </w:tcPr>
          <w:p>
            <w:pPr>
              <w:jc w:val="right"/>
              <w:spacing w:after="0"/>
              <w:rPr>
                <w:sz w:val="20"/>
                <w:szCs w:val="20"/>
                <w:color w:val="auto"/>
              </w:rPr>
            </w:pPr>
            <w:r>
              <w:rPr>
                <w:rFonts w:ascii="Arial" w:cs="Arial" w:eastAsia="Arial" w:hAnsi="Arial"/>
                <w:sz w:val="18"/>
                <w:szCs w:val="18"/>
                <w:color w:val="auto"/>
              </w:rPr>
              <w:t>1,138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Savana Panel/G Classic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Savana Special/G Cut</w:t>
            </w: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-83.1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620" w:type="dxa"/>
            <w:vAlign w:val="bottom"/>
          </w:tcPr>
          <w:p>
            <w:pPr>
              <w:jc w:val="right"/>
              <w:spacing w:after="0"/>
              <w:rPr>
                <w:sz w:val="20"/>
                <w:szCs w:val="20"/>
                <w:color w:val="auto"/>
              </w:rPr>
            </w:pPr>
            <w:r>
              <w:rPr>
                <w:rFonts w:ascii="Arial" w:cs="Arial" w:eastAsia="Arial" w:hAnsi="Arial"/>
                <w:sz w:val="18"/>
                <w:szCs w:val="18"/>
                <w:color w:val="auto"/>
              </w:rPr>
              <w:t>4,423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Savana/Rally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Sierra</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10,465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11,596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620" w:type="dxa"/>
            <w:vAlign w:val="bottom"/>
          </w:tcPr>
          <w:p>
            <w:pPr>
              <w:jc w:val="right"/>
              <w:spacing w:after="0"/>
              <w:rPr>
                <w:sz w:val="20"/>
                <w:szCs w:val="20"/>
                <w:color w:val="auto"/>
              </w:rPr>
            </w:pPr>
            <w:r>
              <w:rPr>
                <w:rFonts w:ascii="Arial" w:cs="Arial" w:eastAsia="Arial" w:hAnsi="Arial"/>
                <w:sz w:val="18"/>
                <w:szCs w:val="18"/>
                <w:color w:val="auto"/>
              </w:rPr>
              <w:t>60,532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94,770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Terrain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Topkick 4/5 Series</w:t>
            </w:r>
          </w:p>
        </w:tc>
        <w:tc>
          <w:tcPr>
            <w:tcW w:w="5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-45.5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620" w:type="dxa"/>
            <w:vAlign w:val="bottom"/>
          </w:tcPr>
          <w:p>
            <w:pPr>
              <w:jc w:val="right"/>
              <w:spacing w:after="0"/>
              <w:rPr>
                <w:sz w:val="20"/>
                <w:szCs w:val="20"/>
                <w:color w:val="auto"/>
              </w:rPr>
            </w:pPr>
            <w:r>
              <w:rPr>
                <w:rFonts w:ascii="Arial" w:cs="Arial" w:eastAsia="Arial" w:hAnsi="Arial"/>
                <w:sz w:val="18"/>
                <w:szCs w:val="18"/>
                <w:color w:val="auto"/>
              </w:rPr>
              <w:t>1,685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Yukon</w:t>
            </w:r>
          </w:p>
        </w:tc>
        <w:tc>
          <w:tcPr>
            <w:tcW w:w="52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3,087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620" w:type="dxa"/>
            <w:vAlign w:val="bottom"/>
          </w:tcPr>
          <w:p>
            <w:pPr>
              <w:jc w:val="right"/>
              <w:spacing w:after="0"/>
              <w:rPr>
                <w:sz w:val="20"/>
                <w:szCs w:val="20"/>
                <w:color w:val="auto"/>
              </w:rPr>
            </w:pPr>
            <w:r>
              <w:rPr>
                <w:rFonts w:ascii="Arial" w:cs="Arial" w:eastAsia="Arial" w:hAnsi="Arial"/>
                <w:sz w:val="18"/>
                <w:szCs w:val="18"/>
                <w:color w:val="auto"/>
              </w:rPr>
              <w:t>15,989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22,942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Yukon XL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ind w:left="860"/>
              <w:spacing w:after="0"/>
              <w:rPr>
                <w:sz w:val="20"/>
                <w:szCs w:val="20"/>
                <w:color w:val="auto"/>
              </w:rPr>
            </w:pPr>
            <w:r>
              <w:rPr>
                <w:rFonts w:ascii="Arial" w:cs="Arial" w:eastAsia="Arial" w:hAnsi="Arial"/>
                <w:sz w:val="18"/>
                <w:szCs w:val="18"/>
                <w:color w:val="auto"/>
              </w:rPr>
              <w:t>GMC 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21,860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27,447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140,331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224,667</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6840" w:type="dxa"/>
            <w:vAlign w:val="bottom"/>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40" w:type="dxa"/>
            <w:vAlign w:val="bottom"/>
            <w:gridSpan w:val="3"/>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Page 3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(Calendar Year-to-Date)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78"/>
              </w:rPr>
              <w:t>July</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January - July</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 Chg</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%Chg per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%Chg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Days (S/D)</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2009</w:t>
            </w:r>
          </w:p>
        </w:tc>
        <w:tc>
          <w:tcPr>
            <w:tcW w:w="74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Volume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S/D</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HUMMER H1</w:t>
            </w:r>
          </w:p>
        </w:tc>
        <w:tc>
          <w:tcPr>
            <w:tcW w:w="5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HUMMER H2</w:t>
            </w: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620" w:type="dxa"/>
            <w:vAlign w:val="bottom"/>
          </w:tcPr>
          <w:p>
            <w:pPr>
              <w:jc w:val="right"/>
              <w:spacing w:after="0"/>
              <w:rPr>
                <w:sz w:val="20"/>
                <w:szCs w:val="20"/>
                <w:color w:val="auto"/>
              </w:rPr>
            </w:pPr>
            <w:r>
              <w:rPr>
                <w:rFonts w:ascii="Arial" w:cs="Arial" w:eastAsia="Arial" w:hAnsi="Arial"/>
                <w:sz w:val="18"/>
                <w:szCs w:val="18"/>
                <w:color w:val="auto"/>
              </w:rPr>
              <w:t>1,153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HUMMER H3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HUMMER H3T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HUMMER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Montana SV6</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8"/>
        </w:trPr>
        <w:tc>
          <w:tcPr>
            <w:tcW w:w="650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Torrent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Pontiac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891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620" w:type="dxa"/>
            <w:vAlign w:val="bottom"/>
          </w:tcPr>
          <w:p>
            <w:pPr>
              <w:jc w:val="right"/>
              <w:spacing w:after="0"/>
              <w:rPr>
                <w:sz w:val="20"/>
                <w:szCs w:val="20"/>
                <w:color w:val="auto"/>
              </w:rPr>
            </w:pPr>
            <w:r>
              <w:rPr>
                <w:rFonts w:ascii="Arial" w:cs="Arial" w:eastAsia="Arial" w:hAnsi="Arial"/>
                <w:sz w:val="18"/>
                <w:szCs w:val="18"/>
                <w:color w:val="auto"/>
              </w:rPr>
              <w:t>7,871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13,705</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9-7X</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620" w:type="dxa"/>
            <w:vAlign w:val="bottom"/>
          </w:tcPr>
          <w:p>
            <w:pPr>
              <w:jc w:val="right"/>
              <w:spacing w:after="0"/>
              <w:rPr>
                <w:sz w:val="20"/>
                <w:szCs w:val="20"/>
                <w:color w:val="auto"/>
              </w:rPr>
            </w:pPr>
            <w:r>
              <w:rPr>
                <w:rFonts w:ascii="Arial" w:cs="Arial" w:eastAsia="Arial" w:hAnsi="Arial"/>
                <w:sz w:val="18"/>
                <w:szCs w:val="18"/>
                <w:color w:val="auto"/>
              </w:rPr>
              <w:t>1,626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2,321</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Outlook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Relay</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VUE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20,743</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Saturn Total</w:t>
            </w:r>
          </w:p>
        </w:tc>
        <w:tc>
          <w:tcPr>
            <w:tcW w:w="620" w:type="dxa"/>
            <w:vAlign w:val="bottom"/>
          </w:tcPr>
          <w:p>
            <w:pPr>
              <w:jc w:val="right"/>
              <w:spacing w:after="0"/>
              <w:rPr>
                <w:sz w:val="20"/>
                <w:szCs w:val="20"/>
                <w:color w:val="auto"/>
              </w:rPr>
            </w:pPr>
            <w:r>
              <w:rPr>
                <w:rFonts w:ascii="Arial" w:cs="Arial" w:eastAsia="Arial" w:hAnsi="Arial"/>
                <w:sz w:val="18"/>
                <w:szCs w:val="18"/>
                <w:color w:val="auto"/>
              </w:rPr>
              <w:t>3,684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620" w:type="dxa"/>
            <w:vAlign w:val="bottom"/>
          </w:tcPr>
          <w:p>
            <w:pPr>
              <w:jc w:val="right"/>
              <w:spacing w:after="0"/>
              <w:rPr>
                <w:sz w:val="20"/>
                <w:szCs w:val="20"/>
                <w:color w:val="auto"/>
              </w:rPr>
            </w:pPr>
            <w:r>
              <w:rPr>
                <w:rFonts w:ascii="Arial" w:cs="Arial" w:eastAsia="Arial" w:hAnsi="Arial"/>
                <w:sz w:val="18"/>
                <w:szCs w:val="18"/>
                <w:color w:val="auto"/>
              </w:rPr>
              <w:t>29,918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66,761</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GM Truck 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106,067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129,849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657,893</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1,045,284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3"/>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Page 4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GM Production Schedule - 08/03/09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Memo: Joint Venture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 xml:space="preserve">GME </w:t>
            </w:r>
            <w:r>
              <w:rPr>
                <w:rFonts w:ascii="Arial" w:cs="Arial" w:eastAsia="Arial" w:hAnsi="Arial"/>
                <w:sz w:val="22"/>
                <w:szCs w:val="22"/>
                <w:b w:val="1"/>
                <w:bCs w:val="1"/>
                <w:color w:val="auto"/>
                <w:w w:val="90"/>
                <w:vertAlign w:val="superscript"/>
              </w:rPr>
              <w:t>2</w:t>
            </w:r>
          </w:p>
        </w:tc>
        <w:tc>
          <w:tcPr>
            <w:tcW w:w="2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 xml:space="preserve">GMLAAM </w:t>
            </w:r>
            <w:r>
              <w:rPr>
                <w:rFonts w:ascii="Arial" w:cs="Arial" w:eastAsia="Arial" w:hAnsi="Arial"/>
                <w:sz w:val="22"/>
                <w:szCs w:val="22"/>
                <w:b w:val="1"/>
                <w:bCs w:val="1"/>
                <w:color w:val="auto"/>
                <w:w w:val="98"/>
                <w:vertAlign w:val="superscript"/>
              </w:rPr>
              <w:t>3</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 xml:space="preserve">GMAP </w:t>
            </w:r>
            <w:r>
              <w:rPr>
                <w:rFonts w:ascii="Arial" w:cs="Arial" w:eastAsia="Arial" w:hAnsi="Arial"/>
                <w:sz w:val="22"/>
                <w:szCs w:val="22"/>
                <w:b w:val="1"/>
                <w:bCs w:val="1"/>
                <w:color w:val="auto"/>
                <w:w w:val="92"/>
                <w:vertAlign w:val="superscript"/>
              </w:rPr>
              <w:t>4</w:t>
            </w: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Total</w:t>
            </w:r>
          </w:p>
        </w:tc>
        <w:tc>
          <w:tcPr>
            <w:tcW w:w="1000" w:type="dxa"/>
            <w:vAlign w:val="bottom"/>
            <w:tcBorders>
              <w:top w:val="single" w:sz="8" w:color="auto"/>
            </w:tcBorders>
            <w:gridSpan w:val="5"/>
          </w:tcPr>
          <w:p>
            <w:pPr>
              <w:ind w:left="140"/>
              <w:spacing w:after="0" w:line="142" w:lineRule="exact"/>
              <w:rPr>
                <w:sz w:val="20"/>
                <w:szCs w:val="20"/>
                <w:color w:val="auto"/>
              </w:rPr>
            </w:pPr>
            <w:r>
              <w:rPr>
                <w:rFonts w:ascii="Arial" w:cs="Arial" w:eastAsia="Arial" w:hAnsi="Arial"/>
                <w:sz w:val="11"/>
                <w:szCs w:val="11"/>
                <w:b w:val="1"/>
                <w:bCs w:val="1"/>
                <w:color w:val="auto"/>
              </w:rPr>
              <w:t xml:space="preserve">GMNA </w:t>
            </w:r>
            <w:r>
              <w:rPr>
                <w:rFonts w:ascii="Arial" w:cs="Arial" w:eastAsia="Arial" w:hAnsi="Arial"/>
                <w:sz w:val="16"/>
                <w:szCs w:val="16"/>
                <w:b w:val="1"/>
                <w:bCs w:val="1"/>
                <w:color w:val="auto"/>
                <w:vertAlign w:val="superscript"/>
              </w:rPr>
              <w:t>1</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International </w:t>
            </w:r>
            <w:r>
              <w:rPr>
                <w:rFonts w:ascii="Arial" w:cs="Arial" w:eastAsia="Arial" w:hAnsi="Arial"/>
                <w:sz w:val="16"/>
                <w:szCs w:val="16"/>
                <w:b w:val="1"/>
                <w:bCs w:val="1"/>
                <w:color w:val="auto"/>
                <w:vertAlign w:val="superscript"/>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 000s</w:t>
            </w:r>
          </w:p>
        </w:tc>
        <w:tc>
          <w:tcPr>
            <w:tcW w:w="6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Worldwide</w:t>
            </w:r>
          </w:p>
        </w:tc>
        <w:tc>
          <w:tcPr>
            <w:tcW w:w="2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Car</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Truck</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 Q3 #</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i w:val="1"/>
                <w:iCs w:val="1"/>
                <w:color w:val="auto"/>
              </w:rPr>
              <w:t>O/(U) prior forecast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4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0</w:t>
            </w:r>
          </w:p>
        </w:tc>
        <w:tc>
          <w:tcPr>
            <w:tcW w:w="6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2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0</w:t>
            </w: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 xml:space="preserve">GMNA </w:t>
            </w:r>
            <w:r>
              <w:rPr>
                <w:rFonts w:ascii="Arial" w:cs="Arial" w:eastAsia="Arial" w:hAnsi="Arial"/>
                <w:sz w:val="22"/>
                <w:szCs w:val="22"/>
                <w:b w:val="1"/>
                <w:bCs w:val="1"/>
                <w:color w:val="auto"/>
                <w:vertAlign w:val="superscript"/>
              </w:rPr>
              <w:t>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 xml:space="preserve">International </w:t>
            </w:r>
            <w:r>
              <w:rPr>
                <w:rFonts w:ascii="Arial" w:cs="Arial" w:eastAsia="Arial" w:hAnsi="Arial"/>
                <w:sz w:val="22"/>
                <w:szCs w:val="22"/>
                <w:b w:val="1"/>
                <w:bCs w:val="1"/>
                <w:color w:val="auto"/>
                <w:w w:val="89"/>
                <w:vertAlign w:val="superscript"/>
              </w:rPr>
              <w:t>5</w:t>
            </w:r>
          </w:p>
        </w:tc>
        <w:tc>
          <w:tcPr>
            <w:tcW w:w="0" w:type="dxa"/>
            <w:vAlign w:val="bottom"/>
          </w:tcPr>
          <w:p>
            <w:pPr>
              <w:spacing w:after="0"/>
              <w:rPr>
                <w:sz w:val="1"/>
                <w:szCs w:val="1"/>
                <w:color w:val="auto"/>
              </w:rPr>
            </w:pPr>
          </w:p>
        </w:tc>
      </w:tr>
      <w:tr>
        <w:trPr>
          <w:trHeight w:val="142"/>
        </w:trPr>
        <w:tc>
          <w:tcPr>
            <w:tcW w:w="4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Units 000s</w:t>
            </w:r>
          </w:p>
        </w:tc>
        <w:tc>
          <w:tcPr>
            <w:tcW w:w="6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Car</w:t>
            </w:r>
          </w:p>
        </w:tc>
        <w:tc>
          <w:tcPr>
            <w:tcW w:w="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Truck</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GME</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GMLAAM</w:t>
            </w: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GMAP</w:t>
            </w:r>
          </w:p>
        </w:tc>
        <w:tc>
          <w:tcPr>
            <w:tcW w:w="8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Worldwide</w:t>
            </w:r>
          </w:p>
        </w:tc>
        <w:tc>
          <w:tcPr>
            <w:tcW w:w="2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Car</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Truck</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591</w:t>
            </w:r>
          </w:p>
        </w:tc>
        <w:tc>
          <w:tcPr>
            <w:tcW w:w="440" w:type="dxa"/>
            <w:vAlign w:val="bottom"/>
          </w:tcPr>
          <w:p>
            <w:pPr>
              <w:jc w:val="right"/>
              <w:spacing w:after="0"/>
              <w:rPr>
                <w:sz w:val="20"/>
                <w:szCs w:val="20"/>
                <w:color w:val="auto"/>
              </w:rPr>
            </w:pPr>
            <w:r>
              <w:rPr>
                <w:rFonts w:ascii="Arial" w:cs="Arial" w:eastAsia="Arial" w:hAnsi="Arial"/>
                <w:sz w:val="18"/>
                <w:szCs w:val="18"/>
                <w:color w:val="auto"/>
              </w:rPr>
              <w:t>860</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1,451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440" w:type="dxa"/>
            <w:vAlign w:val="bottom"/>
          </w:tcPr>
          <w:p>
            <w:pPr>
              <w:jc w:val="right"/>
              <w:spacing w:after="0"/>
              <w:rPr>
                <w:sz w:val="20"/>
                <w:szCs w:val="20"/>
                <w:color w:val="auto"/>
              </w:rPr>
            </w:pPr>
            <w:r>
              <w:rPr>
                <w:rFonts w:ascii="Arial" w:cs="Arial" w:eastAsia="Arial" w:hAnsi="Arial"/>
                <w:sz w:val="18"/>
                <w:szCs w:val="18"/>
                <w:color w:val="auto"/>
              </w:rPr>
              <w:t>753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1,245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1,893</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2,184</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3,277</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5,461</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1,818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8,246</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440" w:type="dxa"/>
            <w:vAlign w:val="bottom"/>
          </w:tcPr>
          <w:p>
            <w:pPr>
              <w:jc w:val="right"/>
              <w:spacing w:after="0"/>
              <w:rPr>
                <w:sz w:val="20"/>
                <w:szCs w:val="20"/>
                <w:color w:val="auto"/>
              </w:rPr>
            </w:pPr>
            <w:r>
              <w:rPr>
                <w:rFonts w:ascii="Arial" w:cs="Arial" w:eastAsia="Arial" w:hAnsi="Arial"/>
                <w:sz w:val="18"/>
                <w:szCs w:val="18"/>
                <w:color w:val="auto"/>
              </w:rPr>
              <w:t>820</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1,345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2,273</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440" w:type="dxa"/>
            <w:vAlign w:val="bottom"/>
          </w:tcPr>
          <w:p>
            <w:pPr>
              <w:jc w:val="right"/>
              <w:spacing w:after="0"/>
              <w:rPr>
                <w:sz w:val="20"/>
                <w:szCs w:val="20"/>
                <w:color w:val="auto"/>
              </w:rPr>
            </w:pPr>
            <w:r>
              <w:rPr>
                <w:rFonts w:ascii="Arial" w:cs="Arial" w:eastAsia="Arial" w:hAnsi="Arial"/>
                <w:sz w:val="18"/>
                <w:szCs w:val="18"/>
                <w:color w:val="auto"/>
              </w:rPr>
              <w:t>746</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1,209</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314</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2,119</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1,997</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3,223</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5,220</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1,829</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1,333</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9,098</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440" w:type="dxa"/>
            <w:vAlign w:val="bottom"/>
          </w:tcPr>
          <w:p>
            <w:pPr>
              <w:jc w:val="right"/>
              <w:spacing w:after="0"/>
              <w:rPr>
                <w:sz w:val="20"/>
                <w:szCs w:val="20"/>
                <w:color w:val="auto"/>
              </w:rPr>
            </w:pPr>
            <w:r>
              <w:rPr>
                <w:rFonts w:ascii="Arial" w:cs="Arial" w:eastAsia="Arial" w:hAnsi="Arial"/>
                <w:sz w:val="18"/>
                <w:szCs w:val="18"/>
                <w:color w:val="auto"/>
              </w:rPr>
              <w:t>712</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1,182</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2,204</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51</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440" w:type="dxa"/>
            <w:vAlign w:val="bottom"/>
          </w:tcPr>
          <w:p>
            <w:pPr>
              <w:jc w:val="right"/>
              <w:spacing w:after="0"/>
              <w:rPr>
                <w:sz w:val="20"/>
                <w:szCs w:val="20"/>
                <w:color w:val="auto"/>
              </w:rPr>
            </w:pPr>
            <w:r>
              <w:rPr>
                <w:rFonts w:ascii="Arial" w:cs="Arial" w:eastAsia="Arial" w:hAnsi="Arial"/>
                <w:sz w:val="18"/>
                <w:szCs w:val="18"/>
                <w:color w:val="auto"/>
              </w:rPr>
              <w:t>723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1,146</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1,834</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3,022</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4,856</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1,858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775</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1,562</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9,051</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440" w:type="dxa"/>
            <w:vAlign w:val="bottom"/>
          </w:tcPr>
          <w:p>
            <w:pPr>
              <w:jc w:val="right"/>
              <w:spacing w:after="0"/>
              <w:rPr>
                <w:sz w:val="20"/>
                <w:szCs w:val="20"/>
                <w:color w:val="auto"/>
              </w:rPr>
            </w:pPr>
            <w:r>
              <w:rPr>
                <w:rFonts w:ascii="Arial" w:cs="Arial" w:eastAsia="Arial" w:hAnsi="Arial"/>
                <w:sz w:val="18"/>
                <w:szCs w:val="18"/>
                <w:color w:val="auto"/>
              </w:rPr>
              <w:t>759</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1,255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2,415</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1,050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2,072</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1,821</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2,828</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4,649</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1,806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1,896</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9,181</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440" w:type="dxa"/>
            <w:vAlign w:val="bottom"/>
          </w:tcPr>
          <w:p>
            <w:pPr>
              <w:jc w:val="right"/>
              <w:spacing w:after="0"/>
              <w:rPr>
                <w:sz w:val="20"/>
                <w:szCs w:val="20"/>
                <w:color w:val="auto"/>
              </w:rPr>
            </w:pPr>
            <w:r>
              <w:rPr>
                <w:rFonts w:ascii="Arial" w:cs="Arial" w:eastAsia="Arial" w:hAnsi="Arial"/>
                <w:sz w:val="18"/>
                <w:szCs w:val="18"/>
                <w:color w:val="auto"/>
              </w:rPr>
              <w:t>664</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1,063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511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544</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2,340</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440" w:type="dxa"/>
            <w:vAlign w:val="bottom"/>
          </w:tcPr>
          <w:p>
            <w:pPr>
              <w:jc w:val="right"/>
              <w:spacing w:after="0"/>
              <w:rPr>
                <w:sz w:val="20"/>
                <w:szCs w:val="20"/>
                <w:color w:val="auto"/>
              </w:rPr>
            </w:pPr>
            <w:r>
              <w:rPr>
                <w:rFonts w:ascii="Arial" w:cs="Arial" w:eastAsia="Arial" w:hAnsi="Arial"/>
                <w:sz w:val="18"/>
                <w:szCs w:val="18"/>
                <w:color w:val="auto"/>
              </w:rPr>
              <w:t>653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1,020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251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2,156</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1,526</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2,741</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4,267</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1,828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960</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2,231</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9,286</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440" w:type="dxa"/>
            <w:vAlign w:val="bottom"/>
          </w:tcPr>
          <w:p>
            <w:pPr>
              <w:jc w:val="right"/>
              <w:spacing w:after="0"/>
              <w:rPr>
                <w:sz w:val="20"/>
                <w:szCs w:val="20"/>
                <w:color w:val="auto"/>
              </w:rPr>
            </w:pPr>
            <w:r>
              <w:rPr>
                <w:rFonts w:ascii="Arial" w:cs="Arial" w:eastAsia="Arial" w:hAnsi="Arial"/>
                <w:sz w:val="18"/>
                <w:szCs w:val="18"/>
                <w:color w:val="auto"/>
              </w:rPr>
              <w:t>525</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885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243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2,233</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440" w:type="dxa"/>
            <w:vAlign w:val="bottom"/>
          </w:tcPr>
          <w:p>
            <w:pPr>
              <w:jc w:val="right"/>
              <w:spacing w:after="0"/>
              <w:rPr>
                <w:sz w:val="20"/>
                <w:szCs w:val="20"/>
                <w:color w:val="auto"/>
              </w:rPr>
            </w:pPr>
            <w:r>
              <w:rPr>
                <w:rFonts w:ascii="Arial" w:cs="Arial" w:eastAsia="Arial" w:hAnsi="Arial"/>
                <w:sz w:val="18"/>
                <w:szCs w:val="18"/>
                <w:color w:val="auto"/>
              </w:rPr>
              <w:t>479</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915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276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2,039</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CY</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1,543</w:t>
            </w: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1,906</w:t>
            </w:r>
          </w:p>
        </w:tc>
        <w:tc>
          <w:tcPr>
            <w:tcW w:w="2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3,449</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1,550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2,184</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8,144</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1st Qtr.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440" w:type="dxa"/>
            <w:vAlign w:val="bottom"/>
          </w:tcPr>
          <w:p>
            <w:pPr>
              <w:jc w:val="right"/>
              <w:spacing w:after="0"/>
              <w:rPr>
                <w:sz w:val="20"/>
                <w:szCs w:val="20"/>
                <w:color w:val="auto"/>
              </w:rPr>
            </w:pPr>
            <w:r>
              <w:rPr>
                <w:rFonts w:ascii="Arial" w:cs="Arial" w:eastAsia="Arial" w:hAnsi="Arial"/>
                <w:sz w:val="18"/>
                <w:szCs w:val="18"/>
                <w:color w:val="auto"/>
              </w:rPr>
              <w:t>255</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371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507</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2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Qtr.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3rd Qtr. #</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440" w:type="dxa"/>
            <w:vAlign w:val="bottom"/>
          </w:tcPr>
          <w:p>
            <w:pPr>
              <w:jc w:val="right"/>
              <w:spacing w:after="0"/>
              <w:rPr>
                <w:sz w:val="20"/>
                <w:szCs w:val="20"/>
                <w:color w:val="auto"/>
              </w:rPr>
            </w:pPr>
            <w:r>
              <w:rPr>
                <w:rFonts w:ascii="Arial" w:cs="Arial" w:eastAsia="Arial" w:hAnsi="Arial"/>
                <w:sz w:val="18"/>
                <w:szCs w:val="18"/>
                <w:color w:val="auto"/>
              </w:rPr>
              <w:t>325</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535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1,586</w:t>
            </w:r>
          </w:p>
        </w:tc>
        <w:tc>
          <w:tcPr>
            <w:tcW w:w="2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by region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Denotes estimate</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All Numbers may vary due to rounding</w:t>
      </w:r>
    </w:p>
    <w:p>
      <w:pPr>
        <w:spacing w:after="0" w:line="1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spacing w:after="0" w:line="3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GMNA includes joint venture production - HUMMER and CAMI units included in GMNA Truck and production historically classified as joint venture</w:t>
      </w:r>
    </w:p>
    <w:p>
      <w:pPr>
        <w:ind w:left="460"/>
        <w:spacing w:after="0" w:line="199" w:lineRule="auto"/>
        <w:rPr>
          <w:sz w:val="20"/>
          <w:szCs w:val="20"/>
          <w:color w:val="auto"/>
        </w:rPr>
      </w:pPr>
      <w:r>
        <w:rPr>
          <w:rFonts w:ascii="Arial" w:cs="Arial" w:eastAsia="Arial" w:hAnsi="Arial"/>
          <w:sz w:val="18"/>
          <w:szCs w:val="18"/>
          <w:color w:val="auto"/>
        </w:rPr>
        <w:t>production - NUMMI units included in GMNA car</w:t>
      </w:r>
    </w:p>
    <w:p>
      <w:pPr>
        <w:ind w:left="460" w:hanging="452"/>
        <w:spacing w:after="0" w:line="20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GME includes GM-AvtoVAZ joint venture production beginning in Q1 2004</w:t>
      </w:r>
    </w:p>
    <w:p>
      <w:pPr>
        <w:ind w:left="460" w:hanging="452"/>
        <w:spacing w:after="0" w:line="20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GMLAAM includes GM Egypt joint venture from 2001 through current calendar year</w:t>
      </w:r>
    </w:p>
    <w:p>
      <w:pPr>
        <w:spacing w:after="0" w:line="38" w:lineRule="exact"/>
        <w:rPr>
          <w:sz w:val="20"/>
          <w:szCs w:val="20"/>
          <w:color w:val="auto"/>
        </w:rPr>
      </w:pPr>
    </w:p>
    <w:p>
      <w:pPr>
        <w:ind w:left="460" w:right="460" w:hanging="452"/>
        <w:spacing w:after="0" w:line="20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GMAP includes joint venture production: Shanghai GM Norsom Motors (formerly Jinbei GM) and Shanghai GM beginning in 2000 and SAIC-GM-Wuling and GM Daewoo Auto Technologies (GMDAT) beginning in Q1 2004.</w:t>
      </w:r>
    </w:p>
    <w:p>
      <w:pPr>
        <w:spacing w:after="0" w:line="39" w:lineRule="exact"/>
        <w:rPr>
          <w:sz w:val="20"/>
          <w:szCs w:val="20"/>
          <w:color w:val="auto"/>
        </w:rPr>
      </w:pPr>
    </w:p>
    <w:p>
      <w:pPr>
        <w:ind w:left="460" w:right="2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International joint venture production includes GM-AvtoVAZ, GM Egypt, Shanghai GM Norsom Motors, Shanghai GM, SAIC-GM-Wuling, and GMDAT. Starting in Q3 2005 International joint venture production does not include GMDAT.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governed by the Forward Looking Statements language found in the Terms and Conditions on the GM Institutional Investor website.</w:t>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2019-12-11T06:11:33Z</dcterms:created>
  <dcterms:modified xsi:type="dcterms:W3CDTF">2019-12-11T06:11:33Z</dcterms:modified>
</cp:coreProperties>
</file>