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205740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231140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20549-1004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107315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127000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Date of Report (Date of earliest event reported) June 7,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114300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GENERAL MOTORS COMPANY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113665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240" w:top="230" w:right="659" w:bottom="1440" w:gutter="0" w:footer="0" w:header="0"/>
        </w:sectPr>
      </w:pP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001-34960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2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DELAWARE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27-0756180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520" w:space="720"/>
            <w:col w:w="3680" w:space="720"/>
            <w:col w:w="1360"/>
          </w:cols>
          <w:pgMar w:left="240" w:top="230" w:right="659" w:bottom="1440" w:gutter="0" w:footer="0" w:header="0"/>
          <w:type w:val="continuous"/>
        </w:sect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(Commission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2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(State or other jurisdiction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(I.R.S. Employer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Identification No.)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40" w:space="720"/>
            <w:col w:w="3840" w:space="720"/>
            <w:col w:w="1480"/>
          </w:cols>
          <w:pgMar w:left="240" w:top="230" w:right="659" w:bottom="1440" w:gutter="0" w:footer="0" w:header="0"/>
          <w:type w:val="continuous"/>
        </w:sect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300 Renaissance Center, Detroit, Michigan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48265-3000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40" w:space="720"/>
            <w:col w:w="2840"/>
          </w:cols>
          <w:pgMar w:left="240" w:top="230" w:right="659" w:bottom="1440" w:gutter="0" w:footer="0" w:header="0"/>
          <w:type w:val="continuous"/>
        </w:sect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(Zip Code)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740"/>
          </w:cols>
          <w:pgMar w:left="240" w:top="230" w:right="659" w:bottom="1440" w:gutter="0" w:footer="0" w:header="0"/>
          <w:type w:val="continuous"/>
        </w:sect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(313) 556-5000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(Registrant’s telephone number, including area code)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Not Applicable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96520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company under any of the following provisions: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(17-CFR 240.14a-12)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240" w:top="230" w:right="6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u w:val="single" w:color="auto"/>
          <w:color w:val="auto"/>
        </w:rPr>
        <w:t>TABLE OF CONTENTS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3919"/>
        <w:spacing w:after="0" w:line="369" w:lineRule="auto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hyperlink w:anchor="page3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ITEM 5.07 SUBMISSION OF MATTERS TO A VOTE OF SECURITY HOLDERS</w:t>
        </w:r>
      </w:hyperlink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t xml:space="preserve"> </w:t>
      </w:r>
      <w:hyperlink w:anchor="page4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SIGNATURE</w:t>
        </w:r>
      </w:hyperlink>
    </w:p>
    <w:p>
      <w:pPr>
        <w:sectPr>
          <w:pgSz w:w="11900" w:h="16838" w:orient="portrait"/>
          <w:cols w:equalWidth="0" w:num="1">
            <w:col w:w="10219"/>
          </w:cols>
          <w:pgMar w:left="240" w:top="459" w:right="1440" w:bottom="1440" w:gutter="0" w:footer="0" w:header="0"/>
        </w:sectPr>
      </w:pPr>
    </w:p>
    <w:bookmarkStart w:id="2" w:name="page3"/>
    <w:bookmarkEnd w:id="2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5.07 Submission of Matters to a Vote of Security Holders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3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annual meeting of the stockholders of General Motors Company (“GM”) was held on June 7, 2011. The final votes on the matters submitted to the stockholders were as follows: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No. 1—Nomination and Election of Directors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tbl>
      <w:tblPr>
        <w:tblLayout w:type="fixed"/>
        <w:tblInd w:w="4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Broker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5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Nominee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Non-Votes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Daniel F. Akerson</w:t>
            </w: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1,231,643,999</w:t>
            </w:r>
          </w:p>
        </w:tc>
        <w:tc>
          <w:tcPr>
            <w:tcW w:w="15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13,120,062</w:t>
            </w: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2,774,675</w:t>
            </w:r>
          </w:p>
        </w:tc>
        <w:tc>
          <w:tcPr>
            <w:tcW w:w="126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David Bonderman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1,240,954,734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3,860,610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2,723,392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Erroll B. Davis, Jr.</w:t>
            </w: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1,242,499,296</w:t>
            </w:r>
          </w:p>
        </w:tc>
        <w:tc>
          <w:tcPr>
            <w:tcW w:w="15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2,316,622</w:t>
            </w: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2,722,818</w:t>
            </w:r>
          </w:p>
        </w:tc>
        <w:tc>
          <w:tcPr>
            <w:tcW w:w="126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Stephen J. Girsky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1,242,592,853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2,229,088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2,716,795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E. Neville Isdell</w:t>
            </w: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1,242,703,353</w:t>
            </w:r>
          </w:p>
        </w:tc>
        <w:tc>
          <w:tcPr>
            <w:tcW w:w="15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2,111,715</w:t>
            </w: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2,723,668</w:t>
            </w:r>
          </w:p>
        </w:tc>
        <w:tc>
          <w:tcPr>
            <w:tcW w:w="126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Robert D. Krebs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1,242,743,906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2,073,554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2,721,276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Philip A. Laskawy</w:t>
            </w: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1,176,866,452</w:t>
            </w:r>
          </w:p>
        </w:tc>
        <w:tc>
          <w:tcPr>
            <w:tcW w:w="15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67,948,824</w:t>
            </w: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2,723,460</w:t>
            </w:r>
          </w:p>
        </w:tc>
        <w:tc>
          <w:tcPr>
            <w:tcW w:w="126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Kathryn V. Marinello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1,242,665,490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2,157,424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2,715,822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Patricia F. Russo</w:t>
            </w: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1,210.593.126</w:t>
            </w:r>
          </w:p>
        </w:tc>
        <w:tc>
          <w:tcPr>
            <w:tcW w:w="15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34,232,524</w:t>
            </w: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2,713,086</w:t>
            </w:r>
          </w:p>
        </w:tc>
        <w:tc>
          <w:tcPr>
            <w:tcW w:w="126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Carol M. Stephenson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1,241,116,169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3,704,636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2,717,931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2"/>
            <w:shd w:val="clear" w:color="auto" w:fill="CCEEFF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Cynthia A. Telles</w:t>
            </w:r>
          </w:p>
        </w:tc>
        <w:tc>
          <w:tcPr>
            <w:tcW w:w="10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1,060,725,806</w:t>
            </w:r>
          </w:p>
        </w:tc>
        <w:tc>
          <w:tcPr>
            <w:tcW w:w="152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184,099,017</w:t>
            </w:r>
          </w:p>
        </w:tc>
        <w:tc>
          <w:tcPr>
            <w:tcW w:w="780" w:type="dxa"/>
            <w:vAlign w:val="bottom"/>
            <w:shd w:val="clear" w:color="auto" w:fill="CCEEFF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2,713,913</w:t>
            </w:r>
          </w:p>
        </w:tc>
        <w:tc>
          <w:tcPr>
            <w:tcW w:w="1260" w:type="dxa"/>
            <w:vAlign w:val="bottom"/>
            <w:gridSpan w:val="3"/>
            <w:shd w:val="clear" w:color="auto" w:fill="CCEEFF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Item No. 2—Ratification of the Selection of Deloitte &amp; Touche LLP as GM’s Independent Registered Public Accounting Firm for the Year 2011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1,290,918,586</w:t>
            </w:r>
          </w:p>
        </w:tc>
        <w:tc>
          <w:tcPr>
            <w:tcW w:w="262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14,473,621</w:t>
            </w:r>
          </w:p>
        </w:tc>
        <w:tc>
          <w:tcPr>
            <w:tcW w:w="27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6,703,050</w:t>
            </w:r>
          </w:p>
        </w:tc>
        <w:tc>
          <w:tcPr>
            <w:tcW w:w="26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1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0</w:t>
            </w:r>
          </w:p>
        </w:tc>
      </w:tr>
      <w:tr>
        <w:trPr>
          <w:trHeight w:val="457"/>
        </w:trPr>
        <w:tc>
          <w:tcPr>
            <w:tcW w:w="8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No. 3—Advisory Vote to Approve Compensation Paid to GM’s Named Executive Officers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7"/>
              </w:rPr>
              <w:t>For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Against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</w:tcBorders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Abstain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1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CCEEFF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1,225,327,594</w:t>
            </w:r>
          </w:p>
        </w:tc>
        <w:tc>
          <w:tcPr>
            <w:tcW w:w="262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9,660,065</w:t>
            </w:r>
          </w:p>
        </w:tc>
        <w:tc>
          <w:tcPr>
            <w:tcW w:w="274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12,551,077</w:t>
            </w:r>
          </w:p>
        </w:tc>
        <w:tc>
          <w:tcPr>
            <w:tcW w:w="2600" w:type="dxa"/>
            <w:vAlign w:val="bottom"/>
            <w:gridSpan w:val="2"/>
            <w:shd w:val="clear" w:color="auto" w:fill="CCEEFF"/>
          </w:tcPr>
          <w:p>
            <w:pPr>
              <w:jc w:val="right"/>
              <w:ind w:righ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64,556,521</w:t>
            </w: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240" w:top="459" w:right="699" w:bottom="1440" w:gutter="0" w:footer="0" w:header="0"/>
        </w:sectPr>
      </w:pPr>
    </w:p>
    <w:bookmarkStart w:id="3" w:name="page4"/>
    <w:bookmarkEnd w:id="3"/>
    <w:p>
      <w:pPr>
        <w:spacing w:after="0"/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hyperlink w:anchor="page2">
        <w:r>
          <w:rPr>
            <w:rFonts w:ascii="Arial" w:cs="Arial" w:eastAsia="Arial" w:hAnsi="Arial"/>
            <w:sz w:val="18"/>
            <w:szCs w:val="18"/>
            <w:b w:val="1"/>
            <w:bCs w:val="1"/>
            <w:u w:val="single" w:color="auto"/>
            <w:color w:val="0000EE"/>
          </w:rPr>
          <w:t>Table of Contents</w:t>
        </w:r>
      </w:hyperlink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GENERAL MOTORS COMPANY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(Registrant)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480" w:val="left"/>
          <w:tab w:leader="none" w:pos="60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13,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Nick S. Cyprus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10795</wp:posOffset>
            </wp:positionV>
            <wp:extent cx="340487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8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Nick S. Cyprus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6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President, Controller and Chief Accounting Officer</w:t>
      </w:r>
    </w:p>
    <w:sectPr>
      <w:pgSz w:w="11900" w:h="16838" w:orient="portrait"/>
      <w:cols w:equalWidth="0" w:num="1">
        <w:col w:w="11000"/>
      </w:cols>
      <w:pgMar w:left="240" w:top="459" w:right="6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2019-12-11T08:39:57Z</dcterms:created>
  <dcterms:modified xsi:type="dcterms:W3CDTF">2019-12-11T08:39:57Z</dcterms:modified>
</cp:coreProperties>
</file>