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General Motors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37045V100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92,292,102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92,292,102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92,292,102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37045V100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jc w:val="right"/>
        <w:ind w:right="7159"/>
        <w:spacing w:after="0"/>
        <w:tabs>
          <w:tab w:leader="none" w:pos="50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jc w:val="right"/>
        <w:ind w:right="7159"/>
        <w:spacing w:after="0" w:line="238" w:lineRule="auto"/>
        <w:rPr>
          <w:sz w:val="20"/>
          <w:szCs w:val="20"/>
          <w:color w:val="auto"/>
        </w:rPr>
      </w:pPr>
      <w:r>
        <w:rPr>
          <w:rFonts w:ascii="Courier New" w:cs="Courier New" w:eastAsia="Courier New" w:hAnsi="Courier New"/>
          <w:sz w:val="18"/>
          <w:szCs w:val="18"/>
          <w:color w:val="auto"/>
        </w:rPr>
        <w:t>General Motors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300 Renaissance Center</w:t>
      </w:r>
    </w:p>
    <w:p>
      <w:pPr>
        <w:ind w:left="740"/>
        <w:spacing w:after="0"/>
        <w:rPr>
          <w:sz w:val="20"/>
          <w:szCs w:val="20"/>
          <w:color w:val="auto"/>
        </w:rPr>
      </w:pPr>
      <w:r>
        <w:rPr>
          <w:rFonts w:ascii="Courier New" w:cs="Courier New" w:eastAsia="Courier New" w:hAnsi="Courier New"/>
          <w:sz w:val="18"/>
          <w:szCs w:val="18"/>
          <w:color w:val="auto"/>
        </w:rPr>
        <w:t>Detroit, Michigan 48265-3000</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37045V100</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92,292,102 shares or 5.8% of the 1,583,016,567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839"/>
        <w:spacing w:after="0" w:line="236" w:lineRule="auto"/>
        <w:rPr>
          <w:sz w:val="20"/>
          <w:szCs w:val="20"/>
          <w:color w:val="auto"/>
        </w:rPr>
      </w:pPr>
      <w:r>
        <w:rPr>
          <w:rFonts w:ascii="Courier New" w:cs="Courier New" w:eastAsia="Courier New" w:hAnsi="Courier New"/>
          <w:sz w:val="18"/>
          <w:szCs w:val="18"/>
          <w:color w:val="auto"/>
        </w:rPr>
        <w:t>Shares reported by Capital Research Global Investors include 613,768 shares resulting from the assumed conversion of 613,768 of the 2016 Series A Warrants.</w:t>
      </w:r>
    </w:p>
    <w:p>
      <w:pPr>
        <w:spacing w:after="0" w:line="209" w:lineRule="exact"/>
        <w:rPr>
          <w:sz w:val="20"/>
          <w:szCs w:val="20"/>
          <w:color w:val="auto"/>
        </w:rPr>
      </w:pPr>
    </w:p>
    <w:p>
      <w:pPr>
        <w:ind w:left="740" w:right="2839"/>
        <w:spacing w:after="0" w:line="236" w:lineRule="auto"/>
        <w:rPr>
          <w:sz w:val="20"/>
          <w:szCs w:val="20"/>
          <w:color w:val="auto"/>
        </w:rPr>
      </w:pPr>
      <w:r>
        <w:rPr>
          <w:rFonts w:ascii="Courier New" w:cs="Courier New" w:eastAsia="Courier New" w:hAnsi="Courier New"/>
          <w:sz w:val="18"/>
          <w:szCs w:val="18"/>
          <w:color w:val="auto"/>
        </w:rPr>
        <w:t>Shares reported by Capital Research Global Investors include 613,768 shares resulting from the assumed conversion of 613,768 of the 2019 Series B Warrants.</w:t>
      </w:r>
    </w:p>
    <w:p>
      <w:pPr>
        <w:spacing w:after="0" w:line="209"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Shares reported by Capital Research Global Investors include 17,227,154 shares resulting from the assumed conversion of 11,369,558 shares of the 4.75% Series B Mandatory Convertible Junior Preferred Stock.</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6, 2012</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Timothy D. Armour***</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Timothy D. Armour - Senior Vice President</w:t>
      </w:r>
    </w:p>
    <w:p>
      <w:pPr>
        <w:ind w:left="24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36" w:right="1440" w:bottom="1440" w:gutter="0" w:footer="0" w:header="0"/>
        </w:sectPr>
      </w:pPr>
    </w:p>
    <w:bookmarkStart w:id="4" w:name="page5"/>
    <w:bookmarkEnd w:id="4"/>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14"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2019-12-09T19:24:00Z</dcterms:created>
  <dcterms:modified xsi:type="dcterms:W3CDTF">2019-12-09T19:24:00Z</dcterms:modified>
</cp:coreProperties>
</file>