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>WHITMAN MARGARET C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4,085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4,085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56.78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4,085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40" w:hanging="6"/>
        <w:spacing w:after="0" w:line="253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 The deferred portion of the retainer fee is pro-rated for a partial year of service and converted to DSUs based on the average closing price of the Company's Common Stock during the period of service.</w:t>
      </w:r>
    </w:p>
    <w:p>
      <w:pPr>
        <w:spacing w:after="0" w:line="19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Reporting Person's annual retainer fee was pro-rated for a partial year of service, therefore, the price of the DSUs is the average closing price of the Company's Common Stock during the period of service.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/s/ Tia Y. Turk, Attorney-in-Fact for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Ms. Whitman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981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2022-01-04T16:40:21Z</dcterms:created>
  <dcterms:modified xsi:type="dcterms:W3CDTF">2022-01-04T16:40:21Z</dcterms:modified>
</cp:coreProperties>
</file>