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RULES 13d-1(b),(c),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13d-2(b)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37045V100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340" w:hanging="259"/>
        <w:spacing w:after="0"/>
        <w:tabs>
          <w:tab w:leader="none" w:pos="5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5340" w:hanging="254"/>
        <w:spacing w:after="0"/>
        <w:tabs>
          <w:tab w:leader="none" w:pos="5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5340" w:hanging="259"/>
        <w:spacing w:after="0"/>
        <w:tabs>
          <w:tab w:leader="none" w:pos="53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376" w:lineRule="exact"/>
        <w:rPr>
          <w:rFonts w:ascii="MS PGothic" w:cs="MS PGothic" w:eastAsia="MS PGothic" w:hAnsi="MS PGothic"/>
          <w:sz w:val="18"/>
          <w:szCs w:val="18"/>
          <w:color w:val="auto"/>
        </w:rPr>
      </w:pPr>
    </w:p>
    <w:p>
      <w:pPr>
        <w:ind w:right="18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758825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75" w:right="259" w:bottom="1440" w:gutter="0" w:footer="0" w:header="0"/>
        </w:sectPr>
      </w:pPr>
    </w:p>
    <w:bookmarkStart w:id="1" w:name="page2"/>
    <w:bookmarkEnd w:id="1"/>
    <w:p>
      <w:pPr>
        <w:spacing w:after="0"/>
        <w:tabs>
          <w:tab w:leader="none" w:pos="10120" w:val="left"/>
        </w:tabs>
        <w:rPr>
          <w:sz w:val="20"/>
          <w:szCs w:val="20"/>
          <w:color w:val="auto"/>
        </w:rPr>
      </w:pPr>
      <w:r>
        <w:rPr>
          <w:rFonts w:ascii="Arial" w:cs="Arial" w:eastAsia="Arial" w:hAnsi="Arial"/>
          <w:sz w:val="18"/>
          <w:szCs w:val="18"/>
          <w:color w:val="auto"/>
        </w:rPr>
        <w:t>CUSIP No. 37045V100</w:t>
      </w:r>
      <w:r>
        <w:rPr>
          <w:sz w:val="20"/>
          <w:szCs w:val="20"/>
          <w:color w:val="auto"/>
        </w:rPr>
        <w:tab/>
      </w:r>
      <w:r>
        <w:rPr>
          <w:rFonts w:ascii="Arial" w:cs="Arial" w:eastAsia="Arial" w:hAnsi="Arial"/>
          <w:sz w:val="15"/>
          <w:szCs w:val="15"/>
          <w:color w:val="auto"/>
        </w:rPr>
        <w:t>Page 2 of 7 Pages</w:t>
      </w:r>
    </w:p>
    <w:p>
      <w:pPr>
        <w:spacing w:after="0" w:line="22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Canada Development Investment Corporation (see Item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right="7240" w:hanging="452"/>
        <w:spacing w:after="0" w:line="389"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200" w:hanging="450"/>
        <w:spacing w:after="0"/>
        <w:tabs>
          <w:tab w:leader="none" w:pos="3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Number of</w:t>
            </w:r>
          </w:p>
        </w:tc>
        <w:tc>
          <w:tcPr>
            <w:tcW w:w="800" w:type="dxa"/>
            <w:vAlign w:val="bottom"/>
          </w:tcPr>
          <w:p>
            <w:pPr>
              <w:spacing w:after="0"/>
              <w:rPr>
                <w:sz w:val="17"/>
                <w:szCs w:val="17"/>
                <w:color w:val="auto"/>
              </w:rPr>
            </w:pPr>
          </w:p>
        </w:tc>
        <w:tc>
          <w:tcPr>
            <w:tcW w:w="280" w:type="dxa"/>
            <w:vAlign w:val="bottom"/>
          </w:tcPr>
          <w:p>
            <w:pPr>
              <w:jc w:val="right"/>
              <w:ind w:right="90"/>
              <w:spacing w:after="0" w:line="201" w:lineRule="exact"/>
              <w:rPr>
                <w:sz w:val="20"/>
                <w:szCs w:val="20"/>
                <w:color w:val="auto"/>
              </w:rPr>
            </w:pPr>
            <w:r>
              <w:rPr>
                <w:rFonts w:ascii="Arial" w:cs="Arial" w:eastAsia="Arial" w:hAnsi="Arial"/>
                <w:sz w:val="18"/>
                <w:szCs w:val="18"/>
                <w:b w:val="1"/>
                <w:bCs w:val="1"/>
                <w:color w:val="auto"/>
                <w:w w:val="79"/>
              </w:rPr>
              <w:t>6</w:t>
            </w:r>
          </w:p>
        </w:tc>
        <w:tc>
          <w:tcPr>
            <w:tcW w:w="8400" w:type="dxa"/>
            <w:vAlign w:val="bottom"/>
          </w:tcPr>
          <w:p>
            <w:pPr>
              <w:ind w:left="1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Shares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73,389,831</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Beneficially</w:t>
            </w:r>
          </w:p>
        </w:tc>
        <w:tc>
          <w:tcPr>
            <w:tcW w:w="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Owned by</w:t>
            </w:r>
          </w:p>
        </w:tc>
        <w:tc>
          <w:tcPr>
            <w:tcW w:w="800" w:type="dxa"/>
            <w:vAlign w:val="bottom"/>
          </w:tcPr>
          <w:p>
            <w:pPr>
              <w:spacing w:after="0"/>
              <w:rPr>
                <w:sz w:val="17"/>
                <w:szCs w:val="17"/>
                <w:color w:val="auto"/>
              </w:rPr>
            </w:pPr>
          </w:p>
        </w:tc>
        <w:tc>
          <w:tcPr>
            <w:tcW w:w="280" w:type="dxa"/>
            <w:vAlign w:val="bottom"/>
          </w:tcPr>
          <w:p>
            <w:pPr>
              <w:jc w:val="right"/>
              <w:ind w:right="90"/>
              <w:spacing w:after="0" w:line="201" w:lineRule="exact"/>
              <w:rPr>
                <w:sz w:val="20"/>
                <w:szCs w:val="20"/>
                <w:color w:val="auto"/>
              </w:rPr>
            </w:pPr>
            <w:r>
              <w:rPr>
                <w:rFonts w:ascii="Arial" w:cs="Arial" w:eastAsia="Arial" w:hAnsi="Arial"/>
                <w:sz w:val="18"/>
                <w:szCs w:val="18"/>
                <w:b w:val="1"/>
                <w:bCs w:val="1"/>
                <w:color w:val="auto"/>
                <w:w w:val="79"/>
              </w:rPr>
              <w:t>7</w:t>
            </w:r>
          </w:p>
        </w:tc>
        <w:tc>
          <w:tcPr>
            <w:tcW w:w="8400" w:type="dxa"/>
            <w:vAlign w:val="bottom"/>
          </w:tcPr>
          <w:p>
            <w:pPr>
              <w:ind w:left="18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Each Reporting</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73,389,831</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Person With</w:t>
            </w:r>
          </w:p>
        </w:tc>
        <w:tc>
          <w:tcPr>
            <w:tcW w:w="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8</w:t>
            </w:r>
          </w:p>
        </w:tc>
        <w:tc>
          <w:tcPr>
            <w:tcW w:w="84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73,389,831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4.6%</w:t>
      </w:r>
    </w:p>
    <w:p>
      <w:pPr>
        <w:spacing w:after="0" w:line="4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 w:name="page3"/>
    <w:bookmarkEnd w:id="2"/>
    <w:p>
      <w:pPr>
        <w:spacing w:after="0"/>
        <w:tabs>
          <w:tab w:leader="none" w:pos="10120" w:val="left"/>
        </w:tabs>
        <w:rPr>
          <w:sz w:val="20"/>
          <w:szCs w:val="20"/>
          <w:color w:val="auto"/>
        </w:rPr>
      </w:pPr>
      <w:r>
        <w:rPr>
          <w:rFonts w:ascii="Arial" w:cs="Arial" w:eastAsia="Arial" w:hAnsi="Arial"/>
          <w:sz w:val="18"/>
          <w:szCs w:val="18"/>
          <w:color w:val="auto"/>
        </w:rPr>
        <w:t>CUSIP No. 37045V100</w:t>
      </w:r>
      <w:r>
        <w:rPr>
          <w:sz w:val="20"/>
          <w:szCs w:val="20"/>
          <w:color w:val="auto"/>
        </w:rPr>
        <w:tab/>
      </w:r>
      <w:r>
        <w:rPr>
          <w:rFonts w:ascii="Arial" w:cs="Arial" w:eastAsia="Arial" w:hAnsi="Arial"/>
          <w:sz w:val="15"/>
          <w:szCs w:val="15"/>
          <w:color w:val="auto"/>
        </w:rPr>
        <w:t>Page 3 of 7 Pages</w:t>
      </w:r>
    </w:p>
    <w:p>
      <w:pPr>
        <w:spacing w:after="0" w:line="22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Canada GEN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right="7240" w:hanging="452"/>
        <w:spacing w:after="0" w:line="389"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200" w:hanging="450"/>
        <w:spacing w:after="0"/>
        <w:tabs>
          <w:tab w:leader="none" w:pos="32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5"/>
        </w:trPr>
        <w:tc>
          <w:tcPr>
            <w:tcW w:w="194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b w:val="1"/>
                <w:bCs w:val="1"/>
                <w:color w:val="auto"/>
                <w:w w:val="79"/>
              </w:rPr>
              <w:t>6</w:t>
            </w:r>
          </w:p>
        </w:tc>
        <w:tc>
          <w:tcPr>
            <w:tcW w:w="8400" w:type="dxa"/>
            <w:vAlign w:val="bottom"/>
          </w:tcPr>
          <w:p>
            <w:pPr>
              <w:ind w:left="1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Shares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73,389,831</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Beneficially</w:t>
            </w:r>
          </w:p>
        </w:tc>
        <w:tc>
          <w:tcPr>
            <w:tcW w:w="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Owned by</w:t>
            </w:r>
          </w:p>
        </w:tc>
        <w:tc>
          <w:tcPr>
            <w:tcW w:w="800" w:type="dxa"/>
            <w:vAlign w:val="bottom"/>
          </w:tcPr>
          <w:p>
            <w:pPr>
              <w:spacing w:after="0"/>
              <w:rPr>
                <w:sz w:val="17"/>
                <w:szCs w:val="17"/>
                <w:color w:val="auto"/>
              </w:rPr>
            </w:pPr>
          </w:p>
        </w:tc>
        <w:tc>
          <w:tcPr>
            <w:tcW w:w="280" w:type="dxa"/>
            <w:vAlign w:val="bottom"/>
          </w:tcPr>
          <w:p>
            <w:pPr>
              <w:jc w:val="right"/>
              <w:ind w:right="90"/>
              <w:spacing w:after="0" w:line="201" w:lineRule="exact"/>
              <w:rPr>
                <w:sz w:val="20"/>
                <w:szCs w:val="20"/>
                <w:color w:val="auto"/>
              </w:rPr>
            </w:pPr>
            <w:r>
              <w:rPr>
                <w:rFonts w:ascii="Arial" w:cs="Arial" w:eastAsia="Arial" w:hAnsi="Arial"/>
                <w:sz w:val="18"/>
                <w:szCs w:val="18"/>
                <w:b w:val="1"/>
                <w:bCs w:val="1"/>
                <w:color w:val="auto"/>
                <w:w w:val="79"/>
              </w:rPr>
              <w:t>7</w:t>
            </w:r>
          </w:p>
        </w:tc>
        <w:tc>
          <w:tcPr>
            <w:tcW w:w="8400" w:type="dxa"/>
            <w:vAlign w:val="bottom"/>
          </w:tcPr>
          <w:p>
            <w:pPr>
              <w:ind w:left="18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Each Reporting</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73,389,831</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Person With</w:t>
            </w:r>
          </w:p>
        </w:tc>
        <w:tc>
          <w:tcPr>
            <w:tcW w:w="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8</w:t>
            </w:r>
          </w:p>
        </w:tc>
        <w:tc>
          <w:tcPr>
            <w:tcW w:w="84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73,389,831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4.6%</w:t>
      </w:r>
    </w:p>
    <w:p>
      <w:pPr>
        <w:spacing w:after="0" w:line="40" w:lineRule="exact"/>
        <w:rPr>
          <w:rFonts w:ascii="Arial" w:cs="Arial" w:eastAsia="Arial" w:hAnsi="Arial"/>
          <w:sz w:val="18"/>
          <w:szCs w:val="18"/>
          <w:b w:val="1"/>
          <w:bCs w:val="1"/>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580" w:type="dxa"/>
            <w:vAlign w:val="bottom"/>
            <w:gridSpan w:val="20"/>
          </w:tcPr>
          <w:p>
            <w:pPr>
              <w:spacing w:after="0"/>
              <w:rPr>
                <w:sz w:val="20"/>
                <w:szCs w:val="20"/>
                <w:color w:val="auto"/>
              </w:rPr>
            </w:pPr>
            <w:r>
              <w:rPr>
                <w:rFonts w:ascii="Arial" w:cs="Arial" w:eastAsia="Arial" w:hAnsi="Arial"/>
                <w:sz w:val="18"/>
                <w:szCs w:val="18"/>
                <w:color w:val="auto"/>
              </w:rPr>
              <w:t>CUSIP No. 37045V100</w:t>
            </w:r>
          </w:p>
        </w:tc>
        <w:tc>
          <w:tcPr>
            <w:tcW w:w="1840" w:type="dxa"/>
            <w:vAlign w:val="bottom"/>
            <w:gridSpan w:val="2"/>
          </w:tcPr>
          <w:p>
            <w:pPr>
              <w:ind w:left="560"/>
              <w:spacing w:after="0"/>
              <w:rPr>
                <w:sz w:val="20"/>
                <w:szCs w:val="20"/>
                <w:color w:val="auto"/>
              </w:rPr>
            </w:pPr>
            <w:r>
              <w:rPr>
                <w:rFonts w:ascii="Arial" w:cs="Arial" w:eastAsia="Arial" w:hAnsi="Arial"/>
                <w:sz w:val="18"/>
                <w:szCs w:val="18"/>
                <w:color w:val="auto"/>
                <w:w w:val="85"/>
              </w:rPr>
              <w:t>Page 4 of 7 Pages</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1(a).</w:t>
            </w:r>
          </w:p>
        </w:tc>
        <w:tc>
          <w:tcPr>
            <w:tcW w:w="8280" w:type="dxa"/>
            <w:vAlign w:val="bottom"/>
            <w:gridSpan w:val="19"/>
          </w:tcPr>
          <w:p>
            <w:pPr>
              <w:spacing w:after="0"/>
              <w:rPr>
                <w:sz w:val="20"/>
                <w:szCs w:val="20"/>
                <w:color w:val="auto"/>
              </w:rPr>
            </w:pPr>
            <w:r>
              <w:rPr>
                <w:rFonts w:ascii="Arial" w:cs="Arial" w:eastAsia="Arial" w:hAnsi="Arial"/>
                <w:sz w:val="18"/>
                <w:szCs w:val="18"/>
                <w:color w:val="auto"/>
              </w:rPr>
              <w:t>Name of Issuer</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1300" w:type="dxa"/>
            <w:vAlign w:val="bottom"/>
          </w:tcPr>
          <w:p>
            <w:pPr>
              <w:spacing w:after="0"/>
              <w:rPr>
                <w:sz w:val="24"/>
                <w:szCs w:val="24"/>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auto"/>
              </w:rPr>
              <w:t>General Motors Company (the “Company”)</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Item 1(b).</w:t>
            </w:r>
          </w:p>
        </w:tc>
        <w:tc>
          <w:tcPr>
            <w:tcW w:w="8280" w:type="dxa"/>
            <w:vAlign w:val="bottom"/>
            <w:gridSpan w:val="19"/>
          </w:tcPr>
          <w:p>
            <w:pPr>
              <w:spacing w:after="0"/>
              <w:rPr>
                <w:sz w:val="20"/>
                <w:szCs w:val="20"/>
                <w:color w:val="auto"/>
              </w:rPr>
            </w:pPr>
            <w:r>
              <w:rPr>
                <w:rFonts w:ascii="Arial" w:cs="Arial" w:eastAsia="Arial" w:hAnsi="Arial"/>
                <w:sz w:val="18"/>
                <w:szCs w:val="18"/>
                <w:color w:val="auto"/>
              </w:rPr>
              <w:t>Address of Issuer’s Principal Executive Offices</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342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300 Renaissance Center</w:t>
            </w:r>
          </w:p>
        </w:tc>
        <w:tc>
          <w:tcPr>
            <w:tcW w:w="486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auto"/>
              </w:rPr>
              <w:t>Detroit, Michigan 48265-3000</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2(a).</w:t>
            </w: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Name of Person Filing</w:t>
            </w:r>
          </w:p>
        </w:tc>
        <w:tc>
          <w:tcPr>
            <w:tcW w:w="6640" w:type="dxa"/>
            <w:vAlign w:val="bottom"/>
            <w:gridSpan w:val="14"/>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2"/>
        </w:trPr>
        <w:tc>
          <w:tcPr>
            <w:tcW w:w="1300" w:type="dxa"/>
            <w:vAlign w:val="bottom"/>
          </w:tcPr>
          <w:p>
            <w:pPr>
              <w:spacing w:after="0"/>
              <w:rPr>
                <w:sz w:val="24"/>
                <w:szCs w:val="24"/>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auto"/>
              </w:rPr>
              <w:t>Canada Development Investment Corporation (“CDEV”)</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8280" w:type="dxa"/>
            <w:vAlign w:val="bottom"/>
            <w:gridSpan w:val="19"/>
          </w:tcPr>
          <w:p>
            <w:pPr>
              <w:spacing w:after="0" w:line="196" w:lineRule="exact"/>
              <w:rPr>
                <w:sz w:val="20"/>
                <w:szCs w:val="20"/>
                <w:color w:val="auto"/>
              </w:rPr>
            </w:pPr>
            <w:r>
              <w:rPr>
                <w:rFonts w:ascii="Arial" w:cs="Arial" w:eastAsia="Arial" w:hAnsi="Arial"/>
                <w:sz w:val="18"/>
                <w:szCs w:val="18"/>
                <w:color w:val="auto"/>
              </w:rPr>
              <w:t>Canada GEN Investment Corporation (“Canada GEN”)</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8"/>
        </w:trPr>
        <w:tc>
          <w:tcPr>
            <w:tcW w:w="1300" w:type="dxa"/>
            <w:vAlign w:val="bottom"/>
          </w:tcPr>
          <w:p>
            <w:pPr>
              <w:spacing w:after="0"/>
              <w:rPr>
                <w:sz w:val="24"/>
                <w:szCs w:val="24"/>
                <w:color w:val="auto"/>
              </w:rPr>
            </w:pPr>
          </w:p>
        </w:tc>
        <w:tc>
          <w:tcPr>
            <w:tcW w:w="10120" w:type="dxa"/>
            <w:vAlign w:val="bottom"/>
            <w:gridSpan w:val="21"/>
          </w:tcPr>
          <w:p>
            <w:pPr>
              <w:spacing w:after="0"/>
              <w:rPr>
                <w:sz w:val="20"/>
                <w:szCs w:val="20"/>
                <w:color w:val="auto"/>
              </w:rPr>
            </w:pPr>
            <w:r>
              <w:rPr>
                <w:rFonts w:ascii="Arial" w:cs="Arial" w:eastAsia="Arial" w:hAnsi="Arial"/>
                <w:sz w:val="18"/>
                <w:szCs w:val="18"/>
                <w:color w:val="auto"/>
                <w:w w:val="91"/>
              </w:rPr>
              <w:t>Canada GEN is a wholly-owned subsidiary of CDEV and the direct owner and record holder of the reported securities. CDEV is an indirect</w:t>
            </w:r>
          </w:p>
        </w:tc>
      </w:tr>
      <w:tr>
        <w:trPr>
          <w:trHeight w:val="216"/>
        </w:trPr>
        <w:tc>
          <w:tcPr>
            <w:tcW w:w="1300" w:type="dxa"/>
            <w:vAlign w:val="bottom"/>
          </w:tcPr>
          <w:p>
            <w:pPr>
              <w:spacing w:after="0"/>
              <w:rPr>
                <w:sz w:val="18"/>
                <w:szCs w:val="18"/>
                <w:color w:val="auto"/>
              </w:rPr>
            </w:pPr>
          </w:p>
        </w:tc>
        <w:tc>
          <w:tcPr>
            <w:tcW w:w="10120" w:type="dxa"/>
            <w:vAlign w:val="bottom"/>
            <w:gridSpan w:val="21"/>
          </w:tcPr>
          <w:p>
            <w:pPr>
              <w:spacing w:after="0"/>
              <w:rPr>
                <w:sz w:val="20"/>
                <w:szCs w:val="20"/>
                <w:color w:val="auto"/>
              </w:rPr>
            </w:pPr>
            <w:r>
              <w:rPr>
                <w:rFonts w:ascii="Arial" w:cs="Arial" w:eastAsia="Arial" w:hAnsi="Arial"/>
                <w:sz w:val="18"/>
                <w:szCs w:val="18"/>
                <w:color w:val="auto"/>
                <w:w w:val="95"/>
              </w:rPr>
              <w:t>beneficial owner of the reported securities. CDEV is a Canadian federal Crown corporation, meaning that it is a business corporation</w:t>
            </w:r>
          </w:p>
        </w:tc>
      </w:tr>
      <w:tr>
        <w:trPr>
          <w:trHeight w:val="190"/>
        </w:trPr>
        <w:tc>
          <w:tcPr>
            <w:tcW w:w="1300" w:type="dxa"/>
            <w:vAlign w:val="bottom"/>
          </w:tcPr>
          <w:p>
            <w:pPr>
              <w:spacing w:after="0"/>
              <w:rPr>
                <w:sz w:val="16"/>
                <w:szCs w:val="16"/>
                <w:color w:val="auto"/>
              </w:rPr>
            </w:pPr>
          </w:p>
        </w:tc>
        <w:tc>
          <w:tcPr>
            <w:tcW w:w="10120" w:type="dxa"/>
            <w:vAlign w:val="bottom"/>
            <w:gridSpan w:val="21"/>
          </w:tcPr>
          <w:p>
            <w:pPr>
              <w:spacing w:after="0" w:line="190" w:lineRule="exact"/>
              <w:rPr>
                <w:sz w:val="20"/>
                <w:szCs w:val="20"/>
                <w:color w:val="auto"/>
              </w:rPr>
            </w:pPr>
            <w:r>
              <w:rPr>
                <w:rFonts w:ascii="Arial" w:cs="Arial" w:eastAsia="Arial" w:hAnsi="Arial"/>
                <w:sz w:val="18"/>
                <w:szCs w:val="18"/>
                <w:color w:val="auto"/>
                <w:w w:val="96"/>
              </w:rPr>
              <w:t>established under the Canada Business Corporations Act, owned by the federal Government of Canada (“Government of Canada”).</w:t>
            </w: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Item 2(b).</w:t>
            </w:r>
          </w:p>
        </w:tc>
        <w:tc>
          <w:tcPr>
            <w:tcW w:w="7580" w:type="dxa"/>
            <w:vAlign w:val="bottom"/>
            <w:gridSpan w:val="17"/>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700" w:type="dxa"/>
            <w:vAlign w:val="bottom"/>
            <w:tcBorders>
              <w:top w:val="single" w:sz="8" w:color="auto"/>
            </w:tcBorders>
            <w:gridSpan w:val="2"/>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428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rPr>
              <w:t>(i)  Canada Development Investment Corporation</w:t>
            </w:r>
          </w:p>
        </w:tc>
        <w:tc>
          <w:tcPr>
            <w:tcW w:w="4000" w:type="dxa"/>
            <w:vAlign w:val="bottom"/>
            <w:gridSpan w:val="4"/>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8280" w:type="dxa"/>
            <w:vAlign w:val="bottom"/>
            <w:gridSpan w:val="19"/>
          </w:tcPr>
          <w:p>
            <w:pPr>
              <w:ind w:left="320"/>
              <w:spacing w:after="0"/>
              <w:rPr>
                <w:sz w:val="20"/>
                <w:szCs w:val="20"/>
                <w:color w:val="auto"/>
              </w:rPr>
            </w:pPr>
            <w:r>
              <w:rPr>
                <w:rFonts w:ascii="Arial" w:cs="Arial" w:eastAsia="Arial" w:hAnsi="Arial"/>
                <w:sz w:val="18"/>
                <w:szCs w:val="18"/>
                <w:color w:val="auto"/>
              </w:rPr>
              <w:t>1240 Bay Street, Suite 302</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8280" w:type="dxa"/>
            <w:vAlign w:val="bottom"/>
            <w:gridSpan w:val="19"/>
          </w:tcPr>
          <w:p>
            <w:pPr>
              <w:ind w:left="320"/>
              <w:spacing w:after="0"/>
              <w:rPr>
                <w:sz w:val="20"/>
                <w:szCs w:val="20"/>
                <w:color w:val="auto"/>
              </w:rPr>
            </w:pPr>
            <w:r>
              <w:rPr>
                <w:rFonts w:ascii="Arial" w:cs="Arial" w:eastAsia="Arial" w:hAnsi="Arial"/>
                <w:sz w:val="18"/>
                <w:szCs w:val="18"/>
                <w:color w:val="auto"/>
              </w:rPr>
              <w:t>Toronto, Ontario M5R 2A7</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auto"/>
              </w:rPr>
              <w:t>(ii) Canada GEN Investment Corporation</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8280" w:type="dxa"/>
            <w:vAlign w:val="bottom"/>
            <w:gridSpan w:val="19"/>
          </w:tcPr>
          <w:p>
            <w:pPr>
              <w:ind w:left="320"/>
              <w:spacing w:after="0"/>
              <w:rPr>
                <w:sz w:val="20"/>
                <w:szCs w:val="20"/>
                <w:color w:val="auto"/>
              </w:rPr>
            </w:pPr>
            <w:r>
              <w:rPr>
                <w:rFonts w:ascii="Arial" w:cs="Arial" w:eastAsia="Arial" w:hAnsi="Arial"/>
                <w:sz w:val="18"/>
                <w:szCs w:val="18"/>
                <w:color w:val="auto"/>
              </w:rPr>
              <w:t>1240 Bay Street, Suite 302</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8280" w:type="dxa"/>
            <w:vAlign w:val="bottom"/>
            <w:gridSpan w:val="19"/>
          </w:tcPr>
          <w:p>
            <w:pPr>
              <w:ind w:left="320"/>
              <w:spacing w:after="0"/>
              <w:rPr>
                <w:sz w:val="20"/>
                <w:szCs w:val="20"/>
                <w:color w:val="auto"/>
              </w:rPr>
            </w:pPr>
            <w:r>
              <w:rPr>
                <w:rFonts w:ascii="Arial" w:cs="Arial" w:eastAsia="Arial" w:hAnsi="Arial"/>
                <w:sz w:val="18"/>
                <w:szCs w:val="18"/>
                <w:color w:val="auto"/>
              </w:rPr>
              <w:t>Toronto, Ontario M5R 2A7</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2(c).</w:t>
            </w:r>
          </w:p>
        </w:tc>
        <w:tc>
          <w:tcPr>
            <w:tcW w:w="8280" w:type="dxa"/>
            <w:vAlign w:val="bottom"/>
            <w:gridSpan w:val="19"/>
          </w:tcPr>
          <w:p>
            <w:pPr>
              <w:spacing w:after="0"/>
              <w:rPr>
                <w:sz w:val="20"/>
                <w:szCs w:val="20"/>
                <w:color w:val="auto"/>
              </w:rPr>
            </w:pPr>
            <w:r>
              <w:rPr>
                <w:rFonts w:ascii="Arial" w:cs="Arial" w:eastAsia="Arial" w:hAnsi="Arial"/>
                <w:sz w:val="18"/>
                <w:szCs w:val="18"/>
                <w:color w:val="auto"/>
              </w:rPr>
              <w:t>Citizenship</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Canada</w:t>
            </w:r>
          </w:p>
        </w:tc>
        <w:tc>
          <w:tcPr>
            <w:tcW w:w="7460" w:type="dxa"/>
            <w:vAlign w:val="bottom"/>
            <w:gridSpan w:val="17"/>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19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Title of Class of Securities</w:t>
            </w:r>
          </w:p>
        </w:tc>
        <w:tc>
          <w:tcPr>
            <w:tcW w:w="6360" w:type="dxa"/>
            <w:vAlign w:val="bottom"/>
            <w:gridSpan w:val="13"/>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2"/>
        </w:trPr>
        <w:tc>
          <w:tcPr>
            <w:tcW w:w="1300" w:type="dxa"/>
            <w:vAlign w:val="bottom"/>
          </w:tcPr>
          <w:p>
            <w:pPr>
              <w:spacing w:after="0"/>
              <w:rPr>
                <w:sz w:val="24"/>
                <w:szCs w:val="24"/>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auto"/>
              </w:rPr>
              <w:t>Common Stock, $0.01 par value per share (“Common Stock”)</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Item 2(e).</w:t>
            </w:r>
          </w:p>
        </w:tc>
        <w:tc>
          <w:tcPr>
            <w:tcW w:w="3220" w:type="dxa"/>
            <w:vAlign w:val="bottom"/>
            <w:gridSpan w:val="10"/>
          </w:tcPr>
          <w:p>
            <w:pPr>
              <w:spacing w:after="0"/>
              <w:rPr>
                <w:sz w:val="20"/>
                <w:szCs w:val="20"/>
                <w:color w:val="auto"/>
              </w:rPr>
            </w:pPr>
            <w:r>
              <w:rPr>
                <w:rFonts w:ascii="Arial" w:cs="Arial" w:eastAsia="Arial" w:hAnsi="Arial"/>
                <w:sz w:val="18"/>
                <w:szCs w:val="18"/>
                <w:color w:val="auto"/>
              </w:rPr>
              <w:t>CUSIP Number</w:t>
            </w:r>
          </w:p>
        </w:tc>
        <w:tc>
          <w:tcPr>
            <w:tcW w:w="1120" w:type="dxa"/>
            <w:vAlign w:val="bottom"/>
            <w:tcBorders>
              <w:top w:val="single" w:sz="8" w:color="auto"/>
            </w:tcBorders>
            <w:gridSpan w:val="6"/>
          </w:tcPr>
          <w:p>
            <w:pPr>
              <w:spacing w:after="0"/>
              <w:rPr>
                <w:sz w:val="24"/>
                <w:szCs w:val="24"/>
                <w:color w:val="auto"/>
              </w:rPr>
            </w:pPr>
          </w:p>
        </w:tc>
        <w:tc>
          <w:tcPr>
            <w:tcW w:w="3940" w:type="dxa"/>
            <w:vAlign w:val="bottom"/>
            <w:gridSpan w:val="3"/>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1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37045V100</w:t>
            </w:r>
          </w:p>
        </w:tc>
        <w:tc>
          <w:tcPr>
            <w:tcW w:w="7140" w:type="dxa"/>
            <w:vAlign w:val="bottom"/>
            <w:gridSpan w:val="15"/>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3.</w:t>
            </w:r>
          </w:p>
        </w:tc>
        <w:tc>
          <w:tcPr>
            <w:tcW w:w="774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91"/>
              </w:rPr>
              <w:t>If this statement is filed pursuant to Rules 13d-1(b), or 13d-2(b) or (c), check whether the person filing is a:</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auto"/>
              </w:rPr>
              <w:t>Not applicable.</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Ownership</w:t>
            </w:r>
          </w:p>
        </w:tc>
        <w:tc>
          <w:tcPr>
            <w:tcW w:w="7480" w:type="dxa"/>
            <w:vAlign w:val="bottom"/>
            <w:gridSpan w:val="18"/>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auto"/>
              </w:rPr>
              <w:t>(a)  Amount Beneficially Owned:</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2" w:lineRule="exact"/>
        <w:rPr>
          <w:sz w:val="20"/>
          <w:szCs w:val="20"/>
          <w:color w:val="auto"/>
        </w:rPr>
      </w:pPr>
    </w:p>
    <w:p>
      <w:pPr>
        <w:ind w:left="1620" w:right="180"/>
        <w:spacing w:after="0" w:line="308" w:lineRule="auto"/>
        <w:rPr>
          <w:sz w:val="20"/>
          <w:szCs w:val="20"/>
          <w:color w:val="auto"/>
        </w:rPr>
      </w:pPr>
      <w:r>
        <w:rPr>
          <w:rFonts w:ascii="Arial" w:cs="Arial" w:eastAsia="Arial" w:hAnsi="Arial"/>
          <w:sz w:val="17"/>
          <w:szCs w:val="17"/>
          <w:color w:val="auto"/>
        </w:rPr>
        <w:t>Canada GEN is the direct owner and record holder of 73,389,831 shares of Common Stock. CDEV is the sole shareholder of Canada GEN and may be deemed to have beneficial ownership of the Common Stock owned by Canada 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spacing w:after="0"/>
        <w:tabs>
          <w:tab w:leader="none" w:pos="10120" w:val="left"/>
        </w:tabs>
        <w:rPr>
          <w:sz w:val="20"/>
          <w:szCs w:val="20"/>
          <w:color w:val="auto"/>
        </w:rPr>
      </w:pPr>
      <w:r>
        <w:rPr>
          <w:rFonts w:ascii="Arial" w:cs="Arial" w:eastAsia="Arial" w:hAnsi="Arial"/>
          <w:sz w:val="18"/>
          <w:szCs w:val="18"/>
          <w:color w:val="auto"/>
        </w:rPr>
        <w:t>CUSIP No. 37045V100</w:t>
      </w:r>
      <w:r>
        <w:rPr>
          <w:sz w:val="20"/>
          <w:szCs w:val="20"/>
          <w:color w:val="auto"/>
        </w:rPr>
        <w:tab/>
      </w:r>
      <w:r>
        <w:rPr>
          <w:rFonts w:ascii="Arial" w:cs="Arial" w:eastAsia="Arial" w:hAnsi="Arial"/>
          <w:sz w:val="15"/>
          <w:szCs w:val="15"/>
          <w:color w:val="auto"/>
        </w:rPr>
        <w:t>Page 5 of 7 Pages</w:t>
      </w:r>
    </w:p>
    <w:p>
      <w:pPr>
        <w:spacing w:after="0" w:line="225" w:lineRule="exact"/>
        <w:rPr>
          <w:sz w:val="20"/>
          <w:szCs w:val="20"/>
          <w:color w:val="auto"/>
        </w:rPr>
      </w:pPr>
    </w:p>
    <w:p>
      <w:pPr>
        <w:ind w:left="1620" w:hanging="315"/>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See Item 11 on pages 2 and 3.</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080" w:right="6520" w:hanging="451"/>
        <w:spacing w:after="0" w:line="501"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on pages 2 and 3.</w:t>
      </w:r>
    </w:p>
    <w:p>
      <w:pPr>
        <w:ind w:left="2080" w:right="6340" w:hanging="451"/>
        <w:spacing w:after="0" w:line="501"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on pages 2 and 3.</w:t>
      </w:r>
    </w:p>
    <w:p>
      <w:pPr>
        <w:ind w:left="2080" w:right="5620" w:hanging="451"/>
        <w:spacing w:after="0" w:line="501"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on pages 2 and 3.</w:t>
      </w:r>
    </w:p>
    <w:p>
      <w:pPr>
        <w:ind w:left="2080" w:right="5440" w:hanging="451"/>
        <w:spacing w:after="0" w:line="501"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on pages 2 and 3.</w:t>
      </w: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p>
    <w:p>
      <w:pPr>
        <w:spacing w:after="0" w:line="225" w:lineRule="exact"/>
        <w:rPr>
          <w:sz w:val="20"/>
          <w:szCs w:val="20"/>
          <w:color w:val="auto"/>
        </w:rPr>
      </w:pPr>
    </w:p>
    <w:p>
      <w:pPr>
        <w:ind w:left="1300" w:right="120"/>
        <w:spacing w:after="0" w:line="286" w:lineRule="auto"/>
        <w:rPr>
          <w:sz w:val="20"/>
          <w:szCs w:val="20"/>
          <w:color w:val="auto"/>
        </w:rPr>
      </w:pPr>
      <w:r>
        <w:rPr>
          <w:rFonts w:ascii="Arial" w:cs="Arial" w:eastAsia="Arial" w:hAnsi="Arial"/>
          <w:sz w:val="17"/>
          <w:szCs w:val="17"/>
          <w:color w:val="auto"/>
        </w:rPr>
        <w:t>The arrangement between the Government of Canada and the Province of Ontario, pursuant to which the Government of Canada was committed to provide the Province of Ontario with one-third of the net proceeds from the sale of any Common Stock held by Canada GEN and one-third of any dividends received by Canada GEN, less certain costs, has been terminated.</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225" w:lineRule="exact"/>
        <w:rPr>
          <w:sz w:val="20"/>
          <w:szCs w:val="20"/>
          <w:color w:val="auto"/>
        </w:rPr>
      </w:pPr>
    </w:p>
    <w:p>
      <w:pPr>
        <w:ind w:left="1300" w:right="120"/>
        <w:spacing w:after="0" w:line="257" w:lineRule="auto"/>
        <w:rPr>
          <w:sz w:val="20"/>
          <w:szCs w:val="20"/>
          <w:color w:val="auto"/>
        </w:rPr>
      </w:pPr>
      <w:r>
        <w:rPr>
          <w:rFonts w:ascii="Arial" w:cs="Arial" w:eastAsia="Arial" w:hAnsi="Arial"/>
          <w:sz w:val="18"/>
          <w:szCs w:val="18"/>
          <w:color w:val="auto"/>
        </w:rPr>
        <w:t>Canada GEN is a party to a Stockholders Agreement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dated as of October 15, 2009, by and among the Company, the United States Department of the Treasury (“</w:t>
      </w:r>
      <w:r>
        <w:rPr>
          <w:rFonts w:ascii="Arial" w:cs="Arial" w:eastAsia="Arial" w:hAnsi="Arial"/>
          <w:sz w:val="18"/>
          <w:szCs w:val="18"/>
          <w:u w:val="single" w:color="auto"/>
          <w:color w:val="auto"/>
        </w:rPr>
        <w:t>UST</w:t>
      </w:r>
      <w:r>
        <w:rPr>
          <w:rFonts w:ascii="Arial" w:cs="Arial" w:eastAsia="Arial" w:hAnsi="Arial"/>
          <w:sz w:val="18"/>
          <w:szCs w:val="18"/>
          <w:color w:val="auto"/>
        </w:rPr>
        <w:t>”), 7176384 Canada Inc. (now known as Canada GEN), UAW Retiree Medical Benefits Trust (“</w:t>
      </w:r>
      <w:r>
        <w:rPr>
          <w:rFonts w:ascii="Arial" w:cs="Arial" w:eastAsia="Arial" w:hAnsi="Arial"/>
          <w:sz w:val="18"/>
          <w:szCs w:val="18"/>
          <w:u w:val="single" w:color="auto"/>
          <w:color w:val="auto"/>
        </w:rPr>
        <w:t>VEBA</w:t>
      </w:r>
      <w:r>
        <w:rPr>
          <w:rFonts w:ascii="Arial" w:cs="Arial" w:eastAsia="Arial" w:hAnsi="Arial"/>
          <w:sz w:val="18"/>
          <w:szCs w:val="18"/>
          <w:color w:val="auto"/>
        </w:rPr>
        <w:t>”) and, solely for the purposes of Section 6.20 thereof, General Motors LLC. The Stockholders Agreement is filed as Exhibit 10.8 to the Company’s current Report on Form 8-K (File No. 333-160471)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on November 16, 2009.</w:t>
      </w:r>
    </w:p>
    <w:p>
      <w:pPr>
        <w:spacing w:after="0" w:line="188" w:lineRule="exact"/>
        <w:rPr>
          <w:sz w:val="20"/>
          <w:szCs w:val="20"/>
          <w:color w:val="auto"/>
        </w:rPr>
      </w:pPr>
    </w:p>
    <w:p>
      <w:pPr>
        <w:ind w:left="1300" w:right="220"/>
        <w:spacing w:after="0" w:line="308" w:lineRule="auto"/>
        <w:rPr>
          <w:sz w:val="20"/>
          <w:szCs w:val="20"/>
          <w:color w:val="auto"/>
        </w:rPr>
      </w:pPr>
      <w:r>
        <w:rPr>
          <w:rFonts w:ascii="Arial" w:cs="Arial" w:eastAsia="Arial" w:hAnsi="Arial"/>
          <w:sz w:val="17"/>
          <w:szCs w:val="17"/>
          <w:color w:val="auto"/>
        </w:rPr>
        <w:t>The Stockholders Agreement obligates Canada GEN to vote in favor of VEBA’s nominee to the board of directors of the Company for so long as VEBA holds at least 50% of the shares of Common Stock it held in its initial investment in the Company.</w:t>
      </w:r>
    </w:p>
    <w:p>
      <w:pPr>
        <w:spacing w:after="0" w:line="147" w:lineRule="exact"/>
        <w:rPr>
          <w:sz w:val="20"/>
          <w:szCs w:val="20"/>
          <w:color w:val="auto"/>
        </w:rPr>
      </w:pPr>
    </w:p>
    <w:p>
      <w:pPr>
        <w:ind w:left="1300" w:right="140"/>
        <w:spacing w:after="0" w:line="264" w:lineRule="auto"/>
        <w:rPr>
          <w:sz w:val="20"/>
          <w:szCs w:val="20"/>
          <w:color w:val="auto"/>
        </w:rPr>
      </w:pPr>
      <w:r>
        <w:rPr>
          <w:rFonts w:ascii="Arial" w:cs="Arial" w:eastAsia="Arial" w:hAnsi="Arial"/>
          <w:sz w:val="18"/>
          <w:szCs w:val="18"/>
          <w:color w:val="auto"/>
        </w:rPr>
        <w:t>The Stockholders Agreement also prohibits Canada GEN and VEBA from transferring all or any portion of their Common Stock without the consent of the Company’s board of directors to either (i) any person or group who would thereafter beneficially own more than 10% of the Common Stock, or (ii) any automotive vehicle manufacturer or affiliate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spacing w:after="0"/>
        <w:tabs>
          <w:tab w:leader="none" w:pos="10120" w:val="left"/>
        </w:tabs>
        <w:rPr>
          <w:sz w:val="20"/>
          <w:szCs w:val="20"/>
          <w:color w:val="auto"/>
        </w:rPr>
      </w:pPr>
      <w:r>
        <w:rPr>
          <w:rFonts w:ascii="Arial" w:cs="Arial" w:eastAsia="Arial" w:hAnsi="Arial"/>
          <w:sz w:val="18"/>
          <w:szCs w:val="18"/>
          <w:color w:val="auto"/>
        </w:rPr>
        <w:t>CUSIP No. 37045V100</w:t>
      </w:r>
      <w:r>
        <w:rPr>
          <w:sz w:val="20"/>
          <w:szCs w:val="20"/>
          <w:color w:val="auto"/>
        </w:rPr>
        <w:tab/>
      </w:r>
      <w:r>
        <w:rPr>
          <w:rFonts w:ascii="Arial" w:cs="Arial" w:eastAsia="Arial" w:hAnsi="Arial"/>
          <w:sz w:val="15"/>
          <w:szCs w:val="15"/>
          <w:color w:val="auto"/>
        </w:rPr>
        <w:t>Page 6 of 7 Pages</w:t>
      </w:r>
    </w:p>
    <w:p>
      <w:pPr>
        <w:spacing w:after="0" w:line="225" w:lineRule="exact"/>
        <w:rPr>
          <w:sz w:val="20"/>
          <w:szCs w:val="20"/>
          <w:color w:val="auto"/>
        </w:rPr>
      </w:pPr>
    </w:p>
    <w:p>
      <w:pPr>
        <w:ind w:left="1300" w:right="240"/>
        <w:spacing w:after="0" w:line="302" w:lineRule="auto"/>
        <w:rPr>
          <w:sz w:val="20"/>
          <w:szCs w:val="20"/>
          <w:color w:val="auto"/>
        </w:rPr>
      </w:pPr>
      <w:r>
        <w:rPr>
          <w:rFonts w:ascii="Arial" w:cs="Arial" w:eastAsia="Arial" w:hAnsi="Arial"/>
          <w:sz w:val="16"/>
          <w:szCs w:val="16"/>
          <w:color w:val="auto"/>
        </w:rPr>
        <w:t>Canada GEN and VEBA (based on VEBA’s Schedule 13G filings with the SEC) collectively have beneficial ownership of 213,539,831 shares of Common Stock. This represents 13.3% of the outstanding Common Stock based on a total of 1,606,696,287 shares of Common Stock outstanding. The Common Stock ownership reported by Canada GEN does not include any Common Stock owned by the other parties to the Stockholders Agreement, except to the extent already disclosed in this Schedule 13G.</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u w:val="single" w:color="auto"/>
          <w:color w:val="auto"/>
        </w:rPr>
        <w:t>Certifications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CUSIP No. 37045V100</w:t>
            </w:r>
          </w:p>
        </w:tc>
        <w:tc>
          <w:tcPr>
            <w:tcW w:w="29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0" w:type="dxa"/>
            <w:vAlign w:val="bottom"/>
          </w:tcPr>
          <w:p>
            <w:pPr>
              <w:ind w:left="320"/>
              <w:spacing w:after="0"/>
              <w:rPr>
                <w:sz w:val="20"/>
                <w:szCs w:val="20"/>
                <w:color w:val="auto"/>
              </w:rPr>
            </w:pPr>
            <w:r>
              <w:rPr>
                <w:rFonts w:ascii="Arial" w:cs="Arial" w:eastAsia="Arial" w:hAnsi="Arial"/>
                <w:sz w:val="18"/>
                <w:szCs w:val="18"/>
                <w:color w:val="auto"/>
                <w:w w:val="85"/>
              </w:rPr>
              <w:t>Page 7 of 7 Pages</w:t>
            </w:r>
          </w:p>
        </w:tc>
      </w:tr>
      <w:tr>
        <w:trPr>
          <w:trHeight w:val="432"/>
        </w:trPr>
        <w:tc>
          <w:tcPr>
            <w:tcW w:w="3160" w:type="dxa"/>
            <w:vAlign w:val="bottom"/>
          </w:tcPr>
          <w:p>
            <w:pPr>
              <w:spacing w:after="0"/>
              <w:rPr>
                <w:sz w:val="24"/>
                <w:szCs w:val="24"/>
                <w:color w:val="auto"/>
              </w:rPr>
            </w:pPr>
          </w:p>
        </w:tc>
        <w:tc>
          <w:tcPr>
            <w:tcW w:w="8260" w:type="dxa"/>
            <w:vAlign w:val="bottom"/>
            <w:gridSpan w:val="3"/>
          </w:tcPr>
          <w:p>
            <w:pPr>
              <w:ind w:left="1980"/>
              <w:spacing w:after="0"/>
              <w:rPr>
                <w:sz w:val="20"/>
                <w:szCs w:val="20"/>
                <w:color w:val="auto"/>
              </w:rPr>
            </w:pPr>
            <w:r>
              <w:rPr>
                <w:rFonts w:ascii="Arial" w:cs="Arial" w:eastAsia="Arial" w:hAnsi="Arial"/>
                <w:sz w:val="18"/>
                <w:szCs w:val="18"/>
                <w:b w:val="1"/>
                <w:bCs w:val="1"/>
                <w:color w:val="auto"/>
              </w:rPr>
              <w:t>SIGNATURES</w:t>
            </w:r>
          </w:p>
        </w:tc>
      </w:tr>
      <w:tr>
        <w:trPr>
          <w:trHeight w:val="418"/>
        </w:trPr>
        <w:tc>
          <w:tcPr>
            <w:tcW w:w="11420" w:type="dxa"/>
            <w:vAlign w:val="bottom"/>
            <w:gridSpan w:val="4"/>
          </w:tcPr>
          <w:p>
            <w:pPr>
              <w:ind w:left="660"/>
              <w:spacing w:after="0"/>
              <w:rPr>
                <w:sz w:val="20"/>
                <w:szCs w:val="20"/>
                <w:color w:val="auto"/>
              </w:rPr>
            </w:pPr>
            <w:r>
              <w:rPr>
                <w:rFonts w:ascii="Arial" w:cs="Arial" w:eastAsia="Arial" w:hAnsi="Arial"/>
                <w:sz w:val="18"/>
                <w:szCs w:val="18"/>
                <w:color w:val="auto"/>
                <w:w w:val="93"/>
              </w:rPr>
              <w:t>After reasonable inquiry and to the best of my knowledge and belief, I certify that the information set forth in this statement is true, complete and</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correct.</w:t>
            </w:r>
          </w:p>
        </w:tc>
        <w:tc>
          <w:tcPr>
            <w:tcW w:w="29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January 29, 2015</w:t>
            </w:r>
          </w:p>
        </w:tc>
        <w:tc>
          <w:tcPr>
            <w:tcW w:w="8260" w:type="dxa"/>
            <w:vAlign w:val="bottom"/>
            <w:gridSpan w:val="3"/>
          </w:tcPr>
          <w:p>
            <w:pPr>
              <w:ind w:left="1420"/>
              <w:spacing w:after="0"/>
              <w:rPr>
                <w:sz w:val="20"/>
                <w:szCs w:val="20"/>
                <w:color w:val="auto"/>
              </w:rPr>
            </w:pPr>
            <w:r>
              <w:rPr>
                <w:rFonts w:ascii="Arial" w:cs="Arial" w:eastAsia="Arial" w:hAnsi="Arial"/>
                <w:sz w:val="18"/>
                <w:szCs w:val="18"/>
                <w:b w:val="1"/>
                <w:bCs w:val="1"/>
                <w:color w:val="auto"/>
              </w:rPr>
              <w:t>CANADA GEN INVESTMENT CORPORATION</w:t>
            </w:r>
          </w:p>
        </w:tc>
      </w:tr>
      <w:tr>
        <w:trPr>
          <w:trHeight w:val="432"/>
        </w:trPr>
        <w:tc>
          <w:tcPr>
            <w:tcW w:w="3160" w:type="dxa"/>
            <w:vAlign w:val="bottom"/>
          </w:tcPr>
          <w:p>
            <w:pPr>
              <w:spacing w:after="0"/>
              <w:rPr>
                <w:sz w:val="24"/>
                <w:szCs w:val="24"/>
                <w:color w:val="auto"/>
              </w:rPr>
            </w:pPr>
          </w:p>
        </w:tc>
        <w:tc>
          <w:tcPr>
            <w:tcW w:w="2920" w:type="dxa"/>
            <w:vAlign w:val="bottom"/>
          </w:tcPr>
          <w:p>
            <w:pPr>
              <w:ind w:left="2460"/>
              <w:spacing w:after="0"/>
              <w:rPr>
                <w:sz w:val="20"/>
                <w:szCs w:val="20"/>
                <w:color w:val="auto"/>
              </w:rPr>
            </w:pPr>
            <w:r>
              <w:rPr>
                <w:rFonts w:ascii="Arial" w:cs="Arial" w:eastAsia="Arial" w:hAnsi="Arial"/>
                <w:sz w:val="18"/>
                <w:szCs w:val="18"/>
                <w:color w:val="auto"/>
              </w:rPr>
              <w:t>By:</w:t>
            </w:r>
          </w:p>
        </w:tc>
        <w:tc>
          <w:tcPr>
            <w:tcW w:w="5340" w:type="dxa"/>
            <w:vAlign w:val="bottom"/>
            <w:gridSpan w:val="2"/>
          </w:tcPr>
          <w:p>
            <w:pPr>
              <w:spacing w:after="0"/>
              <w:rPr>
                <w:sz w:val="20"/>
                <w:szCs w:val="20"/>
                <w:color w:val="auto"/>
              </w:rPr>
            </w:pPr>
            <w:r>
              <w:rPr>
                <w:rFonts w:ascii="Arial" w:cs="Arial" w:eastAsia="Arial" w:hAnsi="Arial"/>
                <w:sz w:val="18"/>
                <w:szCs w:val="18"/>
                <w:color w:val="auto"/>
              </w:rPr>
              <w:t>/s/ Michael Carter</w:t>
            </w:r>
          </w:p>
        </w:tc>
      </w:tr>
      <w:tr>
        <w:trPr>
          <w:trHeight w:val="195"/>
        </w:trPr>
        <w:tc>
          <w:tcPr>
            <w:tcW w:w="31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Michael Carter</w:t>
            </w:r>
          </w:p>
        </w:tc>
        <w:tc>
          <w:tcPr>
            <w:tcW w:w="1600" w:type="dxa"/>
            <w:vAlign w:val="bottom"/>
          </w:tcPr>
          <w:p>
            <w:pPr>
              <w:spacing w:after="0"/>
              <w:rPr>
                <w:sz w:val="16"/>
                <w:szCs w:val="16"/>
                <w:color w:val="auto"/>
              </w:rPr>
            </w:pPr>
          </w:p>
        </w:tc>
      </w:tr>
      <w:tr>
        <w:trPr>
          <w:trHeight w:val="230"/>
        </w:trPr>
        <w:tc>
          <w:tcPr>
            <w:tcW w:w="31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President</w:t>
            </w:r>
          </w:p>
        </w:tc>
      </w:tr>
      <w:tr>
        <w:trPr>
          <w:trHeight w:val="432"/>
        </w:trPr>
        <w:tc>
          <w:tcPr>
            <w:tcW w:w="3160" w:type="dxa"/>
            <w:vAlign w:val="bottom"/>
          </w:tcPr>
          <w:p>
            <w:pPr>
              <w:spacing w:after="0"/>
              <w:rPr>
                <w:sz w:val="24"/>
                <w:szCs w:val="24"/>
                <w:color w:val="auto"/>
              </w:rPr>
            </w:pPr>
          </w:p>
        </w:tc>
        <w:tc>
          <w:tcPr>
            <w:tcW w:w="8260" w:type="dxa"/>
            <w:vAlign w:val="bottom"/>
            <w:gridSpan w:val="3"/>
          </w:tcPr>
          <w:p>
            <w:pPr>
              <w:ind w:left="2460"/>
              <w:spacing w:after="0"/>
              <w:rPr>
                <w:sz w:val="20"/>
                <w:szCs w:val="20"/>
                <w:color w:val="auto"/>
              </w:rPr>
            </w:pPr>
            <w:r>
              <w:rPr>
                <w:rFonts w:ascii="Arial" w:cs="Arial" w:eastAsia="Arial" w:hAnsi="Arial"/>
                <w:sz w:val="18"/>
                <w:szCs w:val="18"/>
                <w:b w:val="1"/>
                <w:bCs w:val="1"/>
                <w:color w:val="auto"/>
              </w:rPr>
              <w:t>CANADA DEVELOPMENT INVESTMENT CORPORATION</w:t>
            </w:r>
          </w:p>
        </w:tc>
      </w:tr>
      <w:tr>
        <w:trPr>
          <w:trHeight w:val="432"/>
        </w:trPr>
        <w:tc>
          <w:tcPr>
            <w:tcW w:w="3160" w:type="dxa"/>
            <w:vAlign w:val="bottom"/>
          </w:tcPr>
          <w:p>
            <w:pPr>
              <w:spacing w:after="0"/>
              <w:rPr>
                <w:sz w:val="24"/>
                <w:szCs w:val="24"/>
                <w:color w:val="auto"/>
              </w:rPr>
            </w:pPr>
          </w:p>
        </w:tc>
        <w:tc>
          <w:tcPr>
            <w:tcW w:w="2920" w:type="dxa"/>
            <w:vAlign w:val="bottom"/>
          </w:tcPr>
          <w:p>
            <w:pPr>
              <w:ind w:left="2460"/>
              <w:spacing w:after="0"/>
              <w:rPr>
                <w:sz w:val="20"/>
                <w:szCs w:val="20"/>
                <w:color w:val="auto"/>
              </w:rPr>
            </w:pPr>
            <w:r>
              <w:rPr>
                <w:rFonts w:ascii="Arial" w:cs="Arial" w:eastAsia="Arial" w:hAnsi="Arial"/>
                <w:sz w:val="18"/>
                <w:szCs w:val="18"/>
                <w:color w:val="auto"/>
              </w:rPr>
              <w:t>By:</w:t>
            </w:r>
          </w:p>
        </w:tc>
        <w:tc>
          <w:tcPr>
            <w:tcW w:w="5340" w:type="dxa"/>
            <w:vAlign w:val="bottom"/>
            <w:gridSpan w:val="2"/>
          </w:tcPr>
          <w:p>
            <w:pPr>
              <w:spacing w:after="0"/>
              <w:rPr>
                <w:sz w:val="20"/>
                <w:szCs w:val="20"/>
                <w:color w:val="auto"/>
              </w:rPr>
            </w:pPr>
            <w:r>
              <w:rPr>
                <w:rFonts w:ascii="Arial" w:cs="Arial" w:eastAsia="Arial" w:hAnsi="Arial"/>
                <w:sz w:val="18"/>
                <w:szCs w:val="18"/>
                <w:color w:val="auto"/>
              </w:rPr>
              <w:t>/s/ Michael Carter</w:t>
            </w:r>
          </w:p>
        </w:tc>
      </w:tr>
      <w:tr>
        <w:trPr>
          <w:trHeight w:val="195"/>
        </w:trPr>
        <w:tc>
          <w:tcPr>
            <w:tcW w:w="31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Michael Carter</w:t>
            </w:r>
          </w:p>
        </w:tc>
        <w:tc>
          <w:tcPr>
            <w:tcW w:w="1600" w:type="dxa"/>
            <w:vAlign w:val="bottom"/>
          </w:tcPr>
          <w:p>
            <w:pPr>
              <w:spacing w:after="0"/>
              <w:rPr>
                <w:sz w:val="16"/>
                <w:szCs w:val="16"/>
                <w:color w:val="auto"/>
              </w:rPr>
            </w:pPr>
          </w:p>
        </w:tc>
      </w:tr>
      <w:tr>
        <w:trPr>
          <w:trHeight w:val="230"/>
        </w:trPr>
        <w:tc>
          <w:tcPr>
            <w:tcW w:w="31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Executive Vice-President</w:t>
            </w:r>
          </w:p>
        </w:tc>
      </w:tr>
      <w:tr>
        <w:trPr>
          <w:trHeight w:val="648"/>
        </w:trPr>
        <w:tc>
          <w:tcPr>
            <w:tcW w:w="3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8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2"/>
      <w:numFmt w:val="bullet"/>
      <w:start w:val="1"/>
    </w:lvl>
  </w:abstractNum>
  <w:abstractNum w:abstractNumId="4">
    <w:nsid w:val="66EF438D"/>
    <w:multiLevelType w:val="hybridMultilevel"/>
    <w:lvl w:ilvl="0">
      <w:lvlJc w:val="left"/>
      <w:lvlText w:val="3"/>
      <w:numFmt w:val="bullet"/>
      <w:start w:val="1"/>
    </w:lvl>
  </w:abstractNum>
  <w:abstractNum w:abstractNumId="5">
    <w:nsid w:val="140E0F76"/>
    <w:multiLevelType w:val="hybridMultilevel"/>
    <w:lvl w:ilvl="0">
      <w:lvlJc w:val="left"/>
      <w:lvlText w:val="4"/>
      <w:numFmt w:val="bullet"/>
      <w:start w:val="1"/>
    </w:lvl>
  </w:abstractNum>
  <w:abstractNum w:abstractNumId="6">
    <w:nsid w:val="3352255A"/>
    <w:multiLevelType w:val="hybridMultilevel"/>
    <w:lvl w:ilvl="0">
      <w:lvlJc w:val="left"/>
      <w:lvlText w:val="5"/>
      <w:numFmt w:val="bullet"/>
      <w:start w:val="1"/>
    </w:lvl>
  </w:abstractNum>
  <w:abstractNum w:abstractNumId="7">
    <w:nsid w:val="109CF92E"/>
    <w:multiLevelType w:val="hybridMultilevel"/>
    <w:lvl w:ilvl="0">
      <w:lvlJc w:val="left"/>
      <w:lvlText w:val="9"/>
      <w:numFmt w:val="bullet"/>
      <w:start w:val="1"/>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1"/>
      <w:numFmt w:val="bullet"/>
      <w:start w:val="1"/>
    </w:lvl>
  </w:abstractNum>
  <w:abstractNum w:abstractNumId="11">
    <w:nsid w:val="41A7C4C9"/>
    <w:multiLevelType w:val="hybridMultilevel"/>
    <w:lvl w:ilvl="0">
      <w:lvlJc w:val="left"/>
      <w:lvlText w:val="2"/>
      <w:numFmt w:val="bullet"/>
      <w:start w:val="1"/>
    </w:lvl>
  </w:abstractNum>
  <w:abstractNum w:abstractNumId="12">
    <w:nsid w:val="6B68079A"/>
    <w:multiLevelType w:val="hybridMultilevel"/>
    <w:lvl w:ilvl="0">
      <w:lvlJc w:val="left"/>
      <w:lvlText w:val="3"/>
      <w:numFmt w:val="bullet"/>
      <w:start w:val="1"/>
    </w:lvl>
  </w:abstractNum>
  <w:abstractNum w:abstractNumId="13">
    <w:nsid w:val="4E6AFB66"/>
    <w:multiLevelType w:val="hybridMultilevel"/>
    <w:lvl w:ilvl="0">
      <w:lvlJc w:val="left"/>
      <w:lvlText w:val="4"/>
      <w:numFmt w:val="bullet"/>
      <w:start w:val="1"/>
    </w:lvl>
  </w:abstractNum>
  <w:abstractNum w:abstractNumId="14">
    <w:nsid w:val="25E45D32"/>
    <w:multiLevelType w:val="hybridMultilevel"/>
    <w:lvl w:ilvl="0">
      <w:lvlJc w:val="left"/>
      <w:lvlText w:val="5"/>
      <w:numFmt w:val="bullet"/>
      <w:start w:val="1"/>
    </w:lvl>
  </w:abstractNum>
  <w:abstractNum w:abstractNumId="15">
    <w:nsid w:val="519B500D"/>
    <w:multiLevelType w:val="hybridMultilevel"/>
    <w:lvl w:ilvl="0">
      <w:lvlJc w:val="left"/>
      <w:lvlText w:val="9"/>
      <w:numFmt w:val="bullet"/>
      <w:start w:val="1"/>
    </w:lvl>
  </w:abstractNum>
  <w:abstractNum w:abstractNumId="16">
    <w:nsid w:val="431BD7B7"/>
    <w:multiLevelType w:val="hybridMultilevel"/>
    <w:lvl w:ilvl="0">
      <w:lvlJc w:val="left"/>
      <w:lvlText w:val="%1"/>
      <w:numFmt w:val="decimal"/>
      <w:start w:val="10"/>
    </w:lvl>
  </w:abstractNum>
  <w:abstractNum w:abstractNumId="17">
    <w:nsid w:val="3F2DBA31"/>
    <w:multiLevelType w:val="hybridMultilevel"/>
    <w:lvl w:ilvl="0">
      <w:lvlJc w:val="left"/>
      <w:lvlText w:val="%1"/>
      <w:numFmt w:val="decimal"/>
      <w:start w:val="11"/>
    </w:lvl>
  </w:abstractNum>
  <w:abstractNum w:abstractNumId="18">
    <w:nsid w:val="7C83E45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2019-12-08T22:07:59Z</dcterms:created>
  <dcterms:modified xsi:type="dcterms:W3CDTF">2019-12-08T22:07:59Z</dcterms:modified>
</cp:coreProperties>
</file>