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SCHEDULE 13G</w:t>
      </w:r>
    </w:p>
    <w:p>
      <w:pPr>
        <w:spacing w:after="0" w:line="27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(Amendment No. 1)*</w:t>
      </w:r>
    </w:p>
    <w:p>
      <w:pPr>
        <w:spacing w:after="0" w:line="265" w:lineRule="exact"/>
        <w:rPr>
          <w:sz w:val="24"/>
          <w:szCs w:val="24"/>
          <w:color w:val="auto"/>
        </w:rPr>
      </w:pPr>
    </w:p>
    <w:p>
      <w:pPr>
        <w:jc w:val="center"/>
        <w:ind w:right="-179"/>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65" w:lineRule="exact"/>
        <w:rPr>
          <w:sz w:val="24"/>
          <w:szCs w:val="24"/>
          <w:color w:val="auto"/>
        </w:rPr>
      </w:pPr>
    </w:p>
    <w:p>
      <w:pPr>
        <w:jc w:val="center"/>
        <w:ind w:right="-17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65" w:lineRule="exact"/>
        <w:rPr>
          <w:sz w:val="24"/>
          <w:szCs w:val="24"/>
          <w:color w:val="auto"/>
        </w:rPr>
      </w:pPr>
    </w:p>
    <w:p>
      <w:pPr>
        <w:jc w:val="center"/>
        <w:ind w:right="-179"/>
        <w:spacing w:after="0"/>
        <w:rPr>
          <w:sz w:val="20"/>
          <w:szCs w:val="20"/>
          <w:color w:val="auto"/>
        </w:rPr>
      </w:pPr>
      <w:r>
        <w:rPr>
          <w:rFonts w:ascii="Arial" w:cs="Arial" w:eastAsia="Arial" w:hAnsi="Arial"/>
          <w:sz w:val="18"/>
          <w:szCs w:val="18"/>
          <w:u w:val="single" w:color="auto"/>
          <w:color w:val="auto"/>
        </w:rPr>
        <w:t>37045V100</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65" w:lineRule="exact"/>
        <w:rPr>
          <w:sz w:val="24"/>
          <w:szCs w:val="24"/>
          <w:color w:val="auto"/>
        </w:rPr>
      </w:pPr>
    </w:p>
    <w:p>
      <w:pPr>
        <w:jc w:val="center"/>
        <w:ind w:right="-179"/>
        <w:spacing w:after="0"/>
        <w:rPr>
          <w:sz w:val="20"/>
          <w:szCs w:val="20"/>
          <w:color w:val="auto"/>
        </w:rPr>
      </w:pPr>
      <w:r>
        <w:rPr>
          <w:rFonts w:ascii="Arial" w:cs="Arial" w:eastAsia="Arial" w:hAnsi="Arial"/>
          <w:sz w:val="18"/>
          <w:szCs w:val="18"/>
          <w:u w:val="single" w:color="auto"/>
          <w:color w:val="auto"/>
        </w:rPr>
        <w:t>December 31, 2011</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260" w:hanging="363"/>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jc w:val="both"/>
        <w:ind w:left="900" w:right="8960" w:hanging="3"/>
        <w:spacing w:after="0" w:line="323" w:lineRule="auto"/>
        <w:tabs>
          <w:tab w:leader="none" w:pos="1267"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spacing w:after="0" w:line="16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2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585470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73" w:right="41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Canada Development Investment Corporation (see Item 2(a))</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Canada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8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BY EACH REPORTING</w:t>
            </w:r>
          </w:p>
        </w:tc>
        <w:tc>
          <w:tcPr>
            <w:tcW w:w="42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80" w:type="dxa"/>
            <w:vAlign w:val="bottom"/>
            <w:gridSpan w:val="3"/>
            <w:vMerge w:val="restart"/>
          </w:tcPr>
          <w:p>
            <w:pPr>
              <w:jc w:val="center"/>
              <w:ind w:right="360"/>
              <w:spacing w:after="0" w:line="190" w:lineRule="exact"/>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760" w:type="dxa"/>
            <w:vAlign w:val="bottom"/>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w w:val="79"/>
              </w:rPr>
              <w:t>8</w:t>
            </w:r>
          </w:p>
        </w:tc>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w w:val="87"/>
              </w:rPr>
              <w:t>140,084,746</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4"/>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56"/>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8"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8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557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Canada GEN Investment Corporation</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x</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Canada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8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BY EACH REPORTING</w:t>
            </w:r>
          </w:p>
        </w:tc>
        <w:tc>
          <w:tcPr>
            <w:tcW w:w="42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PERSON</w:t>
            </w:r>
          </w:p>
        </w:tc>
        <w:tc>
          <w:tcPr>
            <w:tcW w:w="42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140,084,746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80" w:type="dxa"/>
            <w:vAlign w:val="bottom"/>
            <w:gridSpan w:val="3"/>
            <w:vMerge w:val="restart"/>
          </w:tcPr>
          <w:p>
            <w:pPr>
              <w:jc w:val="center"/>
              <w:ind w:right="360"/>
              <w:spacing w:after="0" w:line="190" w:lineRule="exact"/>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760" w:type="dxa"/>
            <w:vAlign w:val="bottom"/>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w w:val="79"/>
              </w:rPr>
              <w:t>8</w:t>
            </w:r>
          </w:p>
        </w:tc>
        <w:tc>
          <w:tcPr>
            <w:tcW w:w="6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w w:val="87"/>
              </w:rPr>
              <w:t>140,084,746</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4"/>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4"/>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3" w:name="page4"/>
    <w:bookmarkEnd w:id="3"/>
    <w:p>
      <w:pPr>
        <w:ind w:left="20"/>
        <w:spacing w:after="0"/>
        <w:tabs>
          <w:tab w:leader="none" w:pos="498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716915</wp:posOffset>
            </wp:positionV>
            <wp:extent cx="1444625" cy="201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4625" cy="201295"/>
                    </a:xfrm>
                    <a:prstGeom prst="rect">
                      <a:avLst/>
                    </a:prstGeom>
                    <a:noFill/>
                  </pic:spPr>
                </pic:pic>
              </a:graphicData>
            </a:graphic>
          </wp:anchor>
        </w:drawing>
        <w:drawing>
          <wp:anchor simplePos="0" relativeHeight="251657728" behindDoc="1" locked="0" layoutInCell="0" allowOverlap="1">
            <wp:simplePos x="0" y="0"/>
            <wp:positionH relativeFrom="page">
              <wp:posOffset>5956935</wp:posOffset>
            </wp:positionH>
            <wp:positionV relativeFrom="page">
              <wp:posOffset>716915</wp:posOffset>
            </wp:positionV>
            <wp:extent cx="1444625" cy="201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4625" cy="20129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 4 of 8 Pages</w:t>
      </w:r>
    </w:p>
    <w:p>
      <w:pPr>
        <w:sectPr>
          <w:pgSz w:w="11900" w:h="16838" w:orient="portrait"/>
          <w:cols w:equalWidth="0" w:num="1">
            <w:col w:w="11320"/>
          </w:cols>
          <w:pgMar w:left="280" w:top="116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640" w:val="left"/>
          <w:tab w:leader="none" w:pos="110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u w:val="single" w:color="auto"/>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General Motors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65" w:lineRule="exact"/>
        <w:rPr>
          <w:sz w:val="20"/>
          <w:szCs w:val="20"/>
          <w:color w:val="auto"/>
        </w:rPr>
      </w:pPr>
    </w:p>
    <w:p>
      <w:pPr>
        <w:ind w:left="1120" w:hanging="463"/>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p>
    <w:p>
      <w:pPr>
        <w:spacing w:after="0" w:line="225" w:lineRule="exact"/>
        <w:rPr>
          <w:rFonts w:ascii="Arial" w:cs="Arial" w:eastAsia="Arial" w:hAnsi="Arial"/>
          <w:sz w:val="18"/>
          <w:szCs w:val="18"/>
          <w:color w:val="auto"/>
        </w:rPr>
      </w:pPr>
    </w:p>
    <w:p>
      <w:pPr>
        <w:ind w:left="1120" w:right="7940"/>
        <w:spacing w:after="0" w:line="308" w:lineRule="auto"/>
        <w:rPr>
          <w:rFonts w:ascii="Arial" w:cs="Arial" w:eastAsia="Arial" w:hAnsi="Arial"/>
          <w:sz w:val="18"/>
          <w:szCs w:val="18"/>
          <w:color w:val="auto"/>
        </w:rPr>
      </w:pPr>
      <w:r>
        <w:rPr>
          <w:rFonts w:ascii="Arial" w:cs="Arial" w:eastAsia="Arial" w:hAnsi="Arial"/>
          <w:sz w:val="17"/>
          <w:szCs w:val="17"/>
          <w:color w:val="auto"/>
        </w:rPr>
        <w:t>300 Renaissance Center Detroit, Michigan 48265-3000</w:t>
      </w:r>
    </w:p>
    <w:p>
      <w:pPr>
        <w:spacing w:after="0" w:line="201" w:lineRule="exact"/>
        <w:rPr>
          <w:sz w:val="20"/>
          <w:szCs w:val="20"/>
          <w:color w:val="auto"/>
        </w:rPr>
      </w:pPr>
    </w:p>
    <w:p>
      <w:pPr>
        <w:spacing w:after="0"/>
        <w:tabs>
          <w:tab w:leader="none" w:pos="640" w:val="left"/>
          <w:tab w:leader="none" w:pos="110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u w:val="single" w:color="auto"/>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Canada Development Investment Corporation (“</w:t>
      </w:r>
      <w:r>
        <w:rPr>
          <w:rFonts w:ascii="Arial" w:cs="Arial" w:eastAsia="Arial" w:hAnsi="Arial"/>
          <w:sz w:val="18"/>
          <w:szCs w:val="18"/>
          <w:u w:val="single" w:color="auto"/>
          <w:color w:val="auto"/>
        </w:rPr>
        <w:t>CDIC</w:t>
      </w:r>
      <w:r>
        <w:rPr>
          <w:rFonts w:ascii="Arial" w:cs="Arial" w:eastAsia="Arial" w:hAnsi="Arial"/>
          <w:sz w:val="18"/>
          <w:szCs w:val="18"/>
          <w:color w:val="auto"/>
        </w:rPr>
        <w:t>”)</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Canada GEN Investment Corporation (“</w:t>
      </w:r>
      <w:r>
        <w:rPr>
          <w:rFonts w:ascii="Arial" w:cs="Arial" w:eastAsia="Arial" w:hAnsi="Arial"/>
          <w:sz w:val="18"/>
          <w:szCs w:val="18"/>
          <w:u w:val="single" w:color="auto"/>
          <w:color w:val="auto"/>
        </w:rPr>
        <w:t>Canada GEN</w:t>
      </w:r>
      <w:r>
        <w:rPr>
          <w:rFonts w:ascii="Arial" w:cs="Arial" w:eastAsia="Arial" w:hAnsi="Arial"/>
          <w:sz w:val="18"/>
          <w:szCs w:val="18"/>
          <w:color w:val="auto"/>
        </w:rPr>
        <w:t>”)</w:t>
      </w:r>
    </w:p>
    <w:p>
      <w:pPr>
        <w:spacing w:after="0" w:line="211" w:lineRule="exact"/>
        <w:rPr>
          <w:sz w:val="20"/>
          <w:szCs w:val="20"/>
          <w:color w:val="auto"/>
        </w:rPr>
      </w:pPr>
    </w:p>
    <w:p>
      <w:pPr>
        <w:ind w:left="1120" w:right="200"/>
        <w:spacing w:after="0" w:line="312" w:lineRule="auto"/>
        <w:rPr>
          <w:sz w:val="20"/>
          <w:szCs w:val="20"/>
          <w:color w:val="auto"/>
        </w:rPr>
      </w:pPr>
      <w:r>
        <w:rPr>
          <w:rFonts w:ascii="Arial" w:cs="Arial" w:eastAsia="Arial" w:hAnsi="Arial"/>
          <w:sz w:val="16"/>
          <w:szCs w:val="16"/>
          <w:color w:val="auto"/>
        </w:rPr>
        <w:t>Canada GEN is a wholly-owned subsidiary of CDIC and the direct owner and record holder of the reported securities. CDIC is an indirect beneficial owner of the reported securities. CDIC is a Canadian federal Crown corporation, meaning that it is a business corporation established under the Canada Business Corporations Act, owned by the federal Government of Canada (“</w:t>
      </w:r>
      <w:r>
        <w:rPr>
          <w:rFonts w:ascii="Arial" w:cs="Arial" w:eastAsia="Arial" w:hAnsi="Arial"/>
          <w:sz w:val="16"/>
          <w:szCs w:val="16"/>
          <w:u w:val="single" w:color="auto"/>
          <w:color w:val="auto"/>
        </w:rPr>
        <w:t>Government of Canada</w:t>
      </w:r>
      <w:r>
        <w:rPr>
          <w:rFonts w:ascii="Arial" w:cs="Arial" w:eastAsia="Arial" w:hAnsi="Arial"/>
          <w:sz w:val="16"/>
          <w:szCs w:val="16"/>
          <w:color w:val="auto"/>
        </w:rPr>
        <w:t>”).</w:t>
      </w:r>
    </w:p>
    <w:p>
      <w:pPr>
        <w:spacing w:after="0" w:line="201" w:lineRule="exact"/>
        <w:rPr>
          <w:sz w:val="20"/>
          <w:szCs w:val="20"/>
          <w:color w:val="auto"/>
        </w:rPr>
      </w:pPr>
    </w:p>
    <w:p>
      <w:pPr>
        <w:ind w:left="1120" w:hanging="463"/>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p>
    <w:p>
      <w:pPr>
        <w:spacing w:after="0" w:line="225" w:lineRule="exact"/>
        <w:rPr>
          <w:rFonts w:ascii="Arial" w:cs="Arial" w:eastAsia="Arial" w:hAnsi="Arial"/>
          <w:sz w:val="18"/>
          <w:szCs w:val="18"/>
          <w:color w:val="auto"/>
        </w:rPr>
      </w:pPr>
    </w:p>
    <w:p>
      <w:pPr>
        <w:ind w:left="1400" w:right="6620" w:hanging="271"/>
        <w:spacing w:after="0" w:line="258" w:lineRule="auto"/>
        <w:tabs>
          <w:tab w:leader="none" w:pos="139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Canada Development Investment Corporation 1240 Bay Street, Suite 302</w:t>
      </w:r>
    </w:p>
    <w:p>
      <w:pPr>
        <w:spacing w:after="0" w:line="1"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Toronto, Ontario M5R 2A7</w:t>
      </w:r>
    </w:p>
    <w:p>
      <w:pPr>
        <w:spacing w:after="0" w:line="210" w:lineRule="exact"/>
        <w:rPr>
          <w:rFonts w:ascii="Arial" w:cs="Arial" w:eastAsia="Arial" w:hAnsi="Arial"/>
          <w:sz w:val="18"/>
          <w:szCs w:val="18"/>
          <w:color w:val="auto"/>
        </w:rPr>
      </w:pPr>
    </w:p>
    <w:p>
      <w:pPr>
        <w:ind w:left="1400" w:right="7220" w:hanging="271"/>
        <w:spacing w:after="0" w:line="286" w:lineRule="auto"/>
        <w:tabs>
          <w:tab w:leader="none" w:pos="1398" w:val="left"/>
        </w:tabs>
        <w:numPr>
          <w:ilvl w:val="1"/>
          <w:numId w:val="5"/>
        </w:numPr>
        <w:rPr>
          <w:rFonts w:ascii="Arial" w:cs="Arial" w:eastAsia="Arial" w:hAnsi="Arial"/>
          <w:sz w:val="17"/>
          <w:szCs w:val="17"/>
          <w:color w:val="auto"/>
        </w:rPr>
      </w:pPr>
      <w:r>
        <w:rPr>
          <w:rFonts w:ascii="Arial" w:cs="Arial" w:eastAsia="Arial" w:hAnsi="Arial"/>
          <w:sz w:val="17"/>
          <w:szCs w:val="17"/>
          <w:color w:val="auto"/>
        </w:rPr>
        <w:t>Canada GEN Investment Corporation 1240 Bay Street, Suite 302 Toronto, Ontario M5R 2A7</w:t>
      </w:r>
    </w:p>
    <w:p>
      <w:pPr>
        <w:spacing w:after="0" w:line="219" w:lineRule="exact"/>
        <w:rPr>
          <w:rFonts w:ascii="Arial" w:cs="Arial" w:eastAsia="Arial" w:hAnsi="Arial"/>
          <w:sz w:val="17"/>
          <w:szCs w:val="17"/>
          <w:color w:val="auto"/>
        </w:rPr>
      </w:pPr>
    </w:p>
    <w:p>
      <w:pPr>
        <w:ind w:left="1120" w:hanging="463"/>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CITIZENSHIP</w:t>
      </w:r>
    </w:p>
    <w:p>
      <w:pPr>
        <w:spacing w:after="0" w:line="279" w:lineRule="exact"/>
        <w:rPr>
          <w:rFonts w:ascii="Arial" w:cs="Arial" w:eastAsia="Arial" w:hAnsi="Arial"/>
          <w:sz w:val="18"/>
          <w:szCs w:val="18"/>
          <w:color w:val="auto"/>
        </w:rPr>
      </w:pPr>
    </w:p>
    <w:p>
      <w:pPr>
        <w:ind w:left="1380" w:hanging="251"/>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CDIC is a corporation organized under the laws of Canada.</w:t>
      </w:r>
    </w:p>
    <w:p>
      <w:pPr>
        <w:spacing w:after="0" w:line="225" w:lineRule="exact"/>
        <w:rPr>
          <w:rFonts w:ascii="Arial" w:cs="Arial" w:eastAsia="Arial" w:hAnsi="Arial"/>
          <w:sz w:val="18"/>
          <w:szCs w:val="18"/>
          <w:color w:val="auto"/>
        </w:rPr>
      </w:pPr>
    </w:p>
    <w:p>
      <w:pPr>
        <w:ind w:left="1400" w:hanging="271"/>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Canada GEN is a corporation organized under the laws of Canada.</w:t>
      </w:r>
    </w:p>
    <w:p>
      <w:pPr>
        <w:spacing w:after="0" w:line="279" w:lineRule="exact"/>
        <w:rPr>
          <w:rFonts w:ascii="Arial" w:cs="Arial" w:eastAsia="Arial" w:hAnsi="Arial"/>
          <w:sz w:val="18"/>
          <w:szCs w:val="18"/>
          <w:color w:val="auto"/>
        </w:rPr>
      </w:pPr>
    </w:p>
    <w:p>
      <w:pPr>
        <w:ind w:left="1120" w:hanging="463"/>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p>
    <w:p>
      <w:pPr>
        <w:spacing w:after="0" w:line="22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120" w:right="8860" w:hanging="463"/>
        <w:spacing w:after="0" w:line="563" w:lineRule="auto"/>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 xml:space="preserve">CUSIP NUMBER </w:t>
      </w:r>
      <w:r>
        <w:rPr>
          <w:rFonts w:ascii="Arial" w:cs="Arial" w:eastAsia="Arial" w:hAnsi="Arial"/>
          <w:sz w:val="17"/>
          <w:szCs w:val="17"/>
          <w:color w:val="auto"/>
        </w:rPr>
        <w:t>37045V100</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Item</w:t>
      </w:r>
      <w:r>
        <w:rPr>
          <w:sz w:val="20"/>
          <w:szCs w:val="20"/>
          <w:color w:val="auto"/>
        </w:rPr>
        <w:tab/>
      </w:r>
      <w:r>
        <w:rPr>
          <w:rFonts w:ascii="Arial" w:cs="Arial" w:eastAsia="Arial" w:hAnsi="Arial"/>
          <w:sz w:val="17"/>
          <w:szCs w:val="17"/>
          <w:color w:val="auto"/>
        </w:rPr>
        <w:t>IF THIS STATEMENT IS FILED PURSUANT TO RULES 13d-1(b) OR 13d-2(b) OR (c), CHECK WHETHER THE PERSON FILING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723900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80" w:top="1161" w:right="299" w:bottom="1440" w:gutter="0" w:footer="0" w:header="0"/>
          <w:type w:val="continuous"/>
        </w:sectPr>
      </w:pPr>
    </w:p>
    <w:bookmarkStart w:id="4" w:name="page5"/>
    <w:bookmarkEnd w:id="4"/>
    <w:p>
      <w:pPr>
        <w:ind w:left="20"/>
        <w:spacing w:after="0"/>
        <w:tabs>
          <w:tab w:leader="none" w:pos="498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648335</wp:posOffset>
            </wp:positionV>
            <wp:extent cx="1444625" cy="201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4625" cy="201295"/>
                    </a:xfrm>
                    <a:prstGeom prst="rect">
                      <a:avLst/>
                    </a:prstGeom>
                    <a:noFill/>
                  </pic:spPr>
                </pic:pic>
              </a:graphicData>
            </a:graphic>
          </wp:anchor>
        </w:drawing>
        <w:drawing>
          <wp:anchor simplePos="0" relativeHeight="251657728" behindDoc="1" locked="0" layoutInCell="0" allowOverlap="1">
            <wp:simplePos x="0" y="0"/>
            <wp:positionH relativeFrom="page">
              <wp:posOffset>5956935</wp:posOffset>
            </wp:positionH>
            <wp:positionV relativeFrom="page">
              <wp:posOffset>648335</wp:posOffset>
            </wp:positionV>
            <wp:extent cx="1444625" cy="201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4625" cy="20129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 5 of 8 Pages</w:t>
      </w:r>
    </w:p>
    <w:p>
      <w:pPr>
        <w:sectPr>
          <w:pgSz w:w="11900" w:h="16838" w:orient="portrait"/>
          <w:cols w:equalWidth="0" w:num="1">
            <w:col w:w="11340"/>
          </w:cols>
          <w:pgMar w:left="280" w:top="1053" w:right="27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u w:val="single" w:color="auto"/>
          <w:color w:val="auto"/>
        </w:rPr>
        <w:t>OWNERSHIP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65" w:lineRule="exact"/>
        <w:rPr>
          <w:sz w:val="20"/>
          <w:szCs w:val="20"/>
          <w:color w:val="auto"/>
        </w:rPr>
      </w:pPr>
    </w:p>
    <w:p>
      <w:pPr>
        <w:ind w:left="1120" w:hanging="463"/>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right="160"/>
        <w:spacing w:after="0" w:line="277" w:lineRule="auto"/>
        <w:rPr>
          <w:rFonts w:ascii="Arial" w:cs="Arial" w:eastAsia="Arial" w:hAnsi="Arial"/>
          <w:sz w:val="18"/>
          <w:szCs w:val="18"/>
          <w:color w:val="auto"/>
        </w:rPr>
      </w:pPr>
      <w:r>
        <w:rPr>
          <w:rFonts w:ascii="Arial" w:cs="Arial" w:eastAsia="Arial" w:hAnsi="Arial"/>
          <w:sz w:val="18"/>
          <w:szCs w:val="18"/>
          <w:color w:val="auto"/>
        </w:rPr>
        <w:t>Canada GEN is the direct owner and record holder of 140,084,746 shares of Common Stock. CDIC is the sole shareholder of Canada GEN and may be deemed to have beneficial ownership of the Common Stock owned by Canada GEN.</w:t>
      </w:r>
    </w:p>
    <w:p>
      <w:pPr>
        <w:spacing w:after="0" w:line="224" w:lineRule="exact"/>
        <w:rPr>
          <w:rFonts w:ascii="Arial" w:cs="Arial" w:eastAsia="Arial" w:hAnsi="Arial"/>
          <w:sz w:val="18"/>
          <w:szCs w:val="18"/>
          <w:color w:val="auto"/>
        </w:rPr>
      </w:pPr>
    </w:p>
    <w:p>
      <w:pPr>
        <w:ind w:left="1120" w:hanging="463"/>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Percentage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right="160"/>
        <w:spacing w:after="0" w:line="277" w:lineRule="auto"/>
        <w:rPr>
          <w:rFonts w:ascii="Arial" w:cs="Arial" w:eastAsia="Arial" w:hAnsi="Arial"/>
          <w:sz w:val="18"/>
          <w:szCs w:val="18"/>
          <w:color w:val="auto"/>
        </w:rPr>
      </w:pPr>
      <w:r>
        <w:rPr>
          <w:rFonts w:ascii="Arial" w:cs="Arial" w:eastAsia="Arial" w:hAnsi="Arial"/>
          <w:sz w:val="18"/>
          <w:szCs w:val="18"/>
          <w:color w:val="auto"/>
        </w:rPr>
        <w:t>As of the date hereof, each the Reporting Persons may be deemed to be the beneficial owner of approximately 8.98% of the total number of shares of Common Stock outstanding.</w:t>
      </w:r>
    </w:p>
    <w:p>
      <w:pPr>
        <w:spacing w:after="0" w:line="251" w:lineRule="exact"/>
        <w:rPr>
          <w:rFonts w:ascii="Arial" w:cs="Arial" w:eastAsia="Arial" w:hAnsi="Arial"/>
          <w:sz w:val="18"/>
          <w:szCs w:val="18"/>
          <w:color w:val="auto"/>
        </w:rPr>
      </w:pPr>
    </w:p>
    <w:p>
      <w:pPr>
        <w:ind w:left="1120" w:hanging="47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CDIC</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(i)  Sole power to vote or direct the vote:</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(ii)  Shared power to vote or to direct the vote:</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140,084,746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(iii)</w:t>
            </w:r>
          </w:p>
        </w:tc>
        <w:tc>
          <w:tcPr>
            <w:tcW w:w="4120" w:type="dxa"/>
            <w:vAlign w:val="bottom"/>
            <w:gridSpan w:val="4"/>
          </w:tcPr>
          <w:p>
            <w:pPr>
              <w:ind w:left="60"/>
              <w:spacing w:after="0"/>
              <w:rPr>
                <w:sz w:val="20"/>
                <w:szCs w:val="20"/>
                <w:color w:val="auto"/>
              </w:rPr>
            </w:pPr>
            <w:r>
              <w:rPr>
                <w:rFonts w:ascii="Arial" w:cs="Arial" w:eastAsia="Arial" w:hAnsi="Arial"/>
                <w:sz w:val="18"/>
                <w:szCs w:val="18"/>
                <w:color w:val="auto"/>
                <w:w w:val="97"/>
              </w:rPr>
              <w:t>Sole power to dispose or to direct the disposition of:</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140,084,746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(iv)</w:t>
            </w:r>
          </w:p>
        </w:tc>
        <w:tc>
          <w:tcPr>
            <w:tcW w:w="4120" w:type="dxa"/>
            <w:vAlign w:val="bottom"/>
            <w:gridSpan w:val="4"/>
          </w:tcPr>
          <w:p>
            <w:pPr>
              <w:ind w:left="40"/>
              <w:spacing w:after="0"/>
              <w:rPr>
                <w:sz w:val="20"/>
                <w:szCs w:val="20"/>
                <w:color w:val="auto"/>
              </w:rPr>
            </w:pPr>
            <w:r>
              <w:rPr>
                <w:rFonts w:ascii="Arial" w:cs="Arial" w:eastAsia="Arial" w:hAnsi="Arial"/>
                <w:sz w:val="18"/>
                <w:szCs w:val="18"/>
                <w:color w:val="auto"/>
                <w:w w:val="93"/>
              </w:rPr>
              <w:t>Shared power to dispose or to direct the disposition of:</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Canada GEN</w:t>
            </w:r>
          </w:p>
        </w:tc>
        <w:tc>
          <w:tcPr>
            <w:tcW w:w="3460" w:type="dxa"/>
            <w:vAlign w:val="bottom"/>
            <w:gridSpan w:val="2"/>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(i)  Sole power to vote or direct the vote:</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20" w:type="dxa"/>
            <w:vAlign w:val="bottom"/>
            <w:gridSpan w:val="5"/>
          </w:tcPr>
          <w:p>
            <w:pPr>
              <w:spacing w:after="0"/>
              <w:rPr>
                <w:sz w:val="20"/>
                <w:szCs w:val="20"/>
                <w:color w:val="auto"/>
              </w:rPr>
            </w:pPr>
            <w:r>
              <w:rPr>
                <w:rFonts w:ascii="Arial" w:cs="Arial" w:eastAsia="Arial" w:hAnsi="Arial"/>
                <w:sz w:val="18"/>
                <w:szCs w:val="18"/>
                <w:color w:val="auto"/>
              </w:rPr>
              <w:t>(ii)  Shared power to vote or to direct the vote:</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140,084,746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(iii)</w:t>
            </w:r>
          </w:p>
        </w:tc>
        <w:tc>
          <w:tcPr>
            <w:tcW w:w="4120" w:type="dxa"/>
            <w:vAlign w:val="bottom"/>
            <w:gridSpan w:val="4"/>
          </w:tcPr>
          <w:p>
            <w:pPr>
              <w:ind w:left="60"/>
              <w:spacing w:after="0"/>
              <w:rPr>
                <w:sz w:val="20"/>
                <w:szCs w:val="20"/>
                <w:color w:val="auto"/>
              </w:rPr>
            </w:pPr>
            <w:r>
              <w:rPr>
                <w:rFonts w:ascii="Arial" w:cs="Arial" w:eastAsia="Arial" w:hAnsi="Arial"/>
                <w:sz w:val="18"/>
                <w:szCs w:val="18"/>
                <w:color w:val="auto"/>
                <w:w w:val="97"/>
              </w:rPr>
              <w:t>Sole power to dispose or to direct the disposition of:</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140,084,746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(iv)</w:t>
            </w:r>
          </w:p>
        </w:tc>
        <w:tc>
          <w:tcPr>
            <w:tcW w:w="4120" w:type="dxa"/>
            <w:vAlign w:val="bottom"/>
            <w:gridSpan w:val="4"/>
          </w:tcPr>
          <w:p>
            <w:pPr>
              <w:ind w:left="40"/>
              <w:spacing w:after="0"/>
              <w:rPr>
                <w:sz w:val="20"/>
                <w:szCs w:val="20"/>
                <w:color w:val="auto"/>
              </w:rPr>
            </w:pPr>
            <w:r>
              <w:rPr>
                <w:rFonts w:ascii="Arial" w:cs="Arial" w:eastAsia="Arial" w:hAnsi="Arial"/>
                <w:sz w:val="18"/>
                <w:szCs w:val="18"/>
                <w:color w:val="auto"/>
                <w:w w:val="93"/>
              </w:rPr>
              <w:t>Shared power to dispose or to direct the disposition of:</w:t>
            </w:r>
          </w:p>
        </w:tc>
        <w:tc>
          <w:tcPr>
            <w:tcW w:w="184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73"/>
        </w:trPr>
        <w:tc>
          <w:tcPr>
            <w:tcW w:w="500" w:type="dxa"/>
            <w:vAlign w:val="bottom"/>
          </w:tcPr>
          <w:p>
            <w:pPr>
              <w:spacing w:after="0"/>
              <w:rPr>
                <w:sz w:val="20"/>
                <w:szCs w:val="20"/>
                <w:color w:val="auto"/>
              </w:rPr>
            </w:pPr>
            <w:r>
              <w:rPr>
                <w:rFonts w:ascii="Arial" w:cs="Arial" w:eastAsia="Arial" w:hAnsi="Arial"/>
                <w:sz w:val="18"/>
                <w:szCs w:val="18"/>
                <w:color w:val="auto"/>
              </w:rPr>
              <w:t>Item</w:t>
            </w:r>
          </w:p>
        </w:tc>
        <w:tc>
          <w:tcPr>
            <w:tcW w:w="180" w:type="dxa"/>
            <w:vAlign w:val="bottom"/>
          </w:tcPr>
          <w:p>
            <w:pPr>
              <w:spacing w:after="0"/>
              <w:rPr>
                <w:sz w:val="24"/>
                <w:szCs w:val="24"/>
                <w:color w:val="auto"/>
              </w:rPr>
            </w:pPr>
          </w:p>
        </w:tc>
        <w:tc>
          <w:tcPr>
            <w:tcW w:w="4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OWNERSHIP OF FIVE PERCENT OR LESS OF A CLASS</w:t>
            </w: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5040" w:type="dxa"/>
            <w:vAlign w:val="bottom"/>
            <w:gridSpan w:val="7"/>
            <w:vMerge w:val="restart"/>
          </w:tcPr>
          <w:p>
            <w:pPr>
              <w:ind w:left="180"/>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40" w:type="dxa"/>
            <w:vAlign w:val="bottom"/>
            <w:gridSpan w:val="7"/>
            <w:vMerge w:val="continue"/>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Item</w:t>
            </w:r>
          </w:p>
        </w:tc>
        <w:tc>
          <w:tcPr>
            <w:tcW w:w="6880" w:type="dxa"/>
            <w:vAlign w:val="bottom"/>
            <w:gridSpan w:val="8"/>
          </w:tcPr>
          <w:p>
            <w:pPr>
              <w:ind w:left="180"/>
              <w:spacing w:after="0"/>
              <w:rPr>
                <w:sz w:val="20"/>
                <w:szCs w:val="20"/>
                <w:color w:val="auto"/>
              </w:rPr>
            </w:pPr>
            <w:r>
              <w:rPr>
                <w:rFonts w:ascii="Arial" w:cs="Arial" w:eastAsia="Arial" w:hAnsi="Arial"/>
                <w:sz w:val="18"/>
                <w:szCs w:val="18"/>
                <w:color w:val="auto"/>
                <w:w w:val="95"/>
              </w:rPr>
              <w:t>OWNERSHIP OF MORE THAN FIVE PERCENT ON BEHALF OF ANOTHER PERSON</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ind w:left="680"/>
        <w:spacing w:after="0" w:line="255" w:lineRule="auto"/>
        <w:rPr>
          <w:sz w:val="20"/>
          <w:szCs w:val="20"/>
          <w:color w:val="auto"/>
        </w:rPr>
      </w:pPr>
      <w:r>
        <w:rPr>
          <w:rFonts w:ascii="Arial" w:cs="Arial" w:eastAsia="Arial" w:hAnsi="Arial"/>
          <w:sz w:val="18"/>
          <w:szCs w:val="18"/>
          <w:color w:val="auto"/>
        </w:rPr>
        <w:t>Pursuant to an arrangement between the Government of Canada and the Province of Ontario, the Government of Canada has committed to provide the Province of Ontario with one-third of the net proceeds from the sale of any Common Stock held by Canada GEN and one-third of any dividends received by Canada GEN, less certain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574040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053" w:right="279" w:bottom="1440" w:gutter="0" w:footer="0" w:header="0"/>
          <w:type w:val="continuous"/>
        </w:sectPr>
      </w:pPr>
    </w:p>
    <w:bookmarkStart w:id="5" w:name="page6"/>
    <w:bookmarkEnd w:id="5"/>
    <w:p>
      <w:pPr>
        <w:ind w:left="25"/>
        <w:spacing w:after="0"/>
        <w:tabs>
          <w:tab w:leader="none" w:pos="4985" w:val="left"/>
          <w:tab w:leader="none" w:pos="10025"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648335</wp:posOffset>
            </wp:positionV>
            <wp:extent cx="1444625" cy="201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4625" cy="201295"/>
                    </a:xfrm>
                    <a:prstGeom prst="rect">
                      <a:avLst/>
                    </a:prstGeom>
                    <a:noFill/>
                  </pic:spPr>
                </pic:pic>
              </a:graphicData>
            </a:graphic>
          </wp:anchor>
        </w:drawing>
        <w:drawing>
          <wp:anchor simplePos="0" relativeHeight="251657728" behindDoc="1" locked="0" layoutInCell="0" allowOverlap="1">
            <wp:simplePos x="0" y="0"/>
            <wp:positionH relativeFrom="page">
              <wp:posOffset>5956935</wp:posOffset>
            </wp:positionH>
            <wp:positionV relativeFrom="page">
              <wp:posOffset>648335</wp:posOffset>
            </wp:positionV>
            <wp:extent cx="1444625" cy="201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4625" cy="20129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 6 of 8 Pages</w:t>
      </w:r>
    </w:p>
    <w:p>
      <w:pPr>
        <w:sectPr>
          <w:pgSz w:w="11900" w:h="16838" w:orient="portrait"/>
          <w:cols w:equalWidth="0" w:num="1">
            <w:col w:w="11325"/>
          </w:cols>
          <w:pgMar w:left="275" w:top="1053" w:right="29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
        <w:spacing w:after="0"/>
        <w:tabs>
          <w:tab w:leader="none" w:pos="665" w:val="left"/>
        </w:tabs>
        <w:rPr>
          <w:sz w:val="20"/>
          <w:szCs w:val="20"/>
          <w:color w:val="auto"/>
        </w:rPr>
      </w:pPr>
      <w:r>
        <w:rPr>
          <w:rFonts w:ascii="Arial" w:cs="Arial" w:eastAsia="Arial" w:hAnsi="Arial"/>
          <w:sz w:val="17"/>
          <w:szCs w:val="17"/>
          <w:color w:val="auto"/>
        </w:rPr>
        <w:t>Item</w:t>
      </w:r>
      <w:r>
        <w:rPr>
          <w:sz w:val="20"/>
          <w:szCs w:val="20"/>
          <w:color w:val="auto"/>
        </w:rPr>
        <w:tab/>
      </w:r>
      <w:r>
        <w:rPr>
          <w:rFonts w:ascii="Arial" w:cs="Arial" w:eastAsia="Arial" w:hAnsi="Arial"/>
          <w:sz w:val="17"/>
          <w:szCs w:val="17"/>
          <w:u w:val="single" w:color="auto"/>
          <w:color w:val="auto"/>
        </w:rPr>
        <w:t>IDENTIFICATION AND CLASSIFICATION OF THE SUBSIDIARY WHICH ACQUIRED THE SECURITY BEING REPORTED ON BY THE</w:t>
      </w:r>
    </w:p>
    <w:p>
      <w:pPr>
        <w:spacing w:after="0" w:line="35" w:lineRule="exact"/>
        <w:rPr>
          <w:sz w:val="20"/>
          <w:szCs w:val="20"/>
          <w:color w:val="auto"/>
        </w:rPr>
      </w:pPr>
    </w:p>
    <w:p>
      <w:pPr>
        <w:ind w:left="685" w:right="8160" w:hanging="685"/>
        <w:spacing w:after="0" w:line="511" w:lineRule="auto"/>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 xml:space="preserve">PARENT HOLDING COMPANY </w:t>
      </w:r>
      <w:r>
        <w:rPr>
          <w:rFonts w:ascii="Arial" w:cs="Arial" w:eastAsia="Arial" w:hAnsi="Arial"/>
          <w:sz w:val="18"/>
          <w:szCs w:val="18"/>
          <w:color w:val="auto"/>
        </w:rPr>
        <w:t>Not applicable.</w:t>
      </w:r>
    </w:p>
    <w:p>
      <w:pPr>
        <w:spacing w:after="0" w:line="23" w:lineRule="exact"/>
        <w:rPr>
          <w:sz w:val="20"/>
          <w:szCs w:val="20"/>
          <w:color w:val="auto"/>
        </w:rPr>
      </w:pPr>
    </w:p>
    <w:p>
      <w:pPr>
        <w:ind w:left="5" w:right="4780"/>
        <w:spacing w:after="0" w:line="258" w:lineRule="auto"/>
        <w:rPr>
          <w:sz w:val="20"/>
          <w:szCs w:val="20"/>
          <w:color w:val="auto"/>
        </w:rPr>
      </w:pPr>
      <w:r>
        <w:rPr>
          <w:rFonts w:ascii="Arial" w:cs="Arial" w:eastAsia="Arial" w:hAnsi="Arial"/>
          <w:sz w:val="18"/>
          <w:szCs w:val="18"/>
          <w:color w:val="auto"/>
        </w:rPr>
        <w:t xml:space="preserve">Item </w:t>
      </w:r>
      <w:r>
        <w:rPr>
          <w:rFonts w:ascii="Arial" w:cs="Arial" w:eastAsia="Arial" w:hAnsi="Arial"/>
          <w:sz w:val="18"/>
          <w:szCs w:val="18"/>
          <w:u w:val="single" w:color="auto"/>
          <w:color w:val="auto"/>
        </w:rPr>
        <w:t>IDENTIFICATION AND CLASSIFICATION OF MEMBERS OF THE GROUP</w:t>
      </w:r>
      <w:r>
        <w:rPr>
          <w:rFonts w:ascii="Arial" w:cs="Arial" w:eastAsia="Arial" w:hAnsi="Arial"/>
          <w:sz w:val="18"/>
          <w:szCs w:val="18"/>
          <w:color w:val="auto"/>
        </w:rPr>
        <w:t xml:space="preserve"> 8.</w:t>
      </w:r>
    </w:p>
    <w:p>
      <w:pPr>
        <w:spacing w:after="0" w:line="1" w:lineRule="exact"/>
        <w:rPr>
          <w:sz w:val="20"/>
          <w:szCs w:val="20"/>
          <w:color w:val="auto"/>
        </w:rPr>
      </w:pPr>
    </w:p>
    <w:p>
      <w:pPr>
        <w:jc w:val="both"/>
        <w:ind w:left="685" w:right="120"/>
        <w:spacing w:after="0" w:line="295" w:lineRule="auto"/>
        <w:rPr>
          <w:sz w:val="20"/>
          <w:szCs w:val="20"/>
          <w:color w:val="auto"/>
        </w:rPr>
      </w:pPr>
      <w:r>
        <w:rPr>
          <w:rFonts w:ascii="Arial" w:cs="Arial" w:eastAsia="Arial" w:hAnsi="Arial"/>
          <w:sz w:val="16"/>
          <w:szCs w:val="16"/>
          <w:color w:val="auto"/>
        </w:rPr>
        <w:t>Canada GEN is a party to a Stockholders Agreement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dated as of October 15, 2009, by and among the Company, the United States Department of the Treasury (“</w:t>
      </w:r>
      <w:r>
        <w:rPr>
          <w:rFonts w:ascii="Arial" w:cs="Arial" w:eastAsia="Arial" w:hAnsi="Arial"/>
          <w:sz w:val="16"/>
          <w:szCs w:val="16"/>
          <w:u w:val="single" w:color="auto"/>
          <w:color w:val="auto"/>
        </w:rPr>
        <w:t>UST</w:t>
      </w:r>
      <w:r>
        <w:rPr>
          <w:rFonts w:ascii="Arial" w:cs="Arial" w:eastAsia="Arial" w:hAnsi="Arial"/>
          <w:sz w:val="16"/>
          <w:szCs w:val="16"/>
          <w:color w:val="auto"/>
        </w:rPr>
        <w:t>”), 7176384 Canada Inc. (now known as Canada GEN), UAW Retiree Medical Benefits Trust (“</w:t>
      </w:r>
      <w:r>
        <w:rPr>
          <w:rFonts w:ascii="Arial" w:cs="Arial" w:eastAsia="Arial" w:hAnsi="Arial"/>
          <w:sz w:val="16"/>
          <w:szCs w:val="16"/>
          <w:u w:val="single" w:color="auto"/>
          <w:color w:val="auto"/>
        </w:rPr>
        <w:t>VEBA</w:t>
      </w:r>
      <w:r>
        <w:rPr>
          <w:rFonts w:ascii="Arial" w:cs="Arial" w:eastAsia="Arial" w:hAnsi="Arial"/>
          <w:sz w:val="16"/>
          <w:szCs w:val="16"/>
          <w:color w:val="auto"/>
        </w:rPr>
        <w:t>”) and, solely for the purposes of Section 6.20 thereof, General Motors LLC. The Stockholders Agreement is filed as Exhibit 10.8 to the Company’s Current Report on Form 8-K (File No. 333-160471) filed with the Securities and Exchange Commission on November 16, 2009.</w:t>
      </w:r>
    </w:p>
    <w:p>
      <w:pPr>
        <w:spacing w:after="0" w:line="162" w:lineRule="exact"/>
        <w:rPr>
          <w:sz w:val="20"/>
          <w:szCs w:val="20"/>
          <w:color w:val="auto"/>
        </w:rPr>
      </w:pPr>
    </w:p>
    <w:p>
      <w:pPr>
        <w:ind w:left="685"/>
        <w:spacing w:after="0" w:line="288" w:lineRule="auto"/>
        <w:rPr>
          <w:sz w:val="20"/>
          <w:szCs w:val="20"/>
          <w:color w:val="auto"/>
        </w:rPr>
      </w:pPr>
      <w:r>
        <w:rPr>
          <w:rFonts w:ascii="Arial" w:cs="Arial" w:eastAsia="Arial" w:hAnsi="Arial"/>
          <w:sz w:val="16"/>
          <w:szCs w:val="16"/>
          <w:color w:val="auto"/>
        </w:rPr>
        <w:t>The Stockholders Agreement obligates Canada GEN to vote in favor of VEBA’s nominee to the board of directors of the Company for so long as VEBA holds at least 50% of the shares of Common Stock it held in its initial investment in the Company. By its terms, the Stockholders Agreement permits UST and Canada GEN to propose a slate of candidates for election to the board of directors of the Company and permits Canada GEN to participate in any such proposal by nominating candidates in proportion to its holdings in the Company (such process, the “</w:t>
      </w:r>
      <w:r>
        <w:rPr>
          <w:rFonts w:ascii="Arial" w:cs="Arial" w:eastAsia="Arial" w:hAnsi="Arial"/>
          <w:sz w:val="16"/>
          <w:szCs w:val="16"/>
          <w:u w:val="single" w:color="auto"/>
          <w:color w:val="auto"/>
        </w:rPr>
        <w:t>Joint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Slate Procedure</w:t>
      </w:r>
      <w:r>
        <w:rPr>
          <w:rFonts w:ascii="Arial" w:cs="Arial" w:eastAsia="Arial" w:hAnsi="Arial"/>
          <w:sz w:val="16"/>
          <w:szCs w:val="16"/>
          <w:color w:val="auto"/>
        </w:rPr>
        <w:t>”). The Stockholders Agreement provides that Canada GEN and UST would vote “for” the joint slate of candidates nominated pursuant to the Joint Slate Procedure. By a letter agreement dated October 27, 2011 Canada GEN advised UST, VEBA and the Company of its irrevocable waiver, renunciation and relinquishment of all rights of Canada GEN under the Joint Slate Procedure, including the right to nominate directors of the Company under the Joint Slate Procedure and to receive notices from UST of UST’s intent to nominate directors of the Company. By foregoing its right to participate in the Joint Slate Procedure, Canada GEN shall not, under any circumstances, be required by the Stockholders Agreement to vote “for” any slate of nominees for directors of the Company nominated by UST pursuant to the Joint Slate Procedure.</w:t>
      </w:r>
    </w:p>
    <w:p>
      <w:pPr>
        <w:spacing w:after="0" w:line="169" w:lineRule="exact"/>
        <w:rPr>
          <w:sz w:val="20"/>
          <w:szCs w:val="20"/>
          <w:color w:val="auto"/>
        </w:rPr>
      </w:pPr>
    </w:p>
    <w:p>
      <w:pPr>
        <w:jc w:val="both"/>
        <w:ind w:left="685" w:right="60"/>
        <w:spacing w:after="0" w:line="264" w:lineRule="auto"/>
        <w:rPr>
          <w:sz w:val="20"/>
          <w:szCs w:val="20"/>
          <w:color w:val="auto"/>
        </w:rPr>
      </w:pPr>
      <w:r>
        <w:rPr>
          <w:rFonts w:ascii="Arial" w:cs="Arial" w:eastAsia="Arial" w:hAnsi="Arial"/>
          <w:sz w:val="18"/>
          <w:szCs w:val="18"/>
          <w:color w:val="auto"/>
        </w:rPr>
        <w:t>The Stockholders Agreement also prohibits UST, Canada GEN and VEBA from transferring all or any portion of their Common Stock or warrants without the consent of the Company’s board of directors to either (i) any person or group who would thereafter beneficially own more than 10% of the Common Stock, or (ii) any automotive vehicle manufacturer or affiliate thereof.</w:t>
      </w:r>
    </w:p>
    <w:p>
      <w:pPr>
        <w:spacing w:after="0" w:line="181" w:lineRule="exact"/>
        <w:rPr>
          <w:sz w:val="20"/>
          <w:szCs w:val="20"/>
          <w:color w:val="auto"/>
        </w:rPr>
      </w:pPr>
    </w:p>
    <w:p>
      <w:pPr>
        <w:ind w:left="685" w:right="240"/>
        <w:spacing w:after="0" w:line="276" w:lineRule="auto"/>
        <w:rPr>
          <w:sz w:val="20"/>
          <w:szCs w:val="20"/>
          <w:color w:val="auto"/>
        </w:rPr>
      </w:pPr>
      <w:r>
        <w:rPr>
          <w:rFonts w:ascii="Arial" w:cs="Arial" w:eastAsia="Arial" w:hAnsi="Arial"/>
          <w:sz w:val="17"/>
          <w:szCs w:val="17"/>
          <w:color w:val="auto"/>
        </w:rPr>
        <w:t>Canada GEN and VEBA collectively have beneficial ownership of 345,689,291 shares of Common Stock, including VEBA’s ownership of 45,454,545 warrants each exercisable for one share of Common Stock (each a “</w:t>
      </w:r>
      <w:r>
        <w:rPr>
          <w:rFonts w:ascii="Arial" w:cs="Arial" w:eastAsia="Arial" w:hAnsi="Arial"/>
          <w:sz w:val="17"/>
          <w:szCs w:val="17"/>
          <w:u w:val="single" w:color="auto"/>
          <w:color w:val="auto"/>
        </w:rPr>
        <w:t>Warrant</w:t>
      </w:r>
      <w:r>
        <w:rPr>
          <w:rFonts w:ascii="Arial" w:cs="Arial" w:eastAsia="Arial" w:hAnsi="Arial"/>
          <w:sz w:val="17"/>
          <w:szCs w:val="17"/>
          <w:color w:val="auto"/>
        </w:rPr>
        <w:t>”). This represents 21.5% of the outstanding Common Stock based on a total of 1,610,016,422 shares of Common Stock outstanding (including 45,454,545 unissued shares for which the Warrants are exchangeable). The Common Stock ownership reported by Canada GEN does not include any Common Stock owned by the other parties to the Stockholders Agreement, except to the extent already disclosed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699770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5"/>
          </w:cols>
          <w:pgMar w:left="275" w:top="1053" w:right="299" w:bottom="1440" w:gutter="0" w:footer="0" w:header="0"/>
          <w:type w:val="continuous"/>
        </w:sectPr>
      </w:pPr>
    </w:p>
    <w:bookmarkStart w:id="6" w:name="page7"/>
    <w:bookmarkEnd w:id="6"/>
    <w:p>
      <w:pPr>
        <w:ind w:left="20"/>
        <w:spacing w:after="0"/>
        <w:tabs>
          <w:tab w:leader="none" w:pos="4980" w:val="left"/>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339725</wp:posOffset>
            </wp:positionV>
            <wp:extent cx="1444625" cy="201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4625" cy="201295"/>
                    </a:xfrm>
                    <a:prstGeom prst="rect">
                      <a:avLst/>
                    </a:prstGeom>
                    <a:noFill/>
                  </pic:spPr>
                </pic:pic>
              </a:graphicData>
            </a:graphic>
          </wp:anchor>
        </w:drawing>
        <w:drawing>
          <wp:anchor simplePos="0" relativeHeight="251657728" behindDoc="1" locked="0" layoutInCell="0" allowOverlap="1">
            <wp:simplePos x="0" y="0"/>
            <wp:positionH relativeFrom="page">
              <wp:posOffset>5956935</wp:posOffset>
            </wp:positionH>
            <wp:positionV relativeFrom="page">
              <wp:posOffset>339725</wp:posOffset>
            </wp:positionV>
            <wp:extent cx="1444625" cy="201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4625" cy="201295"/>
                    </a:xfrm>
                    <a:prstGeom prst="rect">
                      <a:avLst/>
                    </a:prstGeom>
                    <a:noFill/>
                  </pic:spPr>
                </pic:pic>
              </a:graphicData>
            </a:graphic>
          </wp:anchor>
        </w:drawing>
        <w:t>CUSIP No. 37045V100</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color w:val="auto"/>
        </w:rPr>
        <w:t>Page 7 of 8 Pages</w:t>
      </w:r>
    </w:p>
    <w:p>
      <w:pPr>
        <w:sectPr>
          <w:pgSz w:w="11900" w:h="16838" w:orient="portrait"/>
          <w:cols w:equalWidth="0" w:num="1">
            <w:col w:w="11320"/>
          </w:cols>
          <w:pgMar w:left="280" w:top="56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color w:val="auto"/>
        </w:rPr>
        <w:t>Item</w:t>
      </w:r>
      <w:r>
        <w:rPr>
          <w:sz w:val="20"/>
          <w:szCs w:val="20"/>
          <w:color w:val="auto"/>
        </w:rPr>
        <w:tab/>
      </w:r>
      <w:r>
        <w:rPr>
          <w:rFonts w:ascii="Arial" w:cs="Arial" w:eastAsia="Arial" w:hAnsi="Arial"/>
          <w:sz w:val="17"/>
          <w:szCs w:val="17"/>
          <w:u w:val="single" w:color="auto"/>
          <w:color w:val="auto"/>
        </w:rPr>
        <w:t>NOTICE OF DISSOLUTION OF GROUP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6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u w:val="single" w:color="auto"/>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1067435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80" w:top="567" w:right="299" w:bottom="1440" w:gutter="0" w:footer="0" w:header="0"/>
          <w:type w:val="continuous"/>
        </w:sectPr>
      </w:pPr>
    </w:p>
    <w:bookmarkStart w:id="7" w:name="page8"/>
    <w:bookmarkEnd w:id="7"/>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37045V100</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8 of 8 Pages</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10, 2012</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CANADA GEN INVESTMENT CORPORATION</w:t>
      </w:r>
    </w:p>
    <w:p>
      <w:pPr>
        <w:spacing w:after="0" w:line="22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Carter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CANADA DEVELOPMENT INVESTMENT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Carter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sectPr>
      <w:pgSz w:w="11900" w:h="16838" w:orient="portrait"/>
      <w:cols w:equalWidth="0" w:num="1">
        <w:col w:w="11420"/>
      </w:cols>
      <w:pgMar w:left="240" w:top="7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2"/>
    </w:lvl>
    <w:lvl w:ilvl="1">
      <w:lvlJc w:val="left"/>
      <w:lvlText w:val="(%2)"/>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lowerLetter"/>
      <w:start w:val="1"/>
    </w:lvl>
  </w:abstractNum>
  <w:abstractNum w:abstractNumId="6">
    <w:nsid w:val="79E2A9E3"/>
    <w:multiLevelType w:val="hybridMultilevel"/>
    <w:lvl w:ilvl="0">
      <w:lvlJc w:val="left"/>
      <w:lvlText w:val="(%1)"/>
      <w:numFmt w:val="lowerLetter"/>
      <w:start w:val="3"/>
    </w:lvl>
    <w:lvl w:ilvl="1">
      <w:lvlJc w:val="left"/>
      <w:lvlText w:val="%2"/>
      <w:numFmt w:val="lowerLetter"/>
      <w:start w:val="1"/>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2019-12-09T18:31:51Z</dcterms:created>
  <dcterms:modified xsi:type="dcterms:W3CDTF">2019-12-09T18:31:51Z</dcterms:modified>
</cp:coreProperties>
</file>