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97345"/>
                    </a:xfrm>
                    <a:prstGeom prst="rect">
                      <a:avLst/>
                    </a:prstGeom>
                    <a:noFill/>
                  </pic:spPr>
                </pic:pic>
              </a:graphicData>
            </a:graphic>
          </wp:anchor>
        </w:drawing>
      </w:r>
    </w:p>
    <w:p>
      <w:pPr>
        <w:spacing w:after="0" w:line="96" w:lineRule="exact"/>
        <w:rPr>
          <w:sz w:val="24"/>
          <w:szCs w:val="24"/>
          <w:color w:val="auto"/>
        </w:rPr>
      </w:pPr>
    </w:p>
    <w:p>
      <w:pPr>
        <w:sectPr>
          <w:pgSz w:w="11900" w:h="16907"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Charles K.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Executive Vice President &amp; CFO</w:t>
      </w:r>
    </w:p>
    <w:p>
      <w:pPr>
        <w:spacing w:after="0" w:line="471" w:lineRule="exact"/>
        <w:rPr>
          <w:sz w:val="24"/>
          <w:szCs w:val="24"/>
          <w:color w:val="auto"/>
        </w:rPr>
      </w:pPr>
    </w:p>
    <w:p>
      <w:pPr>
        <w:sectPr>
          <w:pgSz w:w="11900" w:h="16907"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5"/>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rPr>
              <w:t>M</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212</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26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27,453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ind w:right="15"/>
              <w:spacing w:after="0"/>
              <w:rPr>
                <w:sz w:val="20"/>
                <w:szCs w:val="20"/>
                <w:color w:val="auto"/>
              </w:rPr>
            </w:pPr>
            <w:r>
              <w:rPr>
                <w:rFonts w:ascii="Arial" w:cs="Arial" w:eastAsia="Arial" w:hAnsi="Arial"/>
                <w:sz w:val="14"/>
                <w:szCs w:val="14"/>
                <w:color w:val="0000FF"/>
                <w:w w:val="98"/>
              </w:rPr>
              <w:t>D</w:t>
            </w:r>
          </w:p>
        </w:tc>
        <w:tc>
          <w:tcPr>
            <w:tcW w:w="320" w:type="dxa"/>
            <w:vAlign w:val="bottom"/>
          </w:tcPr>
          <w:p>
            <w:pPr>
              <w:spacing w:after="0"/>
              <w:rPr>
                <w:sz w:val="23"/>
                <w:szCs w:val="23"/>
                <w:color w:val="auto"/>
              </w:rPr>
            </w:pPr>
          </w:p>
        </w:tc>
        <w:tc>
          <w:tcPr>
            <w:tcW w:w="540" w:type="dxa"/>
            <w:vAlign w:val="bottom"/>
          </w:tcPr>
          <w:p>
            <w:pPr>
              <w:jc w:val="center"/>
              <w:ind w:left="126"/>
              <w:spacing w:after="0"/>
              <w:rPr>
                <w:sz w:val="20"/>
                <w:szCs w:val="20"/>
                <w:color w:val="auto"/>
              </w:rPr>
            </w:pPr>
            <w:r>
              <w:rPr>
                <w:rFonts w:ascii="Arial" w:cs="Arial" w:eastAsia="Arial" w:hAnsi="Arial"/>
                <w:sz w:val="18"/>
                <w:szCs w:val="18"/>
                <w:color w:val="0000FF"/>
                <w:w w:val="86"/>
              </w:rPr>
              <w:t>112</w:t>
            </w:r>
          </w:p>
        </w:tc>
        <w:tc>
          <w:tcPr>
            <w:tcW w:w="66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jc w:val="center"/>
              <w:ind w:left="4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27,341</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0000FF"/>
                <w:w w:val="92"/>
              </w:rPr>
              <w:t>F</w:t>
            </w:r>
          </w:p>
        </w:tc>
        <w:tc>
          <w:tcPr>
            <w:tcW w:w="320" w:type="dxa"/>
            <w:vAlign w:val="bottom"/>
          </w:tcPr>
          <w:p>
            <w:pPr>
              <w:spacing w:after="0"/>
              <w:rPr>
                <w:sz w:val="23"/>
                <w:szCs w:val="23"/>
                <w:color w:val="auto"/>
              </w:rPr>
            </w:pPr>
          </w:p>
        </w:tc>
        <w:tc>
          <w:tcPr>
            <w:tcW w:w="540" w:type="dxa"/>
            <w:vAlign w:val="bottom"/>
          </w:tcPr>
          <w:p>
            <w:pPr>
              <w:jc w:val="center"/>
              <w:ind w:left="126"/>
              <w:spacing w:after="0"/>
              <w:rPr>
                <w:sz w:val="20"/>
                <w:szCs w:val="20"/>
                <w:color w:val="auto"/>
              </w:rPr>
            </w:pPr>
            <w:r>
              <w:rPr>
                <w:rFonts w:ascii="Arial" w:cs="Arial" w:eastAsia="Arial" w:hAnsi="Arial"/>
                <w:sz w:val="18"/>
                <w:szCs w:val="18"/>
                <w:color w:val="0000FF"/>
                <w:w w:val="86"/>
              </w:rPr>
              <w:t>100</w:t>
            </w:r>
          </w:p>
        </w:tc>
        <w:tc>
          <w:tcPr>
            <w:tcW w:w="66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jc w:val="center"/>
              <w:ind w:left="4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27,241</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rPr>
              <w:t>M</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125</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26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27,366</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ind w:right="15"/>
              <w:spacing w:after="0"/>
              <w:rPr>
                <w:sz w:val="20"/>
                <w:szCs w:val="20"/>
                <w:color w:val="auto"/>
              </w:rPr>
            </w:pPr>
            <w:r>
              <w:rPr>
                <w:rFonts w:ascii="Arial" w:cs="Arial" w:eastAsia="Arial" w:hAnsi="Arial"/>
                <w:sz w:val="14"/>
                <w:szCs w:val="14"/>
                <w:color w:val="0000FF"/>
                <w:w w:val="98"/>
              </w:rPr>
              <w:t>D</w:t>
            </w:r>
          </w:p>
        </w:tc>
        <w:tc>
          <w:tcPr>
            <w:tcW w:w="320" w:type="dxa"/>
            <w:vAlign w:val="bottom"/>
          </w:tcPr>
          <w:p>
            <w:pPr>
              <w:spacing w:after="0"/>
              <w:rPr>
                <w:sz w:val="23"/>
                <w:szCs w:val="23"/>
                <w:color w:val="auto"/>
              </w:rPr>
            </w:pPr>
          </w:p>
        </w:tc>
        <w:tc>
          <w:tcPr>
            <w:tcW w:w="540" w:type="dxa"/>
            <w:vAlign w:val="bottom"/>
          </w:tcPr>
          <w:p>
            <w:pPr>
              <w:jc w:val="center"/>
              <w:ind w:left="126"/>
              <w:spacing w:after="0"/>
              <w:rPr>
                <w:sz w:val="20"/>
                <w:szCs w:val="20"/>
                <w:color w:val="auto"/>
              </w:rPr>
            </w:pPr>
            <w:r>
              <w:rPr>
                <w:rFonts w:ascii="Arial" w:cs="Arial" w:eastAsia="Arial" w:hAnsi="Arial"/>
                <w:sz w:val="18"/>
                <w:szCs w:val="18"/>
                <w:color w:val="0000FF"/>
                <w:w w:val="89"/>
              </w:rPr>
              <w:t>65</w:t>
            </w:r>
          </w:p>
        </w:tc>
        <w:tc>
          <w:tcPr>
            <w:tcW w:w="66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jc w:val="center"/>
              <w:ind w:left="4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27,301</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0000FF"/>
                <w:w w:val="92"/>
              </w:rPr>
              <w:t>F</w:t>
            </w:r>
          </w:p>
        </w:tc>
        <w:tc>
          <w:tcPr>
            <w:tcW w:w="320" w:type="dxa"/>
            <w:vAlign w:val="bottom"/>
          </w:tcPr>
          <w:p>
            <w:pPr>
              <w:spacing w:after="0"/>
              <w:rPr>
                <w:sz w:val="23"/>
                <w:szCs w:val="23"/>
                <w:color w:val="auto"/>
              </w:rPr>
            </w:pPr>
          </w:p>
        </w:tc>
        <w:tc>
          <w:tcPr>
            <w:tcW w:w="540" w:type="dxa"/>
            <w:vAlign w:val="bottom"/>
          </w:tcPr>
          <w:p>
            <w:pPr>
              <w:jc w:val="center"/>
              <w:ind w:left="126"/>
              <w:spacing w:after="0"/>
              <w:rPr>
                <w:sz w:val="20"/>
                <w:szCs w:val="20"/>
                <w:color w:val="auto"/>
              </w:rPr>
            </w:pPr>
            <w:r>
              <w:rPr>
                <w:rFonts w:ascii="Arial" w:cs="Arial" w:eastAsia="Arial" w:hAnsi="Arial"/>
                <w:sz w:val="18"/>
                <w:szCs w:val="18"/>
                <w:color w:val="0000FF"/>
                <w:w w:val="89"/>
              </w:rPr>
              <w:t>60</w:t>
            </w:r>
          </w:p>
        </w:tc>
        <w:tc>
          <w:tcPr>
            <w:tcW w:w="66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jc w:val="center"/>
              <w:ind w:left="4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27,241</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212</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212</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320" w:type="dxa"/>
            <w:vAlign w:val="bottom"/>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right"/>
              <w:ind w:right="178"/>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125</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125</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320" w:type="dxa"/>
            <w:vAlign w:val="bottom"/>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125</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2015 in cash, less a portion withheld for taxes.</w:t>
      </w: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2015 in cash, less a portion withheld for taxes.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2012 and were settled on March 31, 2015.</w:t>
      </w:r>
    </w:p>
    <w:p>
      <w:pPr>
        <w:spacing w:after="0" w:line="41" w:lineRule="exact"/>
        <w:rPr>
          <w:rFonts w:ascii="Arial" w:cs="Arial" w:eastAsia="Arial" w:hAnsi="Arial"/>
          <w:sz w:val="14"/>
          <w:szCs w:val="14"/>
          <w:color w:val="008000"/>
        </w:rPr>
      </w:pPr>
    </w:p>
    <w:p>
      <w:pPr>
        <w:ind w:left="40" w:right="1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$37.75.</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2013 and began being settled in three equal, annual installments on March 31,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04/02/2015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2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9"/>
              </w:rPr>
              <w:t>attorney-in-fact for Mr. Stevens</w:t>
            </w:r>
          </w:p>
        </w:tc>
        <w:tc>
          <w:tcPr>
            <w:tcW w:w="2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2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907" w:orient="portrait"/>
          <w:cols w:equalWidth="0" w:num="1">
            <w:col w:w="11480"/>
          </w:cols>
          <w:pgMar w:left="240" w:top="226" w:right="17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2019-12-08T21:58:16Z</dcterms:created>
  <dcterms:modified xsi:type="dcterms:W3CDTF">2019-12-08T21:58:16Z</dcterms:modified>
</cp:coreProperties>
</file>