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333-168919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November 10,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1368425</wp:posOffset>
            </wp:positionH>
            <wp:positionV relativeFrom="paragraph">
              <wp:posOffset>109855</wp:posOffset>
            </wp:positionV>
            <wp:extent cx="452818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UPDATED INFORMATION AT AND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NINE MONTHS ENDED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30, 2010</w:t>
      </w:r>
    </w:p>
    <w:p>
      <w:pPr>
        <w:spacing w:after="0" w:line="165" w:lineRule="exact"/>
        <w:rPr>
          <w:sz w:val="24"/>
          <w:szCs w:val="24"/>
          <w:color w:val="auto"/>
        </w:rPr>
      </w:pPr>
    </w:p>
    <w:p>
      <w:pPr>
        <w:ind w:right="200" w:firstLine="456"/>
        <w:spacing w:after="0" w:line="306" w:lineRule="auto"/>
        <w:rPr>
          <w:sz w:val="20"/>
          <w:szCs w:val="20"/>
          <w:color w:val="auto"/>
        </w:rPr>
      </w:pPr>
      <w:r>
        <w:rPr>
          <w:rFonts w:ascii="Arial" w:cs="Arial" w:eastAsia="Arial" w:hAnsi="Arial"/>
          <w:sz w:val="16"/>
          <w:szCs w:val="16"/>
          <w:color w:val="auto"/>
        </w:rPr>
        <w:t>On November 10, 2010, we filed preliminary prospectuses dated November 10, 2010 (the Preliminary Prospectuses) relating to the proposed offerings of our common stock and our Series B preferred stock (the Offerings). These Preliminary Prospectuses are included in Amendment No. 6 to the Registration Statement on Form S-1 (File No. 333-168919) (the Registration Statement) that we filed with the Securities and Exchange Commission.</w:t>
      </w:r>
    </w:p>
    <w:p>
      <w:pPr>
        <w:spacing w:after="0" w:line="107" w:lineRule="exact"/>
        <w:rPr>
          <w:sz w:val="24"/>
          <w:szCs w:val="24"/>
          <w:color w:val="auto"/>
        </w:rPr>
      </w:pPr>
    </w:p>
    <w:p>
      <w:pPr>
        <w:ind w:right="20" w:firstLine="456"/>
        <w:spacing w:after="0" w:line="298" w:lineRule="auto"/>
        <w:rPr>
          <w:sz w:val="20"/>
          <w:szCs w:val="20"/>
          <w:color w:val="auto"/>
        </w:rPr>
      </w:pPr>
      <w:r>
        <w:rPr>
          <w:rFonts w:ascii="Arial" w:cs="Arial" w:eastAsia="Arial" w:hAnsi="Arial"/>
          <w:sz w:val="16"/>
          <w:szCs w:val="16"/>
          <w:color w:val="auto"/>
        </w:rPr>
        <w:t>The information in this free writing prospectus relates only to the Offerings and should be read together with the entire Preliminary Prospectuses, which include the required financial and other information at and for the nine months ended September 30, 2010 and provide other information relevant to the Offerings. This free writing prospectus summarizes information about the Company, including our results of operations for the nine months ended September 30, 2010 and our capitalization structure as of September 30, 2010, contained in the Preliminary Prospectuses.</w:t>
      </w:r>
    </w:p>
    <w:p>
      <w:pPr>
        <w:spacing w:after="0" w:line="113" w:lineRule="exact"/>
        <w:rPr>
          <w:sz w:val="24"/>
          <w:szCs w:val="24"/>
          <w:color w:val="auto"/>
        </w:rPr>
      </w:pPr>
    </w:p>
    <w:p>
      <w:pPr>
        <w:ind w:right="60" w:firstLine="456"/>
        <w:spacing w:after="0" w:line="298" w:lineRule="auto"/>
        <w:rPr>
          <w:sz w:val="20"/>
          <w:szCs w:val="20"/>
          <w:color w:val="auto"/>
        </w:rPr>
      </w:pPr>
      <w:r>
        <w:rPr>
          <w:rFonts w:ascii="Arial" w:cs="Arial" w:eastAsia="Arial" w:hAnsi="Arial"/>
          <w:sz w:val="16"/>
          <w:szCs w:val="16"/>
          <w:color w:val="auto"/>
        </w:rPr>
        <w:t>In this free writing prospectus,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free writing prospectus, for the periods on or before July 9, 2009, as “Old GM.” Capitalized terms not defined herein have the meaning given to them in the Prospectuses.</w:t>
      </w:r>
    </w:p>
    <w:p>
      <w:pPr>
        <w:spacing w:after="0" w:line="107" w:lineRule="exact"/>
        <w:rPr>
          <w:sz w:val="24"/>
          <w:szCs w:val="24"/>
          <w:color w:val="auto"/>
        </w:rPr>
      </w:pPr>
    </w:p>
    <w:p>
      <w:pPr>
        <w:ind w:right="160" w:firstLine="456"/>
        <w:spacing w:after="0" w:line="339" w:lineRule="auto"/>
        <w:rPr>
          <w:sz w:val="20"/>
          <w:szCs w:val="20"/>
          <w:color w:val="auto"/>
        </w:rPr>
      </w:pPr>
      <w:r>
        <w:rPr>
          <w:rFonts w:ascii="Arial" w:cs="Arial" w:eastAsia="Arial" w:hAnsi="Arial"/>
          <w:sz w:val="16"/>
          <w:szCs w:val="16"/>
          <w:b w:val="1"/>
          <w:bCs w:val="1"/>
          <w:color w:val="auto"/>
        </w:rPr>
        <w:t>The information in this free writing prospectus is preliminary and is subject to completion or change. This free writing prospectus is not an offer to sell or a solicitation of an offer to buy these securities in any state where such offer, solicitation or sale is not permitted.</w:t>
      </w:r>
    </w:p>
    <w:p>
      <w:pPr>
        <w:spacing w:after="0" w:line="74" w:lineRule="exact"/>
        <w:rPr>
          <w:sz w:val="24"/>
          <w:szCs w:val="24"/>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We have filed a registration statement (including prospectuses) with the SEC for the offerings to which this communication relates. Before you invest, you should read the prospectuses in that registration statement and other documents we have filed with the SEC for more complete information about the Company and the offerings. You may get these documents for free by visiting EDGAR on the SEC Website at www.sec.gov. Alternatively, the Company, any underwriter or any dealer participating in the offering will arrange to send you the prospectuses, when available, if you request it by calling Morgan Stanley &amp; Co. Incorporated at 1-866-718-1649 or J.P. Morgan Securities LLC at 1-866-803-9204.</w:t>
      </w:r>
    </w:p>
    <w:p>
      <w:pPr>
        <w:sectPr>
          <w:pgSz w:w="11900" w:h="16838" w:orient="portrait"/>
          <w:cols w:equalWidth="0" w:num="1">
            <w:col w:w="11420"/>
          </w:cols>
          <w:pgMar w:left="240" w:top="301"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CAPITALIZATION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table sets forth our capitalization as of September 30, 2010, actual and as adjusted to reflect: (1) the issuance and sale by us of 60,000,000 shares of our Series B preferred stock, which is contingent upon the closing of the offering of common stock, at a public offering price of $50.00 per share of Series B preferred stock (assuming no exercise by the underwriters of their over-allotment option in the Series B preferred stock offering); (2) the repayment of the VEBA Notes of $2.8 billion (with a carrying amount of $3.0 billion at September 30, 2010); (3) the purchase of the Series A Preferred Stock held by the UST for 102% of their $2.1 billion aggregate liquidation amount and the corresponding reclassification into stockholders’ equity of the remaining outstanding shares of Series A Preferred Stock; (4) the contribution of cash of $4.0 billion to our U.S. hourly and salaried pension plans; (5) the application of the net proceeds of the offering of our Series B preferred stock and use of a portion of our cash on hand as described in the section of this prospectus entitled “Use of Proceeds;” and (6) the three-for-one stock split on shares of our common stock effected on November 1, 2010. Our capitalization, on an as adjusted basis, does not encompass the expected contribution of $2.0 billion of our common stock to our U.S. hourly and salaried pension plans after the closing of the common stock offering and the Series B preferred stock offering and approval from the Department of Labor, which we expect to receive in the near-term, as these shares would not be considered outstanding for accounting purposes until certain transfer restrictions are eliminated. Our new secured revolving credit facility of $5.0 billion is also excluded as we do not expect to draw on the facility in the immediate future.</w:t>
      </w:r>
    </w:p>
    <w:p>
      <w:pPr>
        <w:spacing w:after="0" w:line="43" w:lineRule="exact"/>
        <w:rPr>
          <w:sz w:val="20"/>
          <w:szCs w:val="20"/>
          <w:color w:val="auto"/>
        </w:rPr>
      </w:pPr>
    </w:p>
    <w:p>
      <w:pPr>
        <w:jc w:val="both"/>
        <w:ind w:right="240" w:firstLine="456"/>
        <w:spacing w:after="0" w:line="294" w:lineRule="auto"/>
        <w:rPr>
          <w:sz w:val="20"/>
          <w:szCs w:val="20"/>
          <w:color w:val="auto"/>
        </w:rPr>
      </w:pPr>
      <w:r>
        <w:rPr>
          <w:rFonts w:ascii="Arial" w:cs="Arial" w:eastAsia="Arial" w:hAnsi="Arial"/>
          <w:sz w:val="16"/>
          <w:szCs w:val="16"/>
          <w:color w:val="auto"/>
        </w:rPr>
        <w:t>The as adjusted information below is illustrative only, and our capitalization following the closing of this offering will be adjusted based upon the public offering price for the offering of our Series B preferred stock and other terms of the offering of our Series B preferred stock determined at pricing. You should read the information set forth below in conjunction with our audited consolidated financial statements and unaudited condensed consolidated interim financial statements and the notes thereto and the sections of this prospectus entitled “Selected Historical Financial and Operating Data” and “Management’s Discussion and Analysis of Financial Condition and Results of Operations” included elsewhere in this prospectus.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8"/>
                <w:szCs w:val="18"/>
                <w:b w:val="1"/>
                <w:bCs w:val="1"/>
                <w:color w:val="auto"/>
              </w:rPr>
              <w:t>As of September 30, 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Unaudited</w:t>
            </w: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As</w:t>
            </w:r>
          </w:p>
        </w:tc>
        <w:tc>
          <w:tcPr>
            <w:tcW w:w="0" w:type="dxa"/>
            <w:vAlign w:val="bottom"/>
          </w:tcPr>
          <w:p>
            <w:pPr>
              <w:spacing w:after="0"/>
              <w:rPr>
                <w:sz w:val="1"/>
                <w:szCs w:val="1"/>
                <w:color w:val="auto"/>
              </w:rPr>
            </w:pPr>
          </w:p>
        </w:tc>
      </w:tr>
      <w:tr>
        <w:trPr>
          <w:trHeight w:val="189"/>
        </w:trPr>
        <w:tc>
          <w:tcPr>
            <w:tcW w:w="80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(Dollars in millions, except share amounts)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94"/>
              </w:rPr>
              <w:t>Actual</w:t>
            </w:r>
          </w:p>
        </w:tc>
        <w:tc>
          <w:tcPr>
            <w:tcW w:w="220" w:type="dxa"/>
            <w:vAlign w:val="bottom"/>
            <w:vMerge w:val="restart"/>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(excluding Restricted cash and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27,446</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000" w:type="dxa"/>
            <w:vAlign w:val="bottom"/>
            <w:gridSpan w:val="2"/>
          </w:tcPr>
          <w:p>
            <w:pPr>
              <w:spacing w:after="0"/>
              <w:rPr>
                <w:sz w:val="20"/>
                <w:szCs w:val="20"/>
                <w:color w:val="auto"/>
              </w:rPr>
            </w:pPr>
            <w:r>
              <w:rPr>
                <w:rFonts w:ascii="Arial" w:cs="Arial" w:eastAsia="Arial" w:hAnsi="Arial"/>
                <w:sz w:val="18"/>
                <w:szCs w:val="18"/>
                <w:color w:val="auto"/>
              </w:rPr>
              <w:t>Short-term debt, including 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5,621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8"/>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2,945</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Series A Preferred Stock, $0.01 par value; 360,000,000 shares issued and outstanding, actual</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6,998</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gridSpan w:val="2"/>
          </w:tcPr>
          <w:p>
            <w:pPr>
              <w:spacing w:after="0"/>
              <w:rPr>
                <w:sz w:val="20"/>
                <w:szCs w:val="20"/>
                <w:color w:val="auto"/>
              </w:rPr>
            </w:pPr>
            <w:r>
              <w:rPr>
                <w:rFonts w:ascii="Arial" w:cs="Arial" w:eastAsia="Arial" w:hAnsi="Arial"/>
                <w:sz w:val="18"/>
                <w:szCs w:val="18"/>
                <w:color w:val="auto"/>
              </w:rPr>
              <w:t>Series A Preferred Stock, $0.01 par value; 276,101,695 shares issued and outstanding, as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adjusted</w:t>
            </w: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mandatory convertible junior preferred stock, $0.01 par value; 0 shares issued and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outstanding, actual; 60,000,000 shares issued and outstanding, as adjusted(a)</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08"/>
        </w:trPr>
        <w:tc>
          <w:tcPr>
            <w:tcW w:w="8000" w:type="dxa"/>
            <w:vAlign w:val="bottom"/>
            <w:gridSpan w:val="2"/>
          </w:tcPr>
          <w:p>
            <w:pPr>
              <w:spacing w:after="0"/>
              <w:rPr>
                <w:sz w:val="20"/>
                <w:szCs w:val="20"/>
                <w:color w:val="auto"/>
              </w:rPr>
            </w:pPr>
            <w:r>
              <w:rPr>
                <w:rFonts w:ascii="Arial" w:cs="Arial" w:eastAsia="Arial" w:hAnsi="Arial"/>
                <w:sz w:val="18"/>
                <w:szCs w:val="18"/>
                <w:color w:val="auto"/>
              </w:rPr>
              <w:t>Common stock, $0.01 par value; 1,500,000,000 shares issued and outstanding, actual and as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adjusted</w:t>
            </w: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surplus (principally additional paid-in capital)</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24,041</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24,041</w:t>
            </w:r>
          </w:p>
        </w:tc>
        <w:tc>
          <w:tcPr>
            <w:tcW w:w="0" w:type="dxa"/>
            <w:vAlign w:val="bottom"/>
          </w:tcPr>
          <w:p>
            <w:pPr>
              <w:spacing w:after="0"/>
              <w:rPr>
                <w:sz w:val="1"/>
                <w:szCs w:val="1"/>
                <w:color w:val="auto"/>
              </w:rPr>
            </w:pPr>
          </w:p>
        </w:tc>
      </w:tr>
      <w:tr>
        <w:trPr>
          <w:trHeight w:val="228"/>
        </w:trPr>
        <w:tc>
          <w:tcPr>
            <w:tcW w:w="80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8"/>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3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22,747</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balance sheet classification of the Series B preferred stock will be determined in accordance with applicable accounting requirements upon closing of the Series B preferred stock offering and issuance of the shares of Series B preferred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PORTIONS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16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July 10, 2009</w:t>
            </w:r>
          </w:p>
        </w:tc>
        <w:tc>
          <w:tcPr>
            <w:tcW w:w="4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January 1, 2009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Through</w:t>
            </w:r>
          </w:p>
        </w:tc>
        <w:tc>
          <w:tcPr>
            <w:tcW w:w="12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Through</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Through</w:t>
            </w:r>
          </w:p>
        </w:tc>
        <w:tc>
          <w:tcPr>
            <w:tcW w:w="160" w:type="dxa"/>
            <w:vAlign w:val="bottom"/>
          </w:tcPr>
          <w:p>
            <w:pPr>
              <w:spacing w:after="0"/>
              <w:rPr>
                <w:sz w:val="12"/>
                <w:szCs w:val="12"/>
                <w:color w:val="auto"/>
              </w:rPr>
            </w:pPr>
          </w:p>
        </w:tc>
        <w:tc>
          <w:tcPr>
            <w:tcW w:w="116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1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80" w:type="dxa"/>
            <w:vAlign w:val="bottom"/>
            <w:tcBorders>
              <w:right w:val="single" w:sz="8" w:color="auto"/>
            </w:tcBorders>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July 9,</w:t>
            </w:r>
          </w:p>
        </w:tc>
        <w:tc>
          <w:tcPr>
            <w:tcW w:w="1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7"/>
              </w:rPr>
              <w:t>Unaudited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Sales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98,568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57,329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25,060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46,787</w:t>
            </w:r>
          </w:p>
        </w:tc>
        <w:tc>
          <w:tcPr>
            <w:tcW w:w="22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147,732</w:t>
            </w:r>
          </w:p>
        </w:tc>
        <w:tc>
          <w:tcPr>
            <w:tcW w:w="3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200"/>
              <w:spacing w:after="0"/>
              <w:rPr>
                <w:sz w:val="20"/>
                <w:szCs w:val="20"/>
                <w:color w:val="auto"/>
              </w:rPr>
            </w:pPr>
            <w:r>
              <w:rPr>
                <w:rFonts w:ascii="Arial" w:cs="Arial" w:eastAsia="Arial" w:hAnsi="Arial"/>
                <w:sz w:val="18"/>
                <w:szCs w:val="18"/>
                <w:color w:val="auto"/>
              </w:rPr>
              <w:t>Total net sales and revenue</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98,710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57,474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25,147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148,979</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85,818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56,381</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23,554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55,814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149,257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165,573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 expenses,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170,209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184,293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42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(4,928)</w:t>
            </w:r>
          </w:p>
        </w:tc>
        <w:tc>
          <w:tcPr>
            <w:tcW w:w="1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(1,003)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(16,095)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(21,230)</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in income (loss) of and disposition of interest in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Ally Financial</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(6,183)</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(5,428)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(2,525)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5"/>
              </w:rPr>
              <w:t>Interest income and other non-operating income,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Gain (loss) on extinguishment of debt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gains,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income taxes and equity income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(5,283)</w:t>
            </w:r>
          </w:p>
        </w:tc>
        <w:tc>
          <w:tcPr>
            <w:tcW w:w="1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(914)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107,776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(29,471)</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Equity income, net of tax</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(31,051)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9"/>
              </w:rPr>
              <w:t>Gain on sale of discontinued operations, net of tax</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5,031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(3,786)</w:t>
            </w:r>
          </w:p>
        </w:tc>
        <w:tc>
          <w:tcPr>
            <w:tcW w:w="1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109,003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(31,051)</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4"/>
              </w:rPr>
              <w:t>Less: Net income (loss) attributable to noncontrolling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(858)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109,118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(30,943)</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(38,542)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common</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4,158</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(4,428)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(908)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109,118</w:t>
            </w:r>
          </w:p>
        </w:tc>
        <w:tc>
          <w:tcPr>
            <w:tcW w:w="220" w:type="dxa"/>
            <w:vAlign w:val="bottom"/>
          </w:tcPr>
          <w:p>
            <w:pPr>
              <w:spacing w:after="0"/>
              <w:rPr>
                <w:sz w:val="19"/>
                <w:szCs w:val="19"/>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(30,943)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(38,542)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314"/>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and Vehicle Sales Volume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Management believes that production volume and vehicle sales data provide meaningful information regarding our operating results. Production volumes manufactured by our assembly facilities are generally aligned with current period net sales and revenue, as we generally recognize revenue upon the release of the vehicle to the carrier responsible for transporting it to a dealer, which is shortly after the completion of production. Vehicle sales data, which includes retail and fleet sales, does not correlate directly to the revenue we recognize during the period. However, vehicle sales data is indicative of the underlying demand for our vehicles, and is the basis for our market share.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total production volume and sales of new motor vehicles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Combined GM</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GM</w:t>
            </w:r>
          </w:p>
        </w:tc>
        <w:tc>
          <w:tcPr>
            <w:tcW w:w="10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and Old GM</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right"/>
              <w:ind w:right="1440"/>
              <w:spacing w:after="0"/>
              <w:rPr>
                <w:sz w:val="20"/>
                <w:szCs w:val="20"/>
                <w:color w:val="auto"/>
              </w:rPr>
            </w:pPr>
            <w:r>
              <w:rPr>
                <w:rFonts w:ascii="Arial" w:cs="Arial" w:eastAsia="Arial" w:hAnsi="Arial"/>
                <w:sz w:val="14"/>
                <w:szCs w:val="14"/>
                <w:b w:val="1"/>
                <w:bCs w:val="1"/>
                <w:color w:val="auto"/>
              </w:rPr>
              <w:t>Old GM</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10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Year Ended</w:t>
            </w:r>
          </w:p>
        </w:tc>
        <w:tc>
          <w:tcPr>
            <w:tcW w:w="1000" w:type="dxa"/>
            <w:vAlign w:val="bottom"/>
          </w:tcPr>
          <w:p>
            <w:pPr>
              <w:spacing w:after="0"/>
              <w:rPr>
                <w:sz w:val="11"/>
                <w:szCs w:val="11"/>
                <w:color w:val="auto"/>
              </w:rPr>
            </w:pPr>
          </w:p>
        </w:tc>
        <w:tc>
          <w:tcPr>
            <w:tcW w:w="122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Year Ended</w:t>
            </w:r>
          </w:p>
        </w:tc>
        <w:tc>
          <w:tcPr>
            <w:tcW w:w="8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10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 2009</w:t>
            </w:r>
          </w:p>
        </w:tc>
        <w:tc>
          <w:tcPr>
            <w:tcW w:w="10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December 31, 2008</w:t>
            </w:r>
          </w:p>
        </w:tc>
        <w:tc>
          <w:tcPr>
            <w:tcW w:w="88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December 31, 2007</w:t>
            </w: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1160" w:type="dxa"/>
            <w:vAlign w:val="bottom"/>
            <w:tcBorders>
              <w:top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GMNA</w:t>
            </w:r>
          </w:p>
        </w:tc>
        <w:tc>
          <w:tcPr>
            <w:tcW w:w="1160" w:type="dxa"/>
            <w:vAlign w:val="bottom"/>
          </w:tcPr>
          <w:p>
            <w:pPr>
              <w:jc w:val="right"/>
              <w:spacing w:after="0"/>
              <w:rPr>
                <w:sz w:val="20"/>
                <w:szCs w:val="20"/>
                <w:color w:val="auto"/>
              </w:rPr>
            </w:pPr>
            <w:r>
              <w:rPr>
                <w:rFonts w:ascii="Arial" w:cs="Arial" w:eastAsia="Arial" w:hAnsi="Arial"/>
                <w:sz w:val="18"/>
                <w:szCs w:val="18"/>
                <w:color w:val="auto"/>
              </w:rPr>
              <w:t>2,106</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1,913</w:t>
            </w:r>
          </w:p>
        </w:tc>
        <w:tc>
          <w:tcPr>
            <w:tcW w:w="2220" w:type="dxa"/>
            <w:vAlign w:val="bottom"/>
            <w:gridSpan w:val="3"/>
          </w:tcPr>
          <w:p>
            <w:pPr>
              <w:jc w:val="right"/>
              <w:ind w:right="120"/>
              <w:spacing w:after="0"/>
              <w:rPr>
                <w:sz w:val="20"/>
                <w:szCs w:val="20"/>
                <w:color w:val="auto"/>
              </w:rPr>
            </w:pPr>
            <w:r>
              <w:rPr>
                <w:rFonts w:ascii="Arial" w:cs="Arial" w:eastAsia="Arial" w:hAnsi="Arial"/>
                <w:sz w:val="18"/>
                <w:szCs w:val="18"/>
                <w:color w:val="auto"/>
              </w:rPr>
              <w:t>3,449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 (b)(c)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2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8,144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172"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SGM joint venture production in China of 735,000 vehicles and SGMW, FAW-GM joint venture production in China and SAIC GM Investment Ltd. (HKJV) joint venture production in India of 1.1 million vehicles in the nine months ended September 30, 2010, combined GM and Old GM SGM joint venture production in China of 712,000 vehicles and combined GM and Old GM SGMW and FAW-GM joint venture production in China of 1.2 million vehicles in the year ended December 31, 2009 and Old GM SGM joint venture production in China of 439,000 vehicles and 491,000 vehicles and Old GM SGMW joint venture production in China of 646,000 vehicles and 555,000 vehicles in the years ended December 31, 2008 and 2007.</w:t>
      </w:r>
    </w:p>
    <w:p>
      <w:pPr>
        <w:spacing w:after="0" w:line="156"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allows for significant rights as a member as well as the contractual right to report SGMW and FAW-GM joint venture production in China.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1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8"/>
              </w:rPr>
              <w:t>Nine Months</w:t>
            </w:r>
          </w:p>
        </w:tc>
        <w:tc>
          <w:tcPr>
            <w:tcW w:w="2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Ended</w:t>
            </w:r>
          </w:p>
        </w:tc>
        <w:tc>
          <w:tcPr>
            <w:tcW w:w="880" w:type="dxa"/>
            <w:vAlign w:val="bottom"/>
          </w:tcPr>
          <w:p>
            <w:pPr>
              <w:spacing w:after="0"/>
              <w:rPr>
                <w:sz w:val="12"/>
                <w:szCs w:val="12"/>
                <w:color w:val="auto"/>
              </w:rPr>
            </w:pPr>
          </w:p>
        </w:tc>
        <w:tc>
          <w:tcPr>
            <w:tcW w:w="158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1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5"/>
              </w:rPr>
              <w:t>September 30, 2010</w:t>
            </w:r>
          </w:p>
        </w:tc>
        <w:tc>
          <w:tcPr>
            <w:tcW w:w="2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 2009</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6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Combined GM</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as a %</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and Old GM</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Combined GM</w:t>
            </w:r>
          </w:p>
        </w:tc>
        <w:tc>
          <w:tcPr>
            <w:tcW w:w="6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as a % of</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54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Industry</w:t>
            </w:r>
          </w:p>
        </w:tc>
        <w:tc>
          <w:tcPr>
            <w:tcW w:w="880" w:type="dxa"/>
            <w:vAlign w:val="bottom"/>
          </w:tcPr>
          <w:p>
            <w:pPr>
              <w:jc w:val="right"/>
              <w:ind w:right="2"/>
              <w:spacing w:after="0"/>
              <w:rPr>
                <w:sz w:val="20"/>
                <w:szCs w:val="20"/>
                <w:color w:val="auto"/>
              </w:rPr>
            </w:pPr>
            <w:r>
              <w:rPr>
                <w:rFonts w:ascii="Arial" w:cs="Arial" w:eastAsia="Arial" w:hAnsi="Arial"/>
                <w:sz w:val="14"/>
                <w:szCs w:val="14"/>
                <w:b w:val="1"/>
                <w:bCs w:val="1"/>
                <w:color w:val="auto"/>
                <w:w w:val="99"/>
              </w:rPr>
              <w:t>and Old GM</w:t>
            </w:r>
          </w:p>
        </w:tc>
        <w:tc>
          <w:tcPr>
            <w:tcW w:w="6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Sales (a)(b)(c)(d)</w:t>
            </w: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GMNA(e)</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GMIO(f)(g)(h)</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3,041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GME(f)</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1,238</w:t>
            </w: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Worldwide(f)</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6,220</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7" w:right="239" w:bottom="1440" w:gutter="0" w:footer="0" w:header="0"/>
        </w:sectPr>
      </w:pPr>
    </w:p>
    <w:bookmarkStart w:id="4" w:name="page5"/>
    <w:bookmarkEnd w:id="4"/>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Vehicle sales data may include rounding differences.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Vehicle sales primarily represent sales to the ultimate customer.</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211"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SGM joint venture vehicle sales in China of 713,000 vehicles and SGMW, FAW-GM joint venture vehicle sales in China and HKJV joint venture vehicle sales in India of 1.0 million vehicles in the nine months ended September 30, 2010 and combined GM and Old GM SGM joint venture vehicle sales in China of 473,000 vehicles and combined GM and Old GM SGMW and FAW-GM joint venture vehicle sales in China of 763,000 vehicles in the nine months ended September 30, 2009. We do not record revenue from our joint ventures’ vehicle sales.</w:t>
      </w:r>
    </w:p>
    <w:p>
      <w:pPr>
        <w:spacing w:after="0" w:line="15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 for significant rights as a member as well as the contractual right to report SGMW and FAW-GM joint venture vehicle sales in China.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6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December 31, 2009</w:t>
            </w: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December 31, 2008</w:t>
            </w: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December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Combined</w:t>
            </w:r>
          </w:p>
        </w:tc>
        <w:tc>
          <w:tcPr>
            <w:tcW w:w="3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GM and</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Combined</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Old GM</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Old GM</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Old GM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GM and</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as a % of</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a % of</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a %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Old GM</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Old GM</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Industry</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Old GM</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Sales (a)(b)(c)</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GMNA (d)</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2,485</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3,565</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21.5%</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4,516</w:t>
            </w:r>
          </w:p>
        </w:tc>
        <w:tc>
          <w:tcPr>
            <w:tcW w:w="5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 (e)(f)(g)</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GME (e)</w:t>
            </w:r>
          </w:p>
        </w:tc>
        <w:tc>
          <w:tcPr>
            <w:tcW w:w="620" w:type="dxa"/>
            <w:vAlign w:val="bottom"/>
          </w:tcPr>
          <w:p>
            <w:pPr>
              <w:jc w:val="right"/>
              <w:spacing w:after="0"/>
              <w:rPr>
                <w:sz w:val="20"/>
                <w:szCs w:val="20"/>
                <w:color w:val="auto"/>
              </w:rPr>
            </w:pPr>
            <w:r>
              <w:rPr>
                <w:rFonts w:ascii="Arial" w:cs="Arial" w:eastAsia="Arial" w:hAnsi="Arial"/>
                <w:sz w:val="18"/>
                <w:szCs w:val="18"/>
                <w:color w:val="auto"/>
              </w:rPr>
              <w:t>1,668</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2,043</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2,182</w:t>
            </w: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8,359</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HUMMER, Saab, Saturn and Pontiac vehicle sales data.</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Vehicle sales primarily represent sales to the ultimate customer.</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211" w:lineRule="exact"/>
        <w:rPr>
          <w:rFonts w:ascii="Arial" w:cs="Arial" w:eastAsia="Arial" w:hAnsi="Arial"/>
          <w:sz w:val="18"/>
          <w:szCs w:val="18"/>
          <w:color w:val="auto"/>
        </w:rPr>
      </w:pPr>
    </w:p>
    <w:p>
      <w:pPr>
        <w:ind w:left="460" w:right="10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combined GM and Old GM SGM joint venture vehicle sales in China of 710,000 vehicles and combined GM and Old GM SGMW and FAW-GM joint venture vehicle sales in China of 1.0 million vehicles in the year ended December 31, 2009 and Old GM SGM joint venture vehicle sales in China of 446,000 vehicles and 476,000 vehicles and Old GM SGMW joint venture vehicle sales in China of 606,000 vehicles and 516,000 vehicles in the years ended December 31, 2008 and 2007. We do not record revenue from our joint ventures’ vehicle sales.</w:t>
      </w:r>
    </w:p>
    <w:p>
      <w:pPr>
        <w:spacing w:after="0" w:line="15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 for significant rights as a member as well as the contractual right to report SGMW and FAW-GM joint venture vehicle sales in China.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7"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Consolidated and Segment Results</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Management believes earnings before interest and taxes (EBIT) provides meaningful supplemental information regarding our operating results because it excludes amounts that management does not consider part of operating results when assessing and measuring the operational and financial performance of the organization. Management believes these measures allow it to readily view operating trends, perform analytical comparisons, benchmark performance between periods and among geographic regions and assess whether our plan to return to profitability is on target. Accordingly, we believe EBIT is useful in allowing for greater transparency of our core operations and it is therefore used by management in its financial and operational decision-making.</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While management believes that EBIT provides useful information, it is not an operating measure under U. S. GAAP, and there are limitations associated with its use. Our calculation of EBIT may not be completely comparable to similarly titled measures of other companies due to potential differences between companies in the method of calculation. As a result, the use of EBIT has limitations and should not be considered in isolation from, or as a substitute for, other measures such as Net income (loss) or Net income (loss) attributable to common stockholders. Due to these limitations, EBIT is used as a supplement to U. S. GAAP measures.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the reconciliation of EBIT to Net income (loss) attributable to stockholders for each of our operating segments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79"/>
              </w:rPr>
              <w:t>Successor</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0"/>
              </w:rPr>
              <w:t>Predecessor</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4"/>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60" w:type="dxa"/>
            <w:vAlign w:val="bottom"/>
          </w:tcPr>
          <w:p>
            <w:pPr>
              <w:spacing w:after="0"/>
              <w:rPr>
                <w:sz w:val="11"/>
                <w:szCs w:val="11"/>
                <w:color w:val="auto"/>
              </w:rPr>
            </w:pPr>
          </w:p>
        </w:tc>
        <w:tc>
          <w:tcPr>
            <w:tcW w:w="1180" w:type="dxa"/>
            <w:vAlign w:val="bottom"/>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July 10, 2009</w:t>
            </w:r>
          </w:p>
        </w:tc>
        <w:tc>
          <w:tcPr>
            <w:tcW w:w="60" w:type="dxa"/>
            <w:vAlign w:val="bottom"/>
          </w:tcPr>
          <w:p>
            <w:pPr>
              <w:spacing w:after="0"/>
              <w:rPr>
                <w:sz w:val="11"/>
                <w:szCs w:val="11"/>
                <w:color w:val="auto"/>
              </w:rPr>
            </w:pPr>
          </w:p>
        </w:tc>
        <w:tc>
          <w:tcPr>
            <w:tcW w:w="8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3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4"/>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January 1, 2009</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18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2"/>
                <w:szCs w:val="12"/>
                <w:color w:val="auto"/>
              </w:rPr>
            </w:pPr>
          </w:p>
        </w:tc>
        <w:tc>
          <w:tcPr>
            <w:tcW w:w="1220" w:type="dxa"/>
            <w:vAlign w:val="bottom"/>
            <w:tcBorders>
              <w:right w:val="single" w:sz="8" w:color="auto"/>
            </w:tcBorders>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Through</w:t>
            </w:r>
          </w:p>
        </w:tc>
        <w:tc>
          <w:tcPr>
            <w:tcW w:w="220" w:type="dxa"/>
            <w:vAlign w:val="bottom"/>
          </w:tcPr>
          <w:p>
            <w:pPr>
              <w:spacing w:after="0"/>
              <w:rPr>
                <w:sz w:val="12"/>
                <w:szCs w:val="12"/>
                <w:color w:val="auto"/>
              </w:rPr>
            </w:pP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91"/>
              </w:rPr>
              <w:t>Through</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2"/>
                <w:szCs w:val="12"/>
                <w:color w:val="auto"/>
              </w:rPr>
            </w:pPr>
          </w:p>
        </w:tc>
        <w:tc>
          <w:tcPr>
            <w:tcW w:w="11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80" w:type="dxa"/>
            <w:vAlign w:val="bottom"/>
            <w:tcBorders>
              <w:right w:val="single" w:sz="8" w:color="auto"/>
            </w:tcBorders>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2"/>
                <w:szCs w:val="12"/>
                <w:color w:val="auto"/>
              </w:rPr>
            </w:pPr>
          </w:p>
        </w:tc>
        <w:tc>
          <w:tcPr>
            <w:tcW w:w="72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87"/>
              </w:rPr>
              <w:t>July 9,</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0" w:type="dxa"/>
            <w:vAlign w:val="bottom"/>
            <w:gridSpan w:val="3"/>
          </w:tcPr>
          <w:p>
            <w:pPr>
              <w:jc w:val="center"/>
              <w:ind w:left="852"/>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3"/>
          </w:tcPr>
          <w:p>
            <w:pPr>
              <w:jc w:val="center"/>
              <w:ind w:left="292"/>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9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segments</w:t>
            </w:r>
          </w:p>
        </w:tc>
        <w:tc>
          <w:tcPr>
            <w:tcW w:w="62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GMNA (a)</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$ 4,935</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79.3%</w:t>
            </w: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5"/>
              </w:rPr>
              <w:t>$(4,820)</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4"/>
              </w:rPr>
              <w:t>108.6%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5"/>
              </w:rPr>
              <w:t>(1,377)</w:t>
            </w:r>
          </w:p>
        </w:tc>
        <w:tc>
          <w:tcPr>
            <w:tcW w:w="68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w w:val="88"/>
              </w:rPr>
              <w:t>150.0%</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 (11,092)</w:t>
            </w: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74.6%</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$(12,203)</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85.0%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1,876</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GMIO (a)</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2,484</w:t>
            </w: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39.9%</w:t>
            </w:r>
          </w:p>
        </w:tc>
        <w:tc>
          <w:tcPr>
            <w:tcW w:w="66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1,196</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(26.9)%</w:t>
            </w: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474</w:t>
            </w:r>
          </w:p>
        </w:tc>
        <w:tc>
          <w:tcPr>
            <w:tcW w:w="68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(51.6)%</w:t>
            </w:r>
          </w:p>
        </w:tc>
        <w:tc>
          <w:tcPr>
            <w:tcW w:w="94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(964)</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471</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1,947</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GME (a)</w:t>
            </w:r>
          </w:p>
        </w:tc>
        <w:tc>
          <w:tcPr>
            <w:tcW w:w="62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(1,196)</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9"/>
              </w:rPr>
              <w:t>(19.2)%</w:t>
            </w: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(814)</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18.3%</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68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rPr>
              <w:t>1.6%</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(2,815)</w:t>
            </w: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18.9%</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(2,625)</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18.3%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(447)</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segments</w:t>
            </w: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6,223</w:t>
            </w: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6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(4,438)</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(918)</w:t>
            </w:r>
          </w:p>
        </w:tc>
        <w:tc>
          <w:tcPr>
            <w:tcW w:w="680" w:type="dxa"/>
            <w:vAlign w:val="bottom"/>
            <w:tcBorders>
              <w:right w:val="single" w:sz="8" w:color="auto"/>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100.0%</w:t>
            </w:r>
          </w:p>
        </w:tc>
        <w:tc>
          <w:tcPr>
            <w:tcW w:w="94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(14,871)</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100%</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(14,357)</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3,376</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spacing w:after="0"/>
              <w:rPr>
                <w:sz w:val="20"/>
                <w:szCs w:val="20"/>
                <w:color w:val="auto"/>
              </w:rPr>
            </w:pPr>
            <w:r>
              <w:rPr>
                <w:rFonts w:ascii="Arial" w:cs="Arial" w:eastAsia="Arial" w:hAnsi="Arial"/>
                <w:sz w:val="14"/>
                <w:szCs w:val="14"/>
                <w:color w:val="auto"/>
              </w:rPr>
              <w:t>Corporate and eliminations (b)</w:t>
            </w:r>
          </w:p>
        </w:tc>
        <w:tc>
          <w:tcPr>
            <w:tcW w:w="620" w:type="dxa"/>
            <w:vAlign w:val="bottom"/>
            <w:vMerge w:val="restart"/>
          </w:tcPr>
          <w:p>
            <w:pPr>
              <w:spacing w:after="0" w:line="20" w:lineRule="exact"/>
              <w:rPr>
                <w:sz w:val="1"/>
                <w:szCs w:val="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(349)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177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128,068</w:t>
            </w: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9"/>
              </w:rPr>
              <w:t>(12,950)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9"/>
              </w:rPr>
              <w:t>(3,207)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2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(loss) before interest and taxes</w:t>
            </w: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6,132</w:t>
            </w: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(4,787)</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(741)</w:t>
            </w:r>
          </w:p>
        </w:tc>
        <w:tc>
          <w:tcPr>
            <w:tcW w:w="32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113,197</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(27,307)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Interest income</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184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w:t>
            </w: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1,228</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694</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365</w:t>
            </w:r>
          </w:p>
        </w:tc>
        <w:tc>
          <w:tcPr>
            <w:tcW w:w="32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5,428</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2,525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3,076</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6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845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(1,000)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(1,166)</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36,863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 attributable to stockholders</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$ 4,766</w:t>
            </w: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(4,297)</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(858)</w:t>
            </w:r>
          </w:p>
        </w:tc>
        <w:tc>
          <w:tcPr>
            <w:tcW w:w="32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109,118</w:t>
            </w:r>
          </w:p>
        </w:tc>
        <w:tc>
          <w:tcPr>
            <w:tcW w:w="2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(30,943)</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4"/>
              </w:rPr>
              <w:t>(38,542)</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-1242695</wp:posOffset>
            </wp:positionV>
            <wp:extent cx="34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-857250</wp:posOffset>
            </wp:positionV>
            <wp:extent cx="34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-616585</wp:posOffset>
            </wp:positionV>
            <wp:extent cx="342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-222250</wp:posOffset>
            </wp:positionV>
            <wp:extent cx="34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-111125</wp:posOffset>
            </wp:positionV>
            <wp:extent cx="34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-93980</wp:posOffset>
            </wp:positionV>
            <wp:extent cx="34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460" w:right="1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and income taxes are recorded centrally in Corporate; therefore, there are no reconciling items for our operating segments between EBIT and Net income (loss) attributable to stockholders.</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Reorganization gains, net of $128.2 billion in the period January 1, 2009 through July 9,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5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2019-12-11T06:25:31Z</dcterms:created>
  <dcterms:modified xsi:type="dcterms:W3CDTF">2019-12-11T06:25:31Z</dcterms:modified>
</cp:coreProperties>
</file>