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8035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803529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Canada GEN Investment Corp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1240 BAY STREET, SUITE 302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12/22/2014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543" w:type="dxa"/>
        <w:tblCellMar>
          <w:top w:w="0" w:type="dxa"/>
          <w:left w:w="0" w:type="dxa"/>
          <w:bottom w:w="0" w:type="dxa"/>
          <w:right w:w="0" w:type="dxa"/>
        </w:tblCellMar>
      </w:tblPr>
      <w:tr>
        <w:trPr>
          <w:trHeight w:val="222"/>
        </w:trPr>
        <w:tc>
          <w:tcPr>
            <w:tcW w:w="1140" w:type="dxa"/>
            <w:vAlign w:val="bottom"/>
          </w:tcPr>
          <w:p>
            <w:pPr>
              <w:spacing w:after="0"/>
              <w:rPr>
                <w:sz w:val="20"/>
                <w:szCs w:val="20"/>
                <w:color w:val="auto"/>
              </w:rPr>
            </w:pPr>
            <w:r>
              <w:rPr>
                <w:rFonts w:ascii="Arial" w:cs="Arial" w:eastAsia="Arial" w:hAnsi="Arial"/>
                <w:sz w:val="14"/>
                <w:szCs w:val="14"/>
                <w:color w:val="auto"/>
              </w:rPr>
              <w:t>Director</w:t>
            </w:r>
          </w:p>
        </w:tc>
        <w:tc>
          <w:tcPr>
            <w:tcW w:w="380" w:type="dxa"/>
            <w:vAlign w:val="bottom"/>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1140" w:type="dxa"/>
            <w:vAlign w:val="bottom"/>
          </w:tcPr>
          <w:p>
            <w:pPr>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83"/>
        <w:spacing w:after="0"/>
        <w:rPr>
          <w:sz w:val="20"/>
          <w:szCs w:val="20"/>
          <w:color w:val="auto"/>
        </w:rPr>
      </w:pPr>
      <w:r>
        <w:rPr>
          <w:rFonts w:ascii="Arial" w:cs="Arial" w:eastAsia="Arial" w:hAnsi="Arial"/>
          <w:sz w:val="18"/>
          <w:szCs w:val="18"/>
          <w:color w:val="0000FF"/>
        </w:rPr>
        <w:t>See Remarks</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0" w:gutter="0" w:footer="0" w:header="0"/>
          <w:type w:val="continuous"/>
        </w:sectPr>
      </w:pPr>
    </w:p>
    <w:p>
      <w:pPr>
        <w:spacing w:after="0" w:line="5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900" w:type="dxa"/>
            <w:vAlign w:val="bottom"/>
            <w:gridSpan w:val="10"/>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7"/>
          </w:tcPr>
          <w:p>
            <w:pPr>
              <w:ind w:left="2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0" w:type="dxa"/>
            <w:vAlign w:val="bottom"/>
            <w:gridSpan w:val="5"/>
            <w:vMerge w:val="restart"/>
          </w:tcPr>
          <w:p>
            <w:pPr>
              <w:ind w:left="160"/>
              <w:spacing w:after="0"/>
              <w:rPr>
                <w:sz w:val="20"/>
                <w:szCs w:val="20"/>
                <w:color w:val="auto"/>
              </w:rPr>
            </w:pPr>
            <w:r>
              <w:rPr>
                <w:rFonts w:ascii="Arial" w:cs="Arial" w:eastAsia="Arial" w:hAnsi="Arial"/>
                <w:sz w:val="18"/>
                <w:szCs w:val="18"/>
                <w:color w:val="0000FF"/>
              </w:rPr>
              <w:t>12/22/2014</w:t>
            </w: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gridSpan w:val="2"/>
            <w:vMerge w:val="restart"/>
          </w:tcPr>
          <w:p>
            <w:pPr>
              <w:ind w:left="24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TORONTO</w:t>
            </w:r>
          </w:p>
        </w:tc>
        <w:tc>
          <w:tcPr>
            <w:tcW w:w="1300" w:type="dxa"/>
            <w:vAlign w:val="bottom"/>
            <w:gridSpan w:val="2"/>
            <w:vMerge w:val="restart"/>
          </w:tcPr>
          <w:p>
            <w:pPr>
              <w:ind w:left="40"/>
              <w:spacing w:after="0"/>
              <w:rPr>
                <w:sz w:val="20"/>
                <w:szCs w:val="20"/>
                <w:color w:val="auto"/>
              </w:rPr>
            </w:pPr>
            <w:r>
              <w:rPr>
                <w:rFonts w:ascii="Arial" w:cs="Arial" w:eastAsia="Arial" w:hAnsi="Arial"/>
                <w:sz w:val="18"/>
                <w:szCs w:val="18"/>
                <w:color w:val="0000FF"/>
              </w:rPr>
              <w:t>A6</w:t>
            </w:r>
          </w:p>
        </w:tc>
        <w:tc>
          <w:tcPr>
            <w:tcW w:w="1260" w:type="dxa"/>
            <w:vAlign w:val="bottom"/>
            <w:gridSpan w:val="5"/>
            <w:vMerge w:val="restart"/>
          </w:tcPr>
          <w:p>
            <w:pPr>
              <w:spacing w:after="0"/>
              <w:rPr>
                <w:sz w:val="20"/>
                <w:szCs w:val="20"/>
                <w:color w:val="auto"/>
              </w:rPr>
            </w:pPr>
            <w:r>
              <w:rPr>
                <w:rFonts w:ascii="Arial" w:cs="Arial" w:eastAsia="Arial" w:hAnsi="Arial"/>
                <w:sz w:val="18"/>
                <w:szCs w:val="18"/>
                <w:color w:val="0000FF"/>
              </w:rPr>
              <w:t>M5R 2A7</w:t>
            </w:r>
          </w:p>
        </w:tc>
        <w:tc>
          <w:tcPr>
            <w:tcW w:w="1600" w:type="dxa"/>
            <w:vAlign w:val="bottom"/>
            <w:gridSpan w:val="5"/>
            <w:vMerge w:val="continue"/>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260" w:type="dxa"/>
            <w:vAlign w:val="bottom"/>
            <w:gridSpan w:val="5"/>
            <w:vMerge w:val="continue"/>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96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2960" w:type="dxa"/>
            <w:vAlign w:val="bottom"/>
            <w:gridSpan w:val="5"/>
          </w:tcPr>
          <w:p>
            <w:pPr>
              <w:ind w:left="160"/>
              <w:spacing w:after="0" w:line="143"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4"/>
                <w:szCs w:val="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38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380" w:type="dxa"/>
            <w:vAlign w:val="bottom"/>
            <w:gridSpan w:val="2"/>
            <w:vMerge w:val="continue"/>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720" w:type="dxa"/>
            <w:vAlign w:val="bottom"/>
            <w:tcBorders>
              <w:bottom w:val="single" w:sz="8" w:color="2C2C2C"/>
            </w:tcBorders>
            <w:gridSpan w:val="2"/>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gridSpan w:val="3"/>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gridSpan w:val="3"/>
          </w:tcPr>
          <w:p>
            <w:pPr>
              <w:spacing w:after="0"/>
              <w:rPr>
                <w:sz w:val="11"/>
                <w:szCs w:val="11"/>
                <w:color w:val="auto"/>
              </w:rPr>
            </w:pPr>
          </w:p>
        </w:tc>
        <w:tc>
          <w:tcPr>
            <w:tcW w:w="2580" w:type="dxa"/>
            <w:vAlign w:val="bottom"/>
            <w:tcBorders>
              <w:bottom w:val="single" w:sz="8" w:color="2C2C2C"/>
            </w:tcBorders>
            <w:gridSpan w:val="5"/>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8140" w:type="dxa"/>
            <w:vAlign w:val="bottom"/>
            <w:tcBorders>
              <w:top w:val="single" w:sz="8" w:color="2C2C2C"/>
            </w:tcBorders>
            <w:gridSpan w:val="20"/>
          </w:tcPr>
          <w:p>
            <w:pPr>
              <w:jc w:val="center"/>
              <w:ind w:left="87"/>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4"/>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4"/>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4"/>
          </w:tcPr>
          <w:p>
            <w:pPr>
              <w:ind w:left="34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20" w:type="dxa"/>
            <w:vAlign w:val="bottom"/>
            <w:gridSpan w:val="4"/>
          </w:tcPr>
          <w:p>
            <w:pPr>
              <w:ind w:left="34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4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660" w:type="dxa"/>
            <w:vAlign w:val="bottom"/>
            <w:tcBorders>
              <w:bottom w:val="single" w:sz="8" w:color="2C2C2C"/>
            </w:tcBorders>
            <w:gridSpan w:val="5"/>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020" w:type="dxa"/>
            <w:vAlign w:val="bottom"/>
            <w:tcBorders>
              <w:bottom w:val="single" w:sz="8" w:color="2C2C2C"/>
            </w:tcBorders>
            <w:gridSpan w:val="7"/>
          </w:tcPr>
          <w:p>
            <w:pPr>
              <w:ind w:left="60"/>
              <w:spacing w:after="0"/>
              <w:rPr>
                <w:sz w:val="20"/>
                <w:szCs w:val="20"/>
                <w:color w:val="auto"/>
              </w:rPr>
            </w:pPr>
            <w:r>
              <w:rPr>
                <w:rFonts w:ascii="Arial" w:cs="Arial" w:eastAsia="Arial" w:hAnsi="Arial"/>
                <w:sz w:val="18"/>
                <w:szCs w:val="18"/>
                <w:color w:val="0000FF"/>
                <w:w w:val="86"/>
              </w:rPr>
              <w:t>Common Stock, par value $0.01 per share</w:t>
            </w:r>
          </w:p>
        </w:tc>
        <w:tc>
          <w:tcPr>
            <w:tcW w:w="1420" w:type="dxa"/>
            <w:vAlign w:val="bottom"/>
            <w:tcBorders>
              <w:bottom w:val="single" w:sz="8" w:color="2C2C2C"/>
            </w:tcBorders>
            <w:gridSpan w:val="4"/>
          </w:tcPr>
          <w:p>
            <w:pPr>
              <w:ind w:left="440"/>
              <w:spacing w:after="0"/>
              <w:rPr>
                <w:sz w:val="20"/>
                <w:szCs w:val="20"/>
                <w:color w:val="auto"/>
              </w:rPr>
            </w:pPr>
            <w:r>
              <w:rPr>
                <w:rFonts w:ascii="Arial" w:cs="Arial" w:eastAsia="Arial" w:hAnsi="Arial"/>
                <w:sz w:val="18"/>
                <w:szCs w:val="18"/>
                <w:color w:val="0000FF"/>
              </w:rPr>
              <w:t>12/22/2014</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J</w:t>
            </w:r>
          </w:p>
        </w:tc>
        <w:tc>
          <w:tcPr>
            <w:tcW w:w="1020" w:type="dxa"/>
            <w:vAlign w:val="bottom"/>
            <w:tcBorders>
              <w:bottom w:val="single" w:sz="8" w:color="2C2C2C"/>
            </w:tcBorders>
            <w:gridSpan w:val="2"/>
          </w:tcPr>
          <w:p>
            <w:pPr>
              <w:ind w:left="100"/>
              <w:spacing w:after="0"/>
              <w:rPr>
                <w:sz w:val="20"/>
                <w:szCs w:val="20"/>
                <w:color w:val="auto"/>
              </w:rPr>
            </w:pPr>
            <w:r>
              <w:rPr>
                <w:rFonts w:ascii="Arial" w:cs="Arial" w:eastAsia="Arial" w:hAnsi="Arial"/>
                <w:sz w:val="18"/>
                <w:szCs w:val="18"/>
                <w:color w:val="0000FF"/>
                <w:w w:val="99"/>
              </w:rPr>
              <w:t>36,694,915</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D</w:t>
            </w:r>
          </w:p>
        </w:tc>
        <w:tc>
          <w:tcPr>
            <w:tcW w:w="640" w:type="dxa"/>
            <w:vAlign w:val="bottom"/>
            <w:tcBorders>
              <w:bottom w:val="single" w:sz="8" w:color="2C2C2C"/>
            </w:tcBorders>
            <w:gridSpan w:val="2"/>
          </w:tcPr>
          <w:p>
            <w:pPr>
              <w:jc w:val="right"/>
              <w:ind w:right="94"/>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(2)</w:t>
            </w:r>
          </w:p>
        </w:tc>
        <w:tc>
          <w:tcPr>
            <w:tcW w:w="124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73,389,831</w:t>
            </w:r>
          </w:p>
        </w:tc>
        <w:tc>
          <w:tcPr>
            <w:tcW w:w="920" w:type="dxa"/>
            <w:vAlign w:val="bottom"/>
            <w:tcBorders>
              <w:bottom w:val="single" w:sz="8" w:color="2C2C2C"/>
            </w:tcBorders>
          </w:tcPr>
          <w:p>
            <w:pPr>
              <w:ind w:left="24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(1)(2)</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9"/>
          </w:tcPr>
          <w:p>
            <w:pPr>
              <w:jc w:val="center"/>
              <w:ind w:left="887"/>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20" w:type="dxa"/>
            <w:vAlign w:val="bottom"/>
            <w:gridSpan w:val="15"/>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20" w:type="dxa"/>
            <w:vAlign w:val="bottom"/>
          </w:tcPr>
          <w:p>
            <w:pPr>
              <w:spacing w:after="0"/>
              <w:rPr>
                <w:sz w:val="15"/>
                <w:szCs w:val="15"/>
                <w:color w:val="auto"/>
              </w:rPr>
            </w:pPr>
          </w:p>
        </w:tc>
        <w:tc>
          <w:tcPr>
            <w:tcW w:w="1140" w:type="dxa"/>
            <w:vAlign w:val="bottom"/>
            <w:gridSpan w:val="4"/>
          </w:tcPr>
          <w:p>
            <w:pPr>
              <w:ind w:left="2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1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0" w:type="dxa"/>
            <w:vAlign w:val="bottom"/>
          </w:tcPr>
          <w:p>
            <w:pPr>
              <w:spacing w:after="0"/>
              <w:rPr>
                <w:sz w:val="11"/>
                <w:szCs w:val="11"/>
                <w:color w:val="auto"/>
              </w:rPr>
            </w:pPr>
          </w:p>
        </w:tc>
        <w:tc>
          <w:tcPr>
            <w:tcW w:w="11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gridSpan w:val="3"/>
          </w:tcPr>
          <w:p>
            <w:pPr>
              <w:ind w:left="2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gridSpan w:val="3"/>
          </w:tcPr>
          <w:p>
            <w:pPr>
              <w:ind w:left="20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1080" w:type="dxa"/>
            <w:vAlign w:val="bottom"/>
            <w:gridSpan w:val="3"/>
          </w:tcPr>
          <w:p>
            <w:pPr>
              <w:ind w:left="200"/>
              <w:spacing w:after="0"/>
              <w:rPr>
                <w:sz w:val="20"/>
                <w:szCs w:val="20"/>
                <w:color w:val="auto"/>
              </w:rPr>
            </w:pPr>
            <w:r>
              <w:rPr>
                <w:rFonts w:ascii="Arial" w:cs="Arial" w:eastAsia="Arial" w:hAnsi="Arial"/>
                <w:sz w:val="12"/>
                <w:szCs w:val="12"/>
                <w:b w:val="1"/>
                <w:bCs w:val="1"/>
                <w:color w:val="auto"/>
              </w:rPr>
              <w:t>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66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020" w:type="dxa"/>
            <w:vAlign w:val="bottom"/>
            <w:tcBorders>
              <w:top w:val="single" w:sz="8" w:color="2C2C2C"/>
            </w:tcBorders>
            <w:gridSpan w:val="7"/>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4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20" w:type="dxa"/>
            <w:vAlign w:val="bottom"/>
            <w:gridSpan w:val="6"/>
          </w:tcPr>
          <w:p>
            <w:pPr>
              <w:spacing w:after="0" w:line="224" w:lineRule="exact"/>
              <w:rPr>
                <w:rFonts w:ascii="Arial" w:cs="Arial" w:eastAsia="Arial" w:hAnsi="Arial"/>
                <w:sz w:val="22"/>
                <w:szCs w:val="22"/>
                <w:color w:val="0000EE"/>
                <w:w w:val="97"/>
              </w:rPr>
            </w:pPr>
            <w:hyperlink r:id="rId12">
              <w:r>
                <w:rPr>
                  <w:rFonts w:ascii="Arial" w:cs="Arial" w:eastAsia="Arial" w:hAnsi="Arial"/>
                  <w:sz w:val="22"/>
                  <w:szCs w:val="22"/>
                  <w:color w:val="0000EE"/>
                  <w:w w:val="97"/>
                </w:rPr>
                <w:t>Canada GEN Investment Corp</w:t>
              </w:r>
            </w:hyperlink>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(First)</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4"/>
          </w:tcPr>
          <w:p>
            <w:pPr>
              <w:spacing w:after="0"/>
              <w:rPr>
                <w:sz w:val="20"/>
                <w:szCs w:val="20"/>
                <w:color w:val="auto"/>
              </w:rPr>
            </w:pPr>
            <w:r>
              <w:rPr>
                <w:rFonts w:ascii="Arial" w:cs="Arial" w:eastAsia="Arial" w:hAnsi="Arial"/>
                <w:sz w:val="18"/>
                <w:szCs w:val="18"/>
                <w:color w:val="0000FF"/>
                <w:w w:val="98"/>
              </w:rPr>
              <w:t>1240 BAY STREET, SUITE 302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TORONTO</w:t>
            </w:r>
          </w:p>
        </w:tc>
        <w:tc>
          <w:tcPr>
            <w:tcW w:w="200" w:type="dxa"/>
            <w:vAlign w:val="bottom"/>
          </w:tcPr>
          <w:p>
            <w:pPr>
              <w:spacing w:after="0"/>
              <w:rPr>
                <w:sz w:val="21"/>
                <w:szCs w:val="21"/>
                <w:color w:val="auto"/>
              </w:rPr>
            </w:pPr>
          </w:p>
        </w:tc>
        <w:tc>
          <w:tcPr>
            <w:tcW w:w="1100" w:type="dxa"/>
            <w:vAlign w:val="bottom"/>
          </w:tcPr>
          <w:p>
            <w:pPr>
              <w:ind w:left="20"/>
              <w:spacing w:after="0"/>
              <w:rPr>
                <w:sz w:val="20"/>
                <w:szCs w:val="20"/>
                <w:color w:val="auto"/>
              </w:rPr>
            </w:pPr>
            <w:r>
              <w:rPr>
                <w:rFonts w:ascii="Arial" w:cs="Arial" w:eastAsia="Arial" w:hAnsi="Arial"/>
                <w:sz w:val="18"/>
                <w:szCs w:val="18"/>
                <w:color w:val="0000FF"/>
              </w:rPr>
              <w:t>A6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3"/>
          </w:tcPr>
          <w:p>
            <w:pPr>
              <w:spacing w:after="0"/>
              <w:rPr>
                <w:sz w:val="20"/>
                <w:szCs w:val="20"/>
                <w:color w:val="auto"/>
              </w:rPr>
            </w:pPr>
            <w:r>
              <w:rPr>
                <w:rFonts w:ascii="Arial" w:cs="Arial" w:eastAsia="Arial" w:hAnsi="Arial"/>
                <w:sz w:val="18"/>
                <w:szCs w:val="18"/>
                <w:color w:val="0000FF"/>
              </w:rPr>
              <w:t>M5R 2A7</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gridSpan w:val="2"/>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(State)</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4"/>
                <w:szCs w:val="14"/>
                <w:color w:val="auto"/>
              </w:rPr>
              <w:t>(Zip)</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0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9"/>
          </w:tcPr>
          <w:p>
            <w:pPr>
              <w:spacing w:after="0" w:line="224" w:lineRule="exact"/>
              <w:rPr>
                <w:rFonts w:ascii="Arial" w:cs="Arial" w:eastAsia="Arial" w:hAnsi="Arial"/>
                <w:sz w:val="22"/>
                <w:szCs w:val="22"/>
                <w:color w:val="0000EE"/>
                <w:w w:val="99"/>
              </w:rPr>
            </w:pPr>
            <w:hyperlink r:id="rId14">
              <w:r>
                <w:rPr>
                  <w:rFonts w:ascii="Arial" w:cs="Arial" w:eastAsia="Arial" w:hAnsi="Arial"/>
                  <w:sz w:val="22"/>
                  <w:szCs w:val="22"/>
                  <w:color w:val="0000EE"/>
                  <w:w w:val="99"/>
                </w:rPr>
                <w:t>Canada Development Investment Corp</w:t>
              </w:r>
            </w:hyperlink>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(First)</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4"/>
          </w:tcPr>
          <w:p>
            <w:pPr>
              <w:spacing w:after="0"/>
              <w:rPr>
                <w:sz w:val="20"/>
                <w:szCs w:val="20"/>
                <w:color w:val="auto"/>
              </w:rPr>
            </w:pPr>
            <w:r>
              <w:rPr>
                <w:rFonts w:ascii="Arial" w:cs="Arial" w:eastAsia="Arial" w:hAnsi="Arial"/>
                <w:sz w:val="18"/>
                <w:szCs w:val="18"/>
                <w:color w:val="0000FF"/>
                <w:w w:val="98"/>
              </w:rPr>
              <w:t>1240 BAY STREET, SUITE 302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TORONTO</w:t>
            </w:r>
          </w:p>
        </w:tc>
        <w:tc>
          <w:tcPr>
            <w:tcW w:w="200" w:type="dxa"/>
            <w:vAlign w:val="bottom"/>
          </w:tcPr>
          <w:p>
            <w:pPr>
              <w:spacing w:after="0"/>
              <w:rPr>
                <w:sz w:val="21"/>
                <w:szCs w:val="21"/>
                <w:color w:val="auto"/>
              </w:rPr>
            </w:pPr>
          </w:p>
        </w:tc>
        <w:tc>
          <w:tcPr>
            <w:tcW w:w="1100" w:type="dxa"/>
            <w:vAlign w:val="bottom"/>
          </w:tcPr>
          <w:p>
            <w:pPr>
              <w:ind w:left="20"/>
              <w:spacing w:after="0"/>
              <w:rPr>
                <w:sz w:val="20"/>
                <w:szCs w:val="20"/>
                <w:color w:val="auto"/>
              </w:rPr>
            </w:pPr>
            <w:r>
              <w:rPr>
                <w:rFonts w:ascii="Arial" w:cs="Arial" w:eastAsia="Arial" w:hAnsi="Arial"/>
                <w:sz w:val="18"/>
                <w:szCs w:val="18"/>
                <w:color w:val="0000FF"/>
              </w:rPr>
              <w:t>A6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3"/>
          </w:tcPr>
          <w:p>
            <w:pPr>
              <w:spacing w:after="0"/>
              <w:rPr>
                <w:sz w:val="20"/>
                <w:szCs w:val="20"/>
                <w:color w:val="auto"/>
              </w:rPr>
            </w:pPr>
            <w:r>
              <w:rPr>
                <w:rFonts w:ascii="Arial" w:cs="Arial" w:eastAsia="Arial" w:hAnsi="Arial"/>
                <w:sz w:val="18"/>
                <w:szCs w:val="18"/>
                <w:color w:val="0000FF"/>
              </w:rPr>
              <w:t>M5R 2A7</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gridSpan w:val="2"/>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(State)</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4"/>
                <w:szCs w:val="14"/>
                <w:color w:val="auto"/>
              </w:rPr>
              <w:t>(Zip)</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2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securities are owned directly by Canada GEN Investment Corporation ("Canada GEN"), which is a wholly-owned subsidiary of Canada Development Investment Corporation. Canada Development Investment Corporation is an indirect beneficial owner of the reported securities. Canada Development Investment Corporation is a Canadian federal Crown corporation, meaning that it is a business corporation established under the Canada Business Corporations Act, owned by the federal Government of Canada.</w:t>
      </w:r>
    </w:p>
    <w:p>
      <w:pPr>
        <w:spacing w:after="0" w:line="30" w:lineRule="exact"/>
        <w:rPr>
          <w:rFonts w:ascii="Arial" w:cs="Arial" w:eastAsia="Arial" w:hAnsi="Arial"/>
          <w:sz w:val="14"/>
          <w:szCs w:val="14"/>
          <w:color w:val="008000"/>
        </w:rPr>
      </w:pPr>
    </w:p>
    <w:p>
      <w:pPr>
        <w:ind w:left="40" w:right="6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December 22, 2014, Canada GEN paid a dividend in kind of the number of shares of Common Stock reported in Section 4 of Table I to Canada Development Investment Corporation, which dividend was delivered, at the direction of Canada Development Investment Corporation and the Government of Canada, to Her Majesty the Queen in Right of the Province of Ontario, as represented by the Minister of Finance. In connection with such transfer, the arrangement between the Government of Canada and the Province of Ontario pursuant to which the Government of Canada had committed to provide the Province of Ontario with one-third of the net proceeds from the sale of any Common Stock held by Canada GEN and one-third of any dividends received by Canada GEN, less certain costs, was terminated.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226" w:right="239" w:bottom="0" w:gutter="0" w:footer="0" w:header="0"/>
          <w:type w:val="continuous"/>
        </w:sectPr>
      </w:pPr>
    </w:p>
    <w:p>
      <w:pPr>
        <w:spacing w:after="0" w:line="58" w:lineRule="exact"/>
        <w:rPr>
          <w:sz w:val="20"/>
          <w:szCs w:val="20"/>
          <w:color w:val="auto"/>
        </w:rPr>
      </w:pPr>
    </w:p>
    <w:p>
      <w:pPr>
        <w:ind w:left="40" w:right="160"/>
        <w:spacing w:after="0" w:line="318" w:lineRule="auto"/>
        <w:rPr>
          <w:sz w:val="20"/>
          <w:szCs w:val="20"/>
          <w:color w:val="auto"/>
        </w:rPr>
      </w:pPr>
      <w:r>
        <w:rPr>
          <w:rFonts w:ascii="Arial" w:cs="Arial" w:eastAsia="Arial" w:hAnsi="Arial"/>
          <w:sz w:val="12"/>
          <w:szCs w:val="12"/>
          <w:color w:val="008000"/>
        </w:rPr>
        <w:t>The reporting persons may be deemed to be a member of a "group" for purposes of the Securities Exchange Act of 1934, as amended. The reporting persons disclaim beneficial ownership of any securities deemed to be owned by the group that are not directly owned by such reporting persons. This report shall not be deemed an admission that any reporting person is a member of a group or the beneficial owner</w:t>
      </w:r>
    </w:p>
    <w:p>
      <w:pPr>
        <w:sectPr>
          <w:pgSz w:w="11900" w:h="16838" w:orient="portrait"/>
          <w:cols w:equalWidth="0" w:num="1">
            <w:col w:w="11420"/>
          </w:cols>
          <w:pgMar w:left="240" w:top="226"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008000"/>
        </w:rPr>
        <w:t>of any securities not directly owned by the reporting persons.</w:t>
      </w:r>
    </w:p>
    <w:p>
      <w:pPr>
        <w:spacing w:after="0" w:line="48" w:lineRule="exact"/>
        <w:rPr>
          <w:sz w:val="20"/>
          <w:szCs w:val="20"/>
          <w:color w:val="auto"/>
        </w:rPr>
      </w:pPr>
    </w:p>
    <w:tbl>
      <w:tblPr>
        <w:tblLayout w:type="fixed"/>
        <w:tblInd w:w="6820" w:type="dxa"/>
        <w:tblCellMar>
          <w:top w:w="0" w:type="dxa"/>
          <w:left w:w="0" w:type="dxa"/>
          <w:bottom w:w="0" w:type="dxa"/>
          <w:right w:w="0" w:type="dxa"/>
        </w:tblCellMar>
      </w:tblPr>
      <w:tr>
        <w:trPr>
          <w:trHeight w:val="207"/>
        </w:trPr>
        <w:tc>
          <w:tcPr>
            <w:tcW w:w="2180" w:type="dxa"/>
            <w:vAlign w:val="bottom"/>
            <w:gridSpan w:val="5"/>
          </w:tcPr>
          <w:p>
            <w:pPr>
              <w:spacing w:after="0"/>
              <w:rPr>
                <w:sz w:val="20"/>
                <w:szCs w:val="20"/>
                <w:color w:val="auto"/>
              </w:rPr>
            </w:pPr>
            <w:r>
              <w:rPr>
                <w:rFonts w:ascii="Arial" w:cs="Arial" w:eastAsia="Arial" w:hAnsi="Arial"/>
                <w:sz w:val="18"/>
                <w:szCs w:val="18"/>
                <w:color w:val="0000FF"/>
              </w:rPr>
              <w:t>/s/ Michael Carter, Canada</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12/22/2014</w:t>
            </w: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180" w:type="dxa"/>
            <w:vAlign w:val="bottom"/>
            <w:gridSpan w:val="5"/>
            <w:vMerge w:val="restart"/>
          </w:tcPr>
          <w:p>
            <w:pPr>
              <w:spacing w:after="0" w:line="196" w:lineRule="exact"/>
              <w:rPr>
                <w:sz w:val="20"/>
                <w:szCs w:val="20"/>
                <w:color w:val="auto"/>
              </w:rPr>
            </w:pPr>
            <w:r>
              <w:rPr>
                <w:rFonts w:ascii="Arial" w:cs="Arial" w:eastAsia="Arial" w:hAnsi="Arial"/>
                <w:sz w:val="18"/>
                <w:szCs w:val="18"/>
                <w:color w:val="0000FF"/>
                <w:w w:val="93"/>
              </w:rPr>
              <w:t>GEN Investment Corporation</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80" w:type="dxa"/>
            <w:vAlign w:val="bottom"/>
            <w:gridSpan w:val="5"/>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208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0000FF"/>
                <w:w w:val="96"/>
              </w:rPr>
              <w:t>/s/ Michael Carter, Canada</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78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0000FF"/>
                <w:w w:val="88"/>
              </w:rPr>
              <w:t>Development Investment</w:t>
            </w:r>
          </w:p>
        </w:tc>
        <w:tc>
          <w:tcPr>
            <w:tcW w:w="100" w:type="dxa"/>
            <w:vAlign w:val="bottom"/>
            <w:tcBorders>
              <w:top w:val="single" w:sz="8" w:color="auto"/>
            </w:tcBorders>
          </w:tcPr>
          <w:p>
            <w:pPr>
              <w:spacing w:after="0"/>
              <w:rPr>
                <w:sz w:val="17"/>
                <w:szCs w:val="17"/>
                <w:color w:val="auto"/>
              </w:rPr>
            </w:pPr>
          </w:p>
        </w:tc>
        <w:tc>
          <w:tcPr>
            <w:tcW w:w="300" w:type="dxa"/>
            <w:vAlign w:val="bottom"/>
            <w:gridSpan w:val="2"/>
          </w:tcPr>
          <w:p>
            <w:pPr>
              <w:spacing w:after="0"/>
              <w:rPr>
                <w:sz w:val="17"/>
                <w:szCs w:val="17"/>
                <w:color w:val="auto"/>
              </w:rPr>
            </w:pPr>
          </w:p>
        </w:tc>
        <w:tc>
          <w:tcPr>
            <w:tcW w:w="920" w:type="dxa"/>
            <w:vAlign w:val="bottom"/>
            <w:gridSpan w:val="2"/>
          </w:tcPr>
          <w:p>
            <w:pPr>
              <w:ind w:left="120"/>
              <w:spacing w:after="0" w:line="196" w:lineRule="exact"/>
              <w:rPr>
                <w:sz w:val="20"/>
                <w:szCs w:val="20"/>
                <w:color w:val="auto"/>
              </w:rPr>
            </w:pPr>
            <w:r>
              <w:rPr>
                <w:rFonts w:ascii="Arial" w:cs="Arial" w:eastAsia="Arial" w:hAnsi="Arial"/>
                <w:sz w:val="18"/>
                <w:szCs w:val="18"/>
                <w:color w:val="0000FF"/>
                <w:w w:val="86"/>
              </w:rPr>
              <w:t>12/22/2014</w:t>
            </w:r>
          </w:p>
        </w:tc>
        <w:tc>
          <w:tcPr>
            <w:tcW w:w="0" w:type="dxa"/>
            <w:vAlign w:val="bottom"/>
          </w:tcPr>
          <w:p>
            <w:pPr>
              <w:spacing w:after="0"/>
              <w:rPr>
                <w:sz w:val="1"/>
                <w:szCs w:val="1"/>
                <w:color w:val="auto"/>
              </w:rPr>
            </w:pPr>
          </w:p>
        </w:tc>
      </w:tr>
      <w:tr>
        <w:trPr>
          <w:trHeight w:val="196"/>
        </w:trPr>
        <w:tc>
          <w:tcPr>
            <w:tcW w:w="8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0000FF"/>
                <w:w w:val="89"/>
              </w:rPr>
              <w:t>Corporation</w:t>
            </w:r>
          </w:p>
        </w:tc>
        <w:tc>
          <w:tcPr>
            <w:tcW w:w="920" w:type="dxa"/>
            <w:vAlign w:val="bottom"/>
            <w:tcBorders>
              <w:top w:val="single" w:sz="8" w:color="auto"/>
            </w:tcBorders>
          </w:tcPr>
          <w:p>
            <w:pPr>
              <w:spacing w:after="0"/>
              <w:rPr>
                <w:sz w:val="17"/>
                <w:szCs w:val="17"/>
                <w:color w:val="auto"/>
              </w:rPr>
            </w:pPr>
          </w:p>
        </w:tc>
        <w:tc>
          <w:tcPr>
            <w:tcW w:w="40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180" w:type="dxa"/>
            <w:vAlign w:val="bottom"/>
            <w:gridSpan w:val="5"/>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9"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876" TargetMode="External"/><Relationship Id="rId13" Type="http://schemas.openxmlformats.org/officeDocument/2006/relationships/hyperlink" Target="http://www.sec.gov/cgi-bin/browse-edgar?action=getcompany&amp;CIK=0001467858" TargetMode="External"/><Relationship Id="rId14" Type="http://schemas.openxmlformats.org/officeDocument/2006/relationships/hyperlink" Target="http://www.sec.gov/cgi-bin/browse-edgar?action=getcompany&amp;CIK=00014928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2019-12-17T06:37:10Z</dcterms:created>
  <dcterms:modified xsi:type="dcterms:W3CDTF">2019-12-17T06:37:10Z</dcterms:modified>
</cp:coreProperties>
</file>