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627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7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Tsien Matthew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12,147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12,147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6"/>
                <w:vertAlign w:val="subscript"/>
              </w:rPr>
              <w:t>Units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28,580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28,580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6"/>
                <w:vertAlign w:val="subscript"/>
              </w:rPr>
              <w:t>Units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3,955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3,955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3,955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6"/>
                <w:vertAlign w:val="subscript"/>
              </w:rPr>
              <w:t>Units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February 13, 2014, pursuant to the Company's 2009 Long-Term Incentive Plan (the "GMLTIP"). Each RSU represents a right to receive one share of the Company's common stock upon settlement. RSUs will be settled when they vest.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Two-thirds of the RSUs will vest on February 13, 2016 and the remaining one-third will vest on February 13,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RSUs will vest on February 13, 2017 provided that the reporting person is employed by the Company on the vesting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RSUs will vest on February 13,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Tsien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2019-12-18T14:51:53Z</dcterms:created>
  <dcterms:modified xsi:type="dcterms:W3CDTF">2019-12-18T14:51:53Z</dcterms:modified>
</cp:coreProperties>
</file>