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25"/>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148590</wp:posOffset>
            </wp:positionH>
            <wp:positionV relativeFrom="page">
              <wp:posOffset>148590</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170815</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t>UNITED STATES</w:t>
      </w:r>
    </w:p>
    <w:p>
      <w:pPr>
        <w:spacing w:after="0" w:line="24" w:lineRule="exact"/>
        <w:rPr>
          <w:sz w:val="24"/>
          <w:szCs w:val="24"/>
          <w:color w:val="auto"/>
        </w:rPr>
      </w:pPr>
    </w:p>
    <w:p>
      <w:pPr>
        <w:jc w:val="center"/>
        <w:ind w:right="-925"/>
        <w:spacing w:after="0"/>
        <w:rPr>
          <w:sz w:val="20"/>
          <w:szCs w:val="20"/>
          <w:color w:val="auto"/>
        </w:rPr>
      </w:pPr>
      <w:r>
        <w:rPr>
          <w:rFonts w:ascii="Arial" w:cs="Arial" w:eastAsia="Arial" w:hAnsi="Arial"/>
          <w:sz w:val="28"/>
          <w:szCs w:val="28"/>
          <w:b w:val="1"/>
          <w:bCs w:val="1"/>
          <w:color w:val="auto"/>
        </w:rPr>
        <w:t>SECURITIES AND EXCHANGE COMMISSION</w:t>
      </w:r>
    </w:p>
    <w:p>
      <w:pPr>
        <w:ind w:left="4586"/>
        <w:spacing w:after="0"/>
        <w:rPr>
          <w:sz w:val="20"/>
          <w:szCs w:val="20"/>
          <w:color w:val="auto"/>
        </w:rPr>
      </w:pPr>
      <w:r>
        <w:rPr>
          <w:rFonts w:ascii="Arial" w:cs="Arial" w:eastAsia="Arial" w:hAnsi="Arial"/>
          <w:sz w:val="19"/>
          <w:szCs w:val="19"/>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161925</wp:posOffset>
            </wp:positionV>
            <wp:extent cx="15303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51" w:lineRule="exact"/>
        <w:rPr>
          <w:sz w:val="24"/>
          <w:szCs w:val="24"/>
          <w:color w:val="auto"/>
        </w:rPr>
      </w:pPr>
    </w:p>
    <w:p>
      <w:pPr>
        <w:ind w:left="5026"/>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177165</wp:posOffset>
            </wp:positionV>
            <wp:extent cx="15303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87" w:lineRule="exact"/>
        <w:rPr>
          <w:sz w:val="24"/>
          <w:szCs w:val="24"/>
          <w:color w:val="auto"/>
        </w:rPr>
      </w:pPr>
    </w:p>
    <w:p>
      <w:pPr>
        <w:jc w:val="center"/>
        <w:ind w:right="-925"/>
        <w:spacing w:after="0"/>
        <w:rPr>
          <w:sz w:val="20"/>
          <w:szCs w:val="20"/>
          <w:color w:val="auto"/>
        </w:rPr>
      </w:pPr>
      <w:r>
        <w:rPr>
          <w:rFonts w:ascii="Arial" w:cs="Arial" w:eastAsia="Arial" w:hAnsi="Arial"/>
          <w:sz w:val="19"/>
          <w:szCs w:val="19"/>
          <w:b w:val="1"/>
          <w:bCs w:val="1"/>
          <w:color w:val="auto"/>
        </w:rPr>
        <w:t>CURRENT REPORT</w:t>
      </w:r>
    </w:p>
    <w:p>
      <w:pPr>
        <w:spacing w:after="0" w:line="8" w:lineRule="exact"/>
        <w:rPr>
          <w:sz w:val="24"/>
          <w:szCs w:val="24"/>
          <w:color w:val="auto"/>
        </w:rPr>
      </w:pPr>
    </w:p>
    <w:p>
      <w:pPr>
        <w:jc w:val="center"/>
        <w:ind w:right="-925"/>
        <w:spacing w:after="0"/>
        <w:rPr>
          <w:sz w:val="20"/>
          <w:szCs w:val="20"/>
          <w:color w:val="auto"/>
        </w:rPr>
      </w:pPr>
      <w:r>
        <w:rPr>
          <w:rFonts w:ascii="Arial" w:cs="Arial" w:eastAsia="Arial" w:hAnsi="Arial"/>
          <w:sz w:val="19"/>
          <w:szCs w:val="19"/>
          <w:b w:val="1"/>
          <w:bCs w:val="1"/>
          <w:color w:val="auto"/>
        </w:rPr>
        <w:t>PURSUANT TO SECTION 13 OR 15(d) OF</w:t>
      </w:r>
    </w:p>
    <w:p>
      <w:pPr>
        <w:jc w:val="center"/>
        <w:ind w:right="-925"/>
        <w:spacing w:after="0"/>
        <w:rPr>
          <w:sz w:val="20"/>
          <w:szCs w:val="20"/>
          <w:color w:val="auto"/>
        </w:rPr>
      </w:pPr>
      <w:r>
        <w:rPr>
          <w:rFonts w:ascii="Arial" w:cs="Arial" w:eastAsia="Arial" w:hAnsi="Arial"/>
          <w:sz w:val="19"/>
          <w:szCs w:val="19"/>
          <w:b w:val="1"/>
          <w:bCs w:val="1"/>
          <w:color w:val="auto"/>
        </w:rPr>
        <w:t>THE SECURITIES EXCHANGE ACT OF 1934</w:t>
      </w:r>
    </w:p>
    <w:p>
      <w:pPr>
        <w:spacing w:after="0" w:line="126" w:lineRule="exact"/>
        <w:rPr>
          <w:sz w:val="24"/>
          <w:szCs w:val="24"/>
          <w:color w:val="auto"/>
        </w:rPr>
      </w:pPr>
    </w:p>
    <w:p>
      <w:pPr>
        <w:ind w:left="3726"/>
        <w:spacing w:after="0"/>
        <w:rPr>
          <w:sz w:val="20"/>
          <w:szCs w:val="20"/>
          <w:color w:val="auto"/>
        </w:rPr>
      </w:pPr>
      <w:r>
        <w:rPr>
          <w:rFonts w:ascii="Arial" w:cs="Arial" w:eastAsia="Arial" w:hAnsi="Arial"/>
          <w:sz w:val="15"/>
          <w:szCs w:val="15"/>
          <w:b w:val="1"/>
          <w:bCs w:val="1"/>
          <w:color w:val="auto"/>
        </w:rPr>
        <w:t>Date of Report (Date of earliest event reported) June 29,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173990</wp:posOffset>
            </wp:positionV>
            <wp:extent cx="15303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68" w:lineRule="exact"/>
        <w:rPr>
          <w:sz w:val="24"/>
          <w:szCs w:val="24"/>
          <w:color w:val="auto"/>
        </w:rPr>
      </w:pPr>
    </w:p>
    <w:p>
      <w:pPr>
        <w:jc w:val="center"/>
        <w:ind w:right="-925"/>
        <w:spacing w:after="0"/>
        <w:rPr>
          <w:sz w:val="20"/>
          <w:szCs w:val="20"/>
          <w:color w:val="auto"/>
        </w:rPr>
      </w:pPr>
      <w:r>
        <w:rPr>
          <w:rFonts w:ascii="Arial" w:cs="Arial" w:eastAsia="Arial" w:hAnsi="Arial"/>
          <w:sz w:val="38"/>
          <w:szCs w:val="38"/>
          <w:b w:val="1"/>
          <w:bCs w:val="1"/>
          <w:color w:val="auto"/>
        </w:rPr>
        <w:t>GENERAL MOTORS COMPANY</w:t>
      </w:r>
    </w:p>
    <w:p>
      <w:pPr>
        <w:spacing w:after="0" w:line="41" w:lineRule="exact"/>
        <w:rPr>
          <w:sz w:val="24"/>
          <w:szCs w:val="24"/>
          <w:color w:val="auto"/>
        </w:rPr>
      </w:pPr>
    </w:p>
    <w:p>
      <w:pPr>
        <w:ind w:left="3966"/>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170815</wp:posOffset>
            </wp:positionV>
            <wp:extent cx="15303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ectPr>
          <w:pgSz w:w="11900" w:h="16838" w:orient="portrait"/>
          <w:cols w:equalWidth="0" w:num="1">
            <w:col w:w="10526"/>
          </w:cols>
          <w:pgMar w:left="234" w:top="279" w:right="1139" w:bottom="1440" w:gutter="0" w:footer="0" w:header="0"/>
        </w:sectPr>
      </w:pPr>
    </w:p>
    <w:p>
      <w:pPr>
        <w:spacing w:after="0" w:line="200" w:lineRule="exact"/>
        <w:rPr>
          <w:sz w:val="24"/>
          <w:szCs w:val="24"/>
          <w:color w:val="auto"/>
        </w:rPr>
      </w:pPr>
    </w:p>
    <w:p>
      <w:pPr>
        <w:spacing w:after="0" w:line="270" w:lineRule="exact"/>
        <w:rPr>
          <w:sz w:val="24"/>
          <w:szCs w:val="24"/>
          <w:color w:val="auto"/>
        </w:rPr>
      </w:pPr>
    </w:p>
    <w:p>
      <w:pPr>
        <w:ind w:left="1046"/>
        <w:spacing w:after="0"/>
        <w:rPr>
          <w:sz w:val="20"/>
          <w:szCs w:val="20"/>
          <w:color w:val="auto"/>
        </w:rPr>
      </w:pPr>
      <w:r>
        <w:rPr>
          <w:rFonts w:ascii="Arial" w:cs="Arial" w:eastAsia="Arial" w:hAnsi="Arial"/>
          <w:sz w:val="13"/>
          <w:szCs w:val="13"/>
          <w:b w:val="1"/>
          <w:bCs w:val="1"/>
          <w:color w:val="auto"/>
        </w:rPr>
        <w:t>000-53930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0" w:lineRule="exact"/>
        <w:rPr>
          <w:sz w:val="24"/>
          <w:szCs w:val="24"/>
          <w:color w:val="auto"/>
        </w:rPr>
      </w:pPr>
    </w:p>
    <w:p>
      <w:pPr>
        <w:jc w:val="center"/>
        <w:ind w:right="28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27-0756180</w:t>
      </w:r>
    </w:p>
    <w:p>
      <w:pPr>
        <w:spacing w:after="0" w:line="48" w:lineRule="exact"/>
        <w:rPr>
          <w:sz w:val="24"/>
          <w:szCs w:val="24"/>
          <w:color w:val="auto"/>
        </w:rPr>
      </w:pPr>
    </w:p>
    <w:p>
      <w:pPr>
        <w:sectPr>
          <w:pgSz w:w="11900" w:h="16838" w:orient="portrait"/>
          <w:cols w:equalWidth="0" w:num="3">
            <w:col w:w="4586" w:space="720"/>
            <w:col w:w="3680" w:space="720"/>
            <w:col w:w="820"/>
          </w:cols>
          <w:pgMar w:left="234" w:top="279" w:right="1139" w:bottom="1440" w:gutter="0" w:footer="0" w:header="0"/>
          <w:type w:val="continuous"/>
        </w:sectPr>
      </w:pPr>
    </w:p>
    <w:p>
      <w:pPr>
        <w:ind w:left="686"/>
        <w:spacing w:after="0"/>
        <w:rPr>
          <w:sz w:val="20"/>
          <w:szCs w:val="20"/>
          <w:color w:val="auto"/>
        </w:rPr>
      </w:pPr>
      <w:r>
        <w:rPr>
          <w:rFonts w:ascii="Arial" w:cs="Arial" w:eastAsia="Arial" w:hAnsi="Arial"/>
          <w:sz w:val="9"/>
          <w:szCs w:val="9"/>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2420"/>
        <w:spacing w:after="0"/>
        <w:rPr>
          <w:sz w:val="20"/>
          <w:szCs w:val="20"/>
          <w:color w:val="auto"/>
        </w:rPr>
      </w:pPr>
      <w:r>
        <w:rPr>
          <w:rFonts w:ascii="Arial" w:cs="Arial" w:eastAsia="Arial" w:hAnsi="Arial"/>
          <w:sz w:val="9"/>
          <w:szCs w:val="9"/>
          <w:b w:val="1"/>
          <w:bCs w:val="1"/>
          <w:color w:val="auto"/>
        </w:rPr>
        <w:t>(State or other jurisdiction of</w:t>
      </w:r>
    </w:p>
    <w:p>
      <w:pPr>
        <w:spacing w:after="0" w:line="28" w:lineRule="exact"/>
        <w:rPr>
          <w:sz w:val="24"/>
          <w:szCs w:val="24"/>
          <w:color w:val="auto"/>
        </w:rPr>
      </w:pPr>
    </w:p>
    <w:p>
      <w:pPr>
        <w:jc w:val="center"/>
        <w:ind w:right="2420"/>
        <w:spacing w:after="0"/>
        <w:rPr>
          <w:sz w:val="20"/>
          <w:szCs w:val="20"/>
          <w:color w:val="auto"/>
        </w:rPr>
      </w:pPr>
      <w:r>
        <w:rPr>
          <w:rFonts w:ascii="Arial" w:cs="Arial" w:eastAsia="Arial" w:hAnsi="Arial"/>
          <w:sz w:val="12"/>
          <w:szCs w:val="12"/>
          <w:b w:val="1"/>
          <w:bCs w:val="1"/>
          <w:color w:val="auto"/>
        </w:rPr>
        <w:t>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1"/>
          <w:szCs w:val="11"/>
          <w:b w:val="1"/>
          <w:bCs w:val="1"/>
          <w:color w:val="auto"/>
        </w:rPr>
        <w:t>(I.R.S. Employer</w:t>
      </w:r>
    </w:p>
    <w:p>
      <w:pPr>
        <w:spacing w:after="0" w:line="5"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Identification No.)</w:t>
      </w:r>
    </w:p>
    <w:p>
      <w:pPr>
        <w:spacing w:after="0" w:line="213" w:lineRule="exact"/>
        <w:rPr>
          <w:sz w:val="24"/>
          <w:szCs w:val="24"/>
          <w:color w:val="auto"/>
        </w:rPr>
      </w:pPr>
    </w:p>
    <w:p>
      <w:pPr>
        <w:sectPr>
          <w:pgSz w:w="11900" w:h="16838" w:orient="portrait"/>
          <w:cols w:equalWidth="0" w:num="3">
            <w:col w:w="4286" w:space="720"/>
            <w:col w:w="3880" w:space="720"/>
            <w:col w:w="920"/>
          </w:cols>
          <w:pgMar w:left="234" w:top="279" w:right="1139" w:bottom="1440" w:gutter="0" w:footer="0" w:header="0"/>
          <w:type w:val="continuous"/>
        </w:sectPr>
      </w:pPr>
    </w:p>
    <w:p>
      <w:pPr>
        <w:ind w:left="1426"/>
        <w:spacing w:after="0"/>
        <w:rPr>
          <w:sz w:val="20"/>
          <w:szCs w:val="20"/>
          <w:color w:val="auto"/>
        </w:rPr>
      </w:pPr>
      <w:r>
        <w:rPr>
          <w:rFonts w:ascii="Arial" w:cs="Arial" w:eastAsia="Arial" w:hAnsi="Arial"/>
          <w:sz w:val="13"/>
          <w:szCs w:val="13"/>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48265-3000</w:t>
      </w:r>
    </w:p>
    <w:p>
      <w:pPr>
        <w:spacing w:after="0" w:line="49" w:lineRule="exact"/>
        <w:rPr>
          <w:sz w:val="24"/>
          <w:szCs w:val="24"/>
          <w:color w:val="auto"/>
        </w:rPr>
      </w:pPr>
    </w:p>
    <w:p>
      <w:pPr>
        <w:sectPr>
          <w:pgSz w:w="11900" w:h="16838" w:orient="portrait"/>
          <w:cols w:equalWidth="0" w:num="2">
            <w:col w:w="7506" w:space="720"/>
            <w:col w:w="2300"/>
          </w:cols>
          <w:pgMar w:left="234" w:top="279" w:right="1139" w:bottom="1440" w:gutter="0" w:footer="0" w:header="0"/>
          <w:type w:val="continuous"/>
        </w:sectPr>
      </w:pPr>
    </w:p>
    <w:p>
      <w:pPr>
        <w:ind w:left="1806"/>
        <w:spacing w:after="0"/>
        <w:rPr>
          <w:sz w:val="20"/>
          <w:szCs w:val="20"/>
          <w:color w:val="auto"/>
        </w:rPr>
      </w:pPr>
      <w:r>
        <w:rPr>
          <w:rFonts w:ascii="Arial" w:cs="Arial" w:eastAsia="Arial" w:hAnsi="Arial"/>
          <w:sz w:val="9"/>
          <w:szCs w:val="9"/>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(Zip Code)</w:t>
      </w:r>
    </w:p>
    <w:p>
      <w:pPr>
        <w:spacing w:after="0" w:line="157" w:lineRule="exact"/>
        <w:rPr>
          <w:sz w:val="24"/>
          <w:szCs w:val="24"/>
          <w:color w:val="auto"/>
        </w:rPr>
      </w:pPr>
    </w:p>
    <w:p>
      <w:pPr>
        <w:sectPr>
          <w:pgSz w:w="11900" w:h="16838" w:orient="portrait"/>
          <w:cols w:equalWidth="0" w:num="2">
            <w:col w:w="7606" w:space="720"/>
            <w:col w:w="2200"/>
          </w:cols>
          <w:pgMar w:left="234" w:top="279" w:right="1139" w:bottom="1440" w:gutter="0" w:footer="0" w:header="0"/>
          <w:type w:val="continuous"/>
        </w:sectPr>
      </w:pPr>
    </w:p>
    <w:p>
      <w:pPr>
        <w:jc w:val="center"/>
        <w:ind w:right="-905"/>
        <w:spacing w:after="0"/>
        <w:rPr>
          <w:sz w:val="20"/>
          <w:szCs w:val="20"/>
          <w:color w:val="auto"/>
        </w:rPr>
      </w:pPr>
      <w:r>
        <w:rPr>
          <w:rFonts w:ascii="Arial" w:cs="Arial" w:eastAsia="Arial" w:hAnsi="Arial"/>
          <w:sz w:val="15"/>
          <w:szCs w:val="15"/>
          <w:b w:val="1"/>
          <w:bCs w:val="1"/>
          <w:color w:val="auto"/>
        </w:rPr>
        <w:t>(313) 556-5000</w:t>
      </w:r>
    </w:p>
    <w:p>
      <w:pPr>
        <w:spacing w:after="0" w:line="26" w:lineRule="exact"/>
        <w:rPr>
          <w:sz w:val="24"/>
          <w:szCs w:val="24"/>
          <w:color w:val="auto"/>
        </w:rPr>
      </w:pPr>
    </w:p>
    <w:p>
      <w:pPr>
        <w:ind w:left="4386"/>
        <w:spacing w:after="0"/>
        <w:rPr>
          <w:sz w:val="20"/>
          <w:szCs w:val="20"/>
          <w:color w:val="auto"/>
        </w:rPr>
      </w:pPr>
      <w:r>
        <w:rPr>
          <w:rFonts w:ascii="Arial" w:cs="Arial" w:eastAsia="Arial" w:hAnsi="Arial"/>
          <w:sz w:val="9"/>
          <w:szCs w:val="9"/>
          <w:b w:val="1"/>
          <w:bCs w:val="1"/>
          <w:color w:val="auto"/>
        </w:rPr>
        <w:t>(Registrant’s telephone number, including area code)</w:t>
      </w:r>
    </w:p>
    <w:p>
      <w:pPr>
        <w:sectPr>
          <w:pgSz w:w="11900" w:h="16838" w:orient="portrait"/>
          <w:cols w:equalWidth="0" w:num="1">
            <w:col w:w="10526"/>
          </w:cols>
          <w:pgMar w:left="234" w:top="279" w:right="1139" w:bottom="1440" w:gutter="0" w:footer="0" w:header="0"/>
          <w:type w:val="continuous"/>
        </w:sectPr>
      </w:pPr>
    </w:p>
    <w:p>
      <w:pPr>
        <w:spacing w:after="0" w:line="157" w:lineRule="exact"/>
        <w:rPr>
          <w:sz w:val="24"/>
          <w:szCs w:val="24"/>
          <w:color w:val="auto"/>
        </w:rPr>
      </w:pPr>
    </w:p>
    <w:p>
      <w:pPr>
        <w:jc w:val="center"/>
        <w:ind w:right="-905"/>
        <w:spacing w:after="0"/>
        <w:rPr>
          <w:sz w:val="20"/>
          <w:szCs w:val="20"/>
          <w:color w:val="auto"/>
        </w:rPr>
      </w:pPr>
      <w:r>
        <w:rPr>
          <w:rFonts w:ascii="Arial" w:cs="Arial" w:eastAsia="Arial" w:hAnsi="Arial"/>
          <w:sz w:val="15"/>
          <w:szCs w:val="15"/>
          <w:b w:val="1"/>
          <w:bCs w:val="1"/>
          <w:color w:val="auto"/>
        </w:rPr>
        <w:t>Not Applicable</w:t>
      </w:r>
    </w:p>
    <w:p>
      <w:pPr>
        <w:spacing w:after="0" w:line="26" w:lineRule="exact"/>
        <w:rPr>
          <w:sz w:val="24"/>
          <w:szCs w:val="24"/>
          <w:color w:val="auto"/>
        </w:rPr>
      </w:pPr>
    </w:p>
    <w:p>
      <w:pPr>
        <w:ind w:left="416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151765</wp:posOffset>
            </wp:positionV>
            <wp:extent cx="15303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65" w:lineRule="exact"/>
        <w:rPr>
          <w:sz w:val="24"/>
          <w:szCs w:val="24"/>
          <w:color w:val="auto"/>
        </w:rPr>
      </w:pPr>
    </w:p>
    <w:p>
      <w:pPr>
        <w:ind w:left="6"/>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3"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(17-CFR 240.14a-12)</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264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104140</wp:posOffset>
            </wp:positionV>
            <wp:extent cx="72644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ectPr>
          <w:pgSz w:w="11900" w:h="16838" w:orient="portrait"/>
          <w:cols w:equalWidth="0" w:num="1">
            <w:col w:w="10526"/>
          </w:cols>
          <w:pgMar w:left="234" w:top="279" w:right="1139" w:bottom="1440" w:gutter="0" w:footer="0" w:header="0"/>
          <w:type w:val="continuous"/>
        </w:sectPr>
      </w:pPr>
    </w:p>
    <w:bookmarkStart w:id="1" w:name="page2"/>
    <w:bookmarkEnd w:id="1"/>
    <w:p>
      <w:pPr>
        <w:spacing w:after="0"/>
        <w:tabs>
          <w:tab w:leader="none" w:pos="100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ITEM 8.01</w:t>
      </w:r>
      <w:r>
        <w:rPr>
          <w:sz w:val="20"/>
          <w:szCs w:val="20"/>
          <w:color w:val="auto"/>
        </w:rPr>
        <w:tab/>
      </w:r>
      <w:r>
        <w:rPr>
          <w:rFonts w:ascii="Arial" w:cs="Arial" w:eastAsia="Arial" w:hAnsi="Arial"/>
          <w:sz w:val="13"/>
          <w:szCs w:val="13"/>
          <w:b w:val="1"/>
          <w:bCs w:val="1"/>
          <w:color w:val="auto"/>
        </w:rPr>
        <w:t>Other Events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On June 29, 2010, General Motors Company (GM) presented at the Global Business Conference. Extracts of the presentations related thereto are attached as Exhibit 99.1.</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060" w:type="dxa"/>
            <w:vAlign w:val="bottom"/>
            <w:gridSpan w:val="4"/>
          </w:tcPr>
          <w:p>
            <w:pPr>
              <w:spacing w:after="0"/>
              <w:rPr>
                <w:sz w:val="20"/>
                <w:szCs w:val="20"/>
                <w:color w:val="auto"/>
              </w:rPr>
            </w:pPr>
            <w:r>
              <w:rPr>
                <w:rFonts w:ascii="Arial" w:cs="Arial" w:eastAsia="Arial" w:hAnsi="Arial"/>
                <w:sz w:val="15"/>
                <w:szCs w:val="15"/>
                <w:b w:val="1"/>
                <w:bCs w:val="1"/>
                <w:color w:val="auto"/>
              </w:rPr>
              <w:t>EXHIBIT</w:t>
            </w:r>
          </w:p>
        </w:tc>
      </w:tr>
      <w:tr>
        <w:trPr>
          <w:trHeight w:val="321"/>
        </w:trPr>
        <w:tc>
          <w:tcPr>
            <w:tcW w:w="36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4"/>
              </w:rPr>
              <w:t>Exhibit</w:t>
            </w:r>
          </w:p>
        </w:tc>
        <w:tc>
          <w:tcPr>
            <w:tcW w:w="1000" w:type="dxa"/>
            <w:vAlign w:val="bottom"/>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3"/>
              </w:rPr>
              <w:t>Description</w:t>
            </w:r>
          </w:p>
        </w:tc>
        <w:tc>
          <w:tcPr>
            <w:tcW w:w="34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160" w:type="dxa"/>
            <w:vAlign w:val="bottom"/>
          </w:tcPr>
          <w:p>
            <w:pPr>
              <w:spacing w:after="0"/>
              <w:rPr>
                <w:sz w:val="24"/>
                <w:szCs w:val="2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w w:val="93"/>
              </w:rPr>
              <w:t>Method of Filing</w:t>
            </w:r>
          </w:p>
        </w:tc>
        <w:tc>
          <w:tcPr>
            <w:tcW w:w="400" w:type="dxa"/>
            <w:vAlign w:val="bottom"/>
          </w:tcPr>
          <w:p>
            <w:pPr>
              <w:spacing w:after="0"/>
              <w:rPr>
                <w:sz w:val="24"/>
                <w:szCs w:val="24"/>
                <w:color w:val="auto"/>
              </w:rPr>
            </w:pPr>
          </w:p>
        </w:tc>
      </w:tr>
      <w:tr>
        <w:trPr>
          <w:trHeight w:val="273"/>
        </w:trPr>
        <w:tc>
          <w:tcPr>
            <w:tcW w:w="1360" w:type="dxa"/>
            <w:vAlign w:val="bottom"/>
            <w:gridSpan w:val="2"/>
          </w:tcPr>
          <w:p>
            <w:pPr>
              <w:spacing w:after="0"/>
              <w:rPr>
                <w:sz w:val="20"/>
                <w:szCs w:val="20"/>
                <w:color w:val="auto"/>
              </w:rPr>
            </w:pPr>
            <w:r>
              <w:rPr>
                <w:rFonts w:ascii="Arial" w:cs="Arial" w:eastAsia="Arial" w:hAnsi="Arial"/>
                <w:sz w:val="15"/>
                <w:szCs w:val="15"/>
                <w:color w:val="auto"/>
              </w:rPr>
              <w:t>Exhibit 99.1</w:t>
            </w:r>
          </w:p>
        </w:tc>
        <w:tc>
          <w:tcPr>
            <w:tcW w:w="4020" w:type="dxa"/>
            <w:vAlign w:val="bottom"/>
            <w:gridSpan w:val="2"/>
          </w:tcPr>
          <w:p>
            <w:pPr>
              <w:spacing w:after="0"/>
              <w:rPr>
                <w:sz w:val="20"/>
                <w:szCs w:val="20"/>
                <w:color w:val="auto"/>
              </w:rPr>
            </w:pPr>
            <w:r>
              <w:rPr>
                <w:rFonts w:ascii="Arial" w:cs="Arial" w:eastAsia="Arial" w:hAnsi="Arial"/>
                <w:sz w:val="15"/>
                <w:szCs w:val="15"/>
                <w:color w:val="auto"/>
                <w:w w:val="93"/>
              </w:rPr>
              <w:t>Global Business Conference Presentations Dated June 29, 2010</w:t>
            </w:r>
          </w:p>
        </w:tc>
        <w:tc>
          <w:tcPr>
            <w:tcW w:w="66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1240" w:type="dxa"/>
            <w:vAlign w:val="bottom"/>
            <w:gridSpan w:val="2"/>
          </w:tcPr>
          <w:p>
            <w:pPr>
              <w:ind w:left="20"/>
              <w:spacing w:after="0"/>
              <w:rPr>
                <w:sz w:val="20"/>
                <w:szCs w:val="20"/>
                <w:color w:val="auto"/>
              </w:rPr>
            </w:pPr>
            <w:r>
              <w:rPr>
                <w:rFonts w:ascii="Arial" w:cs="Arial" w:eastAsia="Arial" w:hAnsi="Arial"/>
                <w:sz w:val="15"/>
                <w:szCs w:val="15"/>
                <w:color w:val="auto"/>
                <w:w w:val="93"/>
              </w:rPr>
              <w:t>Attached as Exhibit</w:t>
            </w:r>
          </w:p>
        </w:tc>
      </w:tr>
    </w:tbl>
    <w:p>
      <w:pPr>
        <w:sectPr>
          <w:pgSz w:w="11900" w:h="16838" w:orient="portrait"/>
          <w:cols w:equalWidth="0" w:num="1">
            <w:col w:w="11440"/>
          </w:cols>
          <w:pgMar w:left="240" w:top="258" w:right="21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SIGNATURE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15" w:lineRule="exact"/>
        <w:rPr>
          <w:sz w:val="20"/>
          <w:szCs w:val="20"/>
          <w:color w:val="auto"/>
        </w:rPr>
      </w:pPr>
    </w:p>
    <w:p>
      <w:pPr>
        <w:ind w:left="6080"/>
        <w:spacing w:after="0"/>
        <w:rPr>
          <w:sz w:val="20"/>
          <w:szCs w:val="20"/>
          <w:color w:val="auto"/>
        </w:rPr>
      </w:pPr>
      <w:r>
        <w:rPr>
          <w:rFonts w:ascii="Arial" w:cs="Arial" w:eastAsia="Arial" w:hAnsi="Arial"/>
          <w:sz w:val="15"/>
          <w:szCs w:val="15"/>
          <w:u w:val="single" w:color="auto"/>
          <w:color w:val="auto"/>
        </w:rPr>
        <w:t>GENERAL MOTORS COMPANY</w:t>
      </w:r>
    </w:p>
    <w:p>
      <w:pPr>
        <w:spacing w:after="0" w:line="22"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(Registrant)</w:t>
      </w:r>
    </w:p>
    <w:p>
      <w:pPr>
        <w:spacing w:after="0" w:line="398" w:lineRule="exact"/>
        <w:rPr>
          <w:sz w:val="20"/>
          <w:szCs w:val="20"/>
          <w:color w:val="auto"/>
        </w:rPr>
      </w:pPr>
    </w:p>
    <w:p>
      <w:pPr>
        <w:spacing w:after="0"/>
        <w:tabs>
          <w:tab w:leader="none" w:pos="6060" w:val="left"/>
          <w:tab w:leader="none" w:pos="8100" w:val="left"/>
          <w:tab w:leader="none" w:pos="8400" w:val="left"/>
        </w:tabs>
        <w:rPr>
          <w:sz w:val="20"/>
          <w:szCs w:val="20"/>
          <w:color w:val="auto"/>
        </w:rPr>
      </w:pPr>
      <w:r>
        <w:rPr>
          <w:rFonts w:ascii="Arial" w:cs="Arial" w:eastAsia="Arial" w:hAnsi="Arial"/>
          <w:sz w:val="15"/>
          <w:szCs w:val="15"/>
          <w:color w:val="auto"/>
        </w:rPr>
        <w:t>Date: July 7, 2010</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w:t>
      </w:r>
      <w:r>
        <w:rPr>
          <w:sz w:val="20"/>
          <w:szCs w:val="20"/>
          <w:color w:val="auto"/>
        </w:rPr>
        <w:tab/>
      </w:r>
      <w:r>
        <w:rPr>
          <w:rFonts w:ascii="Arial" w:cs="Arial" w:eastAsia="Arial" w:hAnsi="Arial"/>
          <w:sz w:val="14"/>
          <w:szCs w:val="14"/>
          <w:color w:val="auto"/>
        </w:rPr>
        <w:t>N</w:t>
      </w:r>
      <w:r>
        <w:rPr>
          <w:rFonts w:ascii="Arial" w:cs="Arial" w:eastAsia="Arial" w:hAnsi="Arial"/>
          <w:sz w:val="11"/>
          <w:szCs w:val="11"/>
          <w:color w:val="auto"/>
        </w:rPr>
        <w:t>ICK</w:t>
      </w:r>
      <w:r>
        <w:rPr>
          <w:rFonts w:ascii="Arial" w:cs="Arial" w:eastAsia="Arial" w:hAnsi="Arial"/>
          <w:sz w:val="14"/>
          <w:szCs w:val="14"/>
          <w:color w:val="auto"/>
        </w:rPr>
        <w:t xml:space="preserve"> S. C</w:t>
      </w:r>
      <w:r>
        <w:rPr>
          <w:rFonts w:ascii="Arial" w:cs="Arial" w:eastAsia="Arial" w:hAnsi="Arial"/>
          <w:sz w:val="11"/>
          <w:szCs w:val="11"/>
          <w:color w:val="auto"/>
        </w:rPr>
        <w:t>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14605</wp:posOffset>
            </wp:positionV>
            <wp:extent cx="31953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95320" cy="7620"/>
                    </a:xfrm>
                    <a:prstGeom prst="rect">
                      <a:avLst/>
                    </a:prstGeom>
                    <a:noFill/>
                  </pic:spPr>
                </pic:pic>
              </a:graphicData>
            </a:graphic>
          </wp:anchor>
        </w:drawing>
      </w:r>
    </w:p>
    <w:p>
      <w:pPr>
        <w:spacing w:after="0" w:line="19" w:lineRule="exact"/>
        <w:rPr>
          <w:sz w:val="20"/>
          <w:szCs w:val="20"/>
          <w:color w:val="auto"/>
        </w:rPr>
      </w:pPr>
    </w:p>
    <w:p>
      <w:pPr>
        <w:jc w:val="center"/>
        <w:ind w:left="6420"/>
        <w:spacing w:after="0"/>
        <w:rPr>
          <w:sz w:val="20"/>
          <w:szCs w:val="20"/>
          <w:color w:val="auto"/>
        </w:rPr>
      </w:pPr>
      <w:r>
        <w:rPr>
          <w:rFonts w:ascii="Arial" w:cs="Arial" w:eastAsia="Arial" w:hAnsi="Arial"/>
          <w:sz w:val="12"/>
          <w:szCs w:val="12"/>
          <w:b w:val="1"/>
          <w:bCs w:val="1"/>
          <w:color w:val="auto"/>
        </w:rPr>
        <w:t>Nick S. Cyprus</w:t>
      </w:r>
    </w:p>
    <w:p>
      <w:pPr>
        <w:jc w:val="center"/>
        <w:ind w:left="6420"/>
        <w:spacing w:after="0"/>
        <w:rPr>
          <w:sz w:val="20"/>
          <w:szCs w:val="20"/>
          <w:color w:val="auto"/>
        </w:rPr>
      </w:pPr>
      <w:r>
        <w:rPr>
          <w:rFonts w:ascii="Arial" w:cs="Arial" w:eastAsia="Arial" w:hAnsi="Arial"/>
          <w:sz w:val="12"/>
          <w:szCs w:val="12"/>
          <w:b w:val="1"/>
          <w:bCs w:val="1"/>
          <w:color w:val="auto"/>
        </w:rPr>
        <w:t>Vice President, Controller and Chief Accounting Officer</w:t>
      </w:r>
    </w:p>
    <w:p>
      <w:pPr>
        <w:sectPr>
          <w:pgSz w:w="11900" w:h="16838" w:orient="portrait"/>
          <w:cols w:equalWidth="0" w:num="1">
            <w:col w:w="11160"/>
          </w:cols>
          <w:pgMar w:left="240" w:top="258"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106680</wp:posOffset>
            </wp:positionV>
            <wp:extent cx="4830445" cy="5600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30445" cy="560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Release: June 29, 2010</w:t>
      </w:r>
    </w:p>
    <w:p>
      <w:pPr>
        <w:spacing w:after="0" w:line="157" w:lineRule="exact"/>
        <w:rPr>
          <w:sz w:val="20"/>
          <w:szCs w:val="20"/>
          <w:color w:val="auto"/>
        </w:rPr>
      </w:pPr>
    </w:p>
    <w:p>
      <w:pPr>
        <w:ind w:left="3480"/>
        <w:spacing w:after="0"/>
        <w:rPr>
          <w:sz w:val="20"/>
          <w:szCs w:val="20"/>
          <w:color w:val="auto"/>
        </w:rPr>
      </w:pPr>
      <w:r>
        <w:rPr>
          <w:rFonts w:ascii="Arial" w:cs="Arial" w:eastAsia="Arial" w:hAnsi="Arial"/>
          <w:sz w:val="15"/>
          <w:szCs w:val="15"/>
          <w:b w:val="1"/>
          <w:bCs w:val="1"/>
          <w:color w:val="auto"/>
        </w:rPr>
        <w:t>GM Hosts Global Business Conference for the Financial Community</w:t>
      </w:r>
    </w:p>
    <w:p>
      <w:pPr>
        <w:spacing w:after="0" w:line="161" w:lineRule="exact"/>
        <w:rPr>
          <w:sz w:val="20"/>
          <w:szCs w:val="20"/>
          <w:color w:val="auto"/>
        </w:rPr>
      </w:pPr>
    </w:p>
    <w:p>
      <w:pPr>
        <w:ind w:left="3280"/>
        <w:spacing w:after="0"/>
        <w:rPr>
          <w:sz w:val="20"/>
          <w:szCs w:val="20"/>
          <w:color w:val="auto"/>
        </w:rPr>
      </w:pPr>
      <w:r>
        <w:rPr>
          <w:rFonts w:ascii="Arial" w:cs="Arial" w:eastAsia="Arial" w:hAnsi="Arial"/>
          <w:sz w:val="15"/>
          <w:szCs w:val="15"/>
          <w:i w:val="1"/>
          <w:iCs w:val="1"/>
          <w:color w:val="auto"/>
        </w:rPr>
        <w:t>Senior leaders provide in-depth overview of the new company’s global business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and offer hands-on driving experience in GM’s great new vehicles</w:t>
      </w:r>
    </w:p>
    <w:p>
      <w:pPr>
        <w:spacing w:after="0" w:line="151" w:lineRule="exact"/>
        <w:rPr>
          <w:sz w:val="20"/>
          <w:szCs w:val="20"/>
          <w:color w:val="auto"/>
        </w:rPr>
      </w:pPr>
    </w:p>
    <w:p>
      <w:pPr>
        <w:ind w:right="620"/>
        <w:spacing w:after="0" w:line="291" w:lineRule="auto"/>
        <w:rPr>
          <w:sz w:val="20"/>
          <w:szCs w:val="20"/>
          <w:color w:val="auto"/>
        </w:rPr>
      </w:pPr>
      <w:r>
        <w:rPr>
          <w:rFonts w:ascii="Arial" w:cs="Arial" w:eastAsia="Arial" w:hAnsi="Arial"/>
          <w:sz w:val="15"/>
          <w:szCs w:val="15"/>
          <w:color w:val="auto"/>
        </w:rPr>
        <w:t xml:space="preserve">DETROIT – The new General Motors today hosted a group of approximately 200 members of the financial community and other stakeholders at its first annual Global Business Conference at GM’s Technical Center in Warren, Michigan. The event was the first of its kind since the </w:t>
      </w:r>
      <w:r>
        <w:rPr>
          <w:rFonts w:ascii="Arial" w:cs="Arial" w:eastAsia="Arial" w:hAnsi="Arial"/>
          <w:sz w:val="15"/>
          <w:szCs w:val="15"/>
          <w:u w:val="single" w:color="auto"/>
          <w:color w:val="auto"/>
        </w:rPr>
        <w:t>launch</w:t>
      </w:r>
      <w:r>
        <w:rPr>
          <w:rFonts w:ascii="Arial" w:cs="Arial" w:eastAsia="Arial" w:hAnsi="Arial"/>
          <w:sz w:val="15"/>
          <w:szCs w:val="15"/>
          <w:color w:val="auto"/>
        </w:rPr>
        <w:t xml:space="preserve"> of the new company in July 2009.</w:t>
      </w:r>
    </w:p>
    <w:p>
      <w:pPr>
        <w:spacing w:after="0" w:line="99" w:lineRule="exact"/>
        <w:rPr>
          <w:sz w:val="20"/>
          <w:szCs w:val="20"/>
          <w:color w:val="auto"/>
        </w:rPr>
      </w:pPr>
    </w:p>
    <w:p>
      <w:pPr>
        <w:jc w:val="both"/>
        <w:ind w:right="300"/>
        <w:spacing w:after="0" w:line="276" w:lineRule="auto"/>
        <w:rPr>
          <w:sz w:val="20"/>
          <w:szCs w:val="20"/>
          <w:color w:val="auto"/>
        </w:rPr>
      </w:pPr>
      <w:r>
        <w:rPr>
          <w:rFonts w:ascii="Arial" w:cs="Arial" w:eastAsia="Arial" w:hAnsi="Arial"/>
          <w:sz w:val="15"/>
          <w:szCs w:val="15"/>
          <w:color w:val="auto"/>
        </w:rPr>
        <w:t>The conference featured an in-depth review of GM’s global business, with updates by Chairman and CEO Ed Whitacre, Vice Chairman Steve Girsky, Vice Chairman and CFO, Chris Liddell, and GM’s regional presidents. Vice Chairman of Global Product Operations Tom Stephens provided a review of GM’s global product portfolio, and an early preview of some upcoming products, including the next generations of the popular Opel Insignia, Chevrolet Malibu, and Cadillac CTS.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Whitacre kicked off the conference by sharing his perspective on how he sees the company today, the progress it has made, and the opportunities ahead for GM.</w:t>
      </w:r>
    </w:p>
    <w:p>
      <w:pPr>
        <w:spacing w:after="0" w:line="157"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“We’re not reintroducing GM today, we’re introducing a new GM, because we are a new and much different company than we were 12 months ago,” Whitacre said. “We’re creating a new GM – one that truly is different. We have a simplified focus on designing, building, and selling the world’s best vehicles. We’re producing first-rate cars and trucks that customers are buying around the world. We have a new management team that ‘gets it’ and is executing well.”</w:t>
      </w:r>
    </w:p>
    <w:p>
      <w:pPr>
        <w:spacing w:after="0" w:line="110"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Tim Lee, president of GM’s International Operations; Jamie Ardila, president of GM South America; Nick Reilly, president of GM Europe and chairman of the management board of Opel/Vauxhall; Vice President and CFO of Opel/Vauxhall Europe, Mark James; and Mark Reuss, president of GM North America, gave a market-by-market assessment of the company’s progress.</w:t>
      </w:r>
    </w:p>
    <w:p>
      <w:pPr>
        <w:spacing w:after="0" w:line="110"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By closely managing the business at the regional level, with specific focus on the trends in local markets, and by leveraging GM’s global capability, the company is well positioned to take advantage of anticipated growth in the global auto market.</w:t>
      </w:r>
    </w:p>
    <w:p>
      <w:pPr>
        <w:spacing w:after="0" w:line="99" w:lineRule="exact"/>
        <w:rPr>
          <w:sz w:val="20"/>
          <w:szCs w:val="20"/>
          <w:color w:val="auto"/>
        </w:rPr>
      </w:pPr>
    </w:p>
    <w:p>
      <w:pPr>
        <w:ind w:right="340"/>
        <w:spacing w:after="0" w:line="291" w:lineRule="auto"/>
        <w:rPr>
          <w:sz w:val="20"/>
          <w:szCs w:val="20"/>
          <w:color w:val="auto"/>
        </w:rPr>
      </w:pPr>
      <w:r>
        <w:rPr>
          <w:rFonts w:ascii="Arial" w:cs="Arial" w:eastAsia="Arial" w:hAnsi="Arial"/>
          <w:sz w:val="15"/>
          <w:szCs w:val="15"/>
          <w:color w:val="auto"/>
        </w:rPr>
        <w:t xml:space="preserve">A highlight of the day was an extensive ride-and-drive for the guests, which featured virtually all of GM’s current U.S. models from its Chevrolet, Buick, GMC, and Cadillac brands, including the all-new </w:t>
      </w:r>
      <w:r>
        <w:rPr>
          <w:rFonts w:ascii="Arial" w:cs="Arial" w:eastAsia="Arial" w:hAnsi="Arial"/>
          <w:sz w:val="15"/>
          <w:szCs w:val="15"/>
          <w:u w:val="single" w:color="auto"/>
          <w:color w:val="auto"/>
        </w:rPr>
        <w:t>Chevrolet Cruze</w:t>
      </w:r>
      <w:r>
        <w:rPr>
          <w:rFonts w:ascii="Arial" w:cs="Arial" w:eastAsia="Arial" w:hAnsi="Arial"/>
          <w:sz w:val="15"/>
          <w:szCs w:val="15"/>
          <w:color w:val="auto"/>
        </w:rPr>
        <w:t xml:space="preserve"> and the </w:t>
      </w:r>
      <w:r>
        <w:rPr>
          <w:rFonts w:ascii="Arial" w:cs="Arial" w:eastAsia="Arial" w:hAnsi="Arial"/>
          <w:sz w:val="15"/>
          <w:szCs w:val="15"/>
          <w:u w:val="single" w:color="auto"/>
          <w:color w:val="auto"/>
        </w:rPr>
        <w:t>Chevrolet Volt</w:t>
      </w:r>
      <w:r>
        <w:rPr>
          <w:rFonts w:ascii="Arial" w:cs="Arial" w:eastAsia="Arial" w:hAnsi="Arial"/>
          <w:sz w:val="15"/>
          <w:szCs w:val="15"/>
          <w:color w:val="auto"/>
        </w:rPr>
        <w:t xml:space="preserve"> extended-range electric vehicle.</w:t>
      </w:r>
    </w:p>
    <w:p>
      <w:pPr>
        <w:spacing w:after="0" w:line="99" w:lineRule="exact"/>
        <w:rPr>
          <w:sz w:val="20"/>
          <w:szCs w:val="20"/>
          <w:color w:val="auto"/>
        </w:rPr>
      </w:pPr>
    </w:p>
    <w:p>
      <w:pPr>
        <w:ind w:right="460"/>
        <w:spacing w:after="0" w:line="291" w:lineRule="auto"/>
        <w:rPr>
          <w:sz w:val="20"/>
          <w:szCs w:val="20"/>
          <w:color w:val="auto"/>
        </w:rPr>
      </w:pPr>
      <w:r>
        <w:rPr>
          <w:rFonts w:ascii="Arial" w:cs="Arial" w:eastAsia="Arial" w:hAnsi="Arial"/>
          <w:sz w:val="15"/>
          <w:szCs w:val="15"/>
          <w:color w:val="auto"/>
        </w:rPr>
        <w:t>Girsky shared his perspectives on how GM is operating differently today, and what global market challenges still lie ahead, including further market fragmentation and new vehicle market volatility, and outlined how GM is addressing these challenges and aligning the company to take full advantage of opportunities ahead.</w:t>
      </w:r>
    </w:p>
    <w:p>
      <w:pPr>
        <w:spacing w:after="0" w:line="99" w:lineRule="exact"/>
        <w:rPr>
          <w:sz w:val="20"/>
          <w:szCs w:val="20"/>
          <w:color w:val="auto"/>
        </w:rPr>
      </w:pPr>
    </w:p>
    <w:p>
      <w:pPr>
        <w:ind w:right="240"/>
        <w:spacing w:after="0" w:line="291" w:lineRule="auto"/>
        <w:rPr>
          <w:sz w:val="20"/>
          <w:szCs w:val="20"/>
          <w:color w:val="auto"/>
        </w:rPr>
      </w:pPr>
      <w:r>
        <w:rPr>
          <w:rFonts w:ascii="Arial" w:cs="Arial" w:eastAsia="Arial" w:hAnsi="Arial"/>
          <w:sz w:val="15"/>
          <w:szCs w:val="15"/>
          <w:color w:val="auto"/>
        </w:rPr>
        <w:t>Liddell concluded the day by summarizing the importance of GM’s global resources and financial strength in stabilizing and growing the business. He reinforced GM’s commitment to communicating in an open and consistent manner, and to keeping the focus on the key factors that are important to the business and its stakeholders.</w:t>
      </w:r>
    </w:p>
    <w:p>
      <w:pPr>
        <w:spacing w:after="0" w:line="99" w:lineRule="exact"/>
        <w:rPr>
          <w:sz w:val="20"/>
          <w:szCs w:val="20"/>
          <w:color w:val="auto"/>
        </w:rPr>
      </w:pPr>
    </w:p>
    <w:p>
      <w:pPr>
        <w:ind w:right="420"/>
        <w:spacing w:after="0" w:line="276" w:lineRule="auto"/>
        <w:rPr>
          <w:sz w:val="20"/>
          <w:szCs w:val="20"/>
          <w:color w:val="auto"/>
        </w:rPr>
      </w:pPr>
      <w:r>
        <w:rPr>
          <w:rFonts w:ascii="Arial" w:cs="Arial" w:eastAsia="Arial" w:hAnsi="Arial"/>
          <w:sz w:val="15"/>
          <w:szCs w:val="15"/>
          <w:color w:val="auto"/>
        </w:rPr>
        <w:t>“Today’s event gave us a unique opportunity to highlight the fundamental changes we’re making at GM. With global growth potential in both mature and emerging markets, a dramatically lower break-even level in North America, actions underway to restructure Europe, and a much stronger balance sheet, we are making the changes needed for long-term success,” Liddell said.</w:t>
      </w:r>
    </w:p>
    <w:p>
      <w:pPr>
        <w:sectPr>
          <w:pgSz w:w="11900" w:h="16838" w:orient="portrait"/>
          <w:cols w:equalWidth="0" w:num="1">
            <w:col w:w="11440"/>
          </w:cols>
          <w:pgMar w:left="240" w:top="128" w:right="219" w:bottom="1440" w:gutter="0" w:footer="0" w:header="0"/>
        </w:sectPr>
      </w:pPr>
    </w:p>
    <w:bookmarkStart w:id="4" w:name="page5"/>
    <w:bookmarkEnd w:id="4"/>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xml:space="preserve">An audio replay and accompanying presentation charts are available on </w:t>
      </w:r>
      <w:r>
        <w:rPr>
          <w:rFonts w:ascii="Arial" w:cs="Arial" w:eastAsia="Arial" w:hAnsi="Arial"/>
          <w:sz w:val="15"/>
          <w:szCs w:val="15"/>
          <w:u w:val="single" w:color="auto"/>
          <w:color w:val="auto"/>
        </w:rPr>
        <w:t>GM’s Investor Relations</w:t>
      </w:r>
      <w:r>
        <w:rPr>
          <w:rFonts w:ascii="Arial" w:cs="Arial" w:eastAsia="Arial" w:hAnsi="Arial"/>
          <w:sz w:val="15"/>
          <w:szCs w:val="15"/>
          <w:color w:val="auto"/>
        </w:rPr>
        <w:t xml:space="preserve"> website at www.gm.com/corporate/investor_information/cal_events.</w:t>
      </w:r>
    </w:p>
    <w:p>
      <w:pPr>
        <w:spacing w:after="0" w:line="153" w:lineRule="exact"/>
        <w:rPr>
          <w:sz w:val="20"/>
          <w:szCs w:val="20"/>
          <w:color w:val="auto"/>
        </w:rPr>
      </w:pPr>
    </w:p>
    <w:p>
      <w:pPr>
        <w:ind w:left="5560"/>
        <w:spacing w:after="0"/>
        <w:rPr>
          <w:sz w:val="20"/>
          <w:szCs w:val="20"/>
          <w:color w:val="auto"/>
        </w:rPr>
      </w:pPr>
      <w:r>
        <w:rPr>
          <w:rFonts w:ascii="Arial" w:cs="Arial" w:eastAsia="Arial" w:hAnsi="Arial"/>
          <w:sz w:val="15"/>
          <w:szCs w:val="15"/>
          <w:b w:val="1"/>
          <w:bCs w:val="1"/>
          <w:color w:val="auto"/>
        </w:rPr>
        <w:t># # #</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General Motors:</w:t>
      </w:r>
    </w:p>
    <w:p>
      <w:pPr>
        <w:spacing w:after="0" w:line="161" w:lineRule="exact"/>
        <w:rPr>
          <w:sz w:val="20"/>
          <w:szCs w:val="20"/>
          <w:color w:val="auto"/>
        </w:rPr>
      </w:pPr>
    </w:p>
    <w:p>
      <w:pPr>
        <w:ind w:right="180"/>
        <w:spacing w:after="0" w:line="267" w:lineRule="auto"/>
        <w:rPr>
          <w:sz w:val="20"/>
          <w:szCs w:val="20"/>
          <w:color w:val="auto"/>
        </w:rPr>
      </w:pPr>
      <w:r>
        <w:rPr>
          <w:rFonts w:ascii="Arial" w:cs="Arial" w:eastAsia="Arial" w:hAnsi="Arial"/>
          <w:sz w:val="15"/>
          <w:szCs w:val="15"/>
          <w:color w:val="auto"/>
        </w:rPr>
        <w:t xml:space="preserve">General Motors, one of the world’s largest automakers, traces its roots back to 1908. With its global headquarters in Detroit, GM employs 205,000 people in every major region of the world and does business in some 157 countries. GM and its strategic partners produce cars and trucks in 31 countries, and sell and service these vehicles through the following brands: Buick, Cadillac, Chevrolet, FAW, GMC, Daewoo, Holden, Jiefang, Opel, Vauxhall and Wuling. GM’s largest national market is the United States, followed by China, Brazil, Germany, the United Kingdom, Canada, and Italy. GM’s OnStar subsidiary is the industry leader in vehicle safety, security and information services. General Motors acquired operations from General Motors Corporation on July 10, 2009, and references to prior periods in this and other press materials refer to operations of the old General Motors Corporation. More information on the new General Motors can be found at </w:t>
      </w:r>
      <w:r>
        <w:rPr>
          <w:rFonts w:ascii="Arial" w:cs="Arial" w:eastAsia="Arial" w:hAnsi="Arial"/>
          <w:sz w:val="15"/>
          <w:szCs w:val="15"/>
          <w:u w:val="single" w:color="auto"/>
          <w:color w:val="auto"/>
        </w:rPr>
        <w:t>www.gm.com</w:t>
      </w:r>
      <w:r>
        <w:rPr>
          <w:rFonts w:ascii="Arial" w:cs="Arial" w:eastAsia="Arial" w:hAnsi="Arial"/>
          <w:sz w:val="15"/>
          <w:szCs w:val="15"/>
          <w:color w:val="auto"/>
        </w:rPr>
        <w:t>.</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161"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planning significant investment in new technology; our ability to realize successful vehicle applications of new technology; and our ability to comply with the continuing requirements related to U.S. and other government support.</w:t>
      </w:r>
    </w:p>
    <w:p>
      <w:pPr>
        <w:spacing w:after="0" w:line="106" w:lineRule="exact"/>
        <w:rPr>
          <w:sz w:val="20"/>
          <w:szCs w:val="20"/>
          <w:color w:val="auto"/>
        </w:rPr>
      </w:pPr>
    </w:p>
    <w:p>
      <w:pPr>
        <w:ind w:right="420"/>
        <w:spacing w:after="0" w:line="291" w:lineRule="auto"/>
        <w:rPr>
          <w:sz w:val="20"/>
          <w:szCs w:val="20"/>
          <w:color w:val="auto"/>
        </w:rPr>
      </w:pPr>
      <w:r>
        <w:rPr>
          <w:rFonts w:ascii="Arial" w:cs="Arial" w:eastAsia="Arial" w:hAnsi="Arial"/>
          <w:sz w:val="15"/>
          <w:szCs w:val="15"/>
          <w:color w:val="auto"/>
        </w:rPr>
        <w:t>GM’s most recent annual report on Form 10-K and quarterly report on Form 10-Q provides information about these and other factors, which we may revise or supplement in future reports to the SEC.</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Contacts: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Reneé Rashid-Merem</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Office 313.665.3128</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Cell 313.701.8560</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renee.rashid-merem@gm.com</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Randy Arickx</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Office 313.667.0006</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Cell 313.268.7070</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randy.c.arickx@gm.com</w:t>
      </w:r>
    </w:p>
    <w:p>
      <w:pPr>
        <w:sectPr>
          <w:pgSz w:w="11900" w:h="16838" w:orient="portrait"/>
          <w:cols w:equalWidth="0" w:num="1">
            <w:col w:w="11400"/>
          </w:cols>
          <w:pgMar w:left="240" w:top="262" w:right="259" w:bottom="1440" w:gutter="0" w:footer="0" w:header="0"/>
        </w:sectPr>
      </w:pPr>
    </w:p>
    <w:bookmarkStart w:id="5" w:name="page6"/>
    <w:bookmarkEnd w:id="5"/>
    <w:p>
      <w:pPr>
        <w:spacing w:after="0"/>
        <w:rPr>
          <w:sz w:val="20"/>
          <w:szCs w:val="20"/>
          <w:color w:val="auto"/>
        </w:rPr>
      </w:pPr>
      <w:r>
        <w:rPr>
          <w:rFonts w:ascii="Arial" w:cs="Arial" w:eastAsia="Arial" w:hAnsi="Arial"/>
          <w:sz w:val="56"/>
          <w:szCs w:val="56"/>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FORWARD LOOKING STATEMENTS</w:t>
      </w: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Arial" w:cs="Arial" w:eastAsia="Arial" w:hAnsi="Arial"/>
          <w:sz w:val="25"/>
          <w:szCs w:val="25"/>
          <w:color w:val="FFFFFF"/>
        </w:rPr>
        <w:t>In this presentation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planning significant investment in new technology; our ability to realize successful vehicle applications of new technology; and our ability to comply with the continuing requirements related to U.S. and other government support.</w:t>
      </w:r>
    </w:p>
    <w:p>
      <w:pPr>
        <w:spacing w:after="0" w:line="290" w:lineRule="exact"/>
        <w:rPr>
          <w:sz w:val="20"/>
          <w:szCs w:val="20"/>
          <w:color w:val="auto"/>
        </w:rPr>
      </w:pPr>
    </w:p>
    <w:p>
      <w:pPr>
        <w:ind w:left="60" w:right="120"/>
        <w:spacing w:after="0" w:line="244" w:lineRule="auto"/>
        <w:rPr>
          <w:sz w:val="20"/>
          <w:szCs w:val="20"/>
          <w:color w:val="auto"/>
        </w:rPr>
      </w:pPr>
      <w:r>
        <w:rPr>
          <w:rFonts w:ascii="Arial" w:cs="Arial" w:eastAsia="Arial" w:hAnsi="Arial"/>
          <w:sz w:val="25"/>
          <w:szCs w:val="25"/>
          <w:color w:val="FFFFFF"/>
        </w:rPr>
        <w:t>GM's most recent annual report on Form 10-K and quarterly report on Form 10-Q provides information about these and other factors, which we may revise or supplement in future reports to the SEC.</w:t>
      </w:r>
    </w:p>
    <w:p>
      <w:pPr>
        <w:sectPr>
          <w:pgSz w:w="11900" w:h="16838" w:orient="portrait"/>
          <w:cols w:equalWidth="0" w:num="1">
            <w:col w:w="10040"/>
          </w:cols>
          <w:pgMar w:left="1040" w:top="1003" w:right="819" w:bottom="1440" w:gutter="0" w:footer="0" w:header="0"/>
        </w:sectPr>
      </w:pPr>
    </w:p>
    <w:bookmarkStart w:id="6" w:name="page7"/>
    <w:bookmarkEnd w:id="6"/>
    <w:p>
      <w:pPr>
        <w:spacing w:after="0" w:line="24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47"/>
          <w:szCs w:val="47"/>
          <w:b w:val="1"/>
          <w:bCs w:val="1"/>
          <w:color w:val="FFFFFF"/>
        </w:rPr>
        <w:t>TOM STEPHENS</w:t>
      </w:r>
    </w:p>
    <w:p>
      <w:pPr>
        <w:spacing w:after="0" w:line="58" w:lineRule="exact"/>
        <w:rPr>
          <w:sz w:val="20"/>
          <w:szCs w:val="20"/>
          <w:color w:val="auto"/>
        </w:rPr>
      </w:pPr>
    </w:p>
    <w:p>
      <w:pPr>
        <w:spacing w:after="0"/>
        <w:rPr>
          <w:sz w:val="20"/>
          <w:szCs w:val="20"/>
          <w:color w:val="auto"/>
        </w:rPr>
      </w:pPr>
      <w:r>
        <w:rPr>
          <w:rFonts w:ascii="Arial" w:cs="Arial" w:eastAsia="Arial" w:hAnsi="Arial"/>
          <w:sz w:val="31"/>
          <w:szCs w:val="31"/>
          <w:color w:val="7FB1FF"/>
        </w:rPr>
        <w:t>Vice Chairman, Global Product Operations</w:t>
      </w:r>
    </w:p>
    <w:p>
      <w:pPr>
        <w:sectPr>
          <w:pgSz w:w="11900" w:h="16838" w:orient="portrait"/>
          <w:cols w:equalWidth="0" w:num="1">
            <w:col w:w="9359"/>
          </w:cols>
          <w:pgMar w:left="110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47"/>
          <w:szCs w:val="47"/>
          <w:b w:val="1"/>
          <w:bCs w:val="1"/>
          <w:color w:val="FFFFFF"/>
        </w:rPr>
        <w:t>STEVE GIRSKY</w:t>
      </w:r>
    </w:p>
    <w:p>
      <w:pPr>
        <w:spacing w:after="0" w:line="58" w:lineRule="exact"/>
        <w:rPr>
          <w:sz w:val="20"/>
          <w:szCs w:val="20"/>
          <w:color w:val="auto"/>
        </w:rPr>
      </w:pPr>
    </w:p>
    <w:p>
      <w:pPr>
        <w:spacing w:after="0"/>
        <w:rPr>
          <w:sz w:val="20"/>
          <w:szCs w:val="20"/>
          <w:color w:val="auto"/>
        </w:rPr>
      </w:pPr>
      <w:r>
        <w:rPr>
          <w:rFonts w:ascii="Arial" w:cs="Arial" w:eastAsia="Arial" w:hAnsi="Arial"/>
          <w:sz w:val="31"/>
          <w:szCs w:val="31"/>
          <w:color w:val="7FB1FF"/>
        </w:rPr>
        <w:t>Vice Chairman, Corporate Strategy &amp; Business Development</w:t>
      </w:r>
    </w:p>
    <w:p>
      <w:pPr>
        <w:sectPr>
          <w:pgSz w:w="11900" w:h="16838" w:orient="portrait"/>
          <w:cols w:equalWidth="0" w:num="1">
            <w:col w:w="9359"/>
          </w:cols>
          <w:pgMar w:left="110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47"/>
          <w:szCs w:val="47"/>
          <w:b w:val="1"/>
          <w:bCs w:val="1"/>
          <w:color w:val="FFFFFF"/>
        </w:rPr>
        <w:t>CHRIS LIDDELL</w:t>
      </w:r>
    </w:p>
    <w:p>
      <w:pPr>
        <w:spacing w:after="0" w:line="58" w:lineRule="exact"/>
        <w:rPr>
          <w:sz w:val="20"/>
          <w:szCs w:val="20"/>
          <w:color w:val="auto"/>
        </w:rPr>
      </w:pPr>
    </w:p>
    <w:p>
      <w:pPr>
        <w:spacing w:after="0"/>
        <w:rPr>
          <w:sz w:val="20"/>
          <w:szCs w:val="20"/>
          <w:color w:val="auto"/>
        </w:rPr>
      </w:pPr>
      <w:r>
        <w:rPr>
          <w:rFonts w:ascii="Arial" w:cs="Arial" w:eastAsia="Arial" w:hAnsi="Arial"/>
          <w:sz w:val="32"/>
          <w:szCs w:val="32"/>
          <w:color w:val="7FB1FF"/>
        </w:rPr>
        <w:t>Vice Chairman &amp; CFO</w:t>
      </w:r>
    </w:p>
    <w:p>
      <w:pPr>
        <w:sectPr>
          <w:pgSz w:w="11900" w:h="16838" w:orient="portrait"/>
          <w:cols w:equalWidth="0" w:num="1">
            <w:col w:w="9359"/>
          </w:cols>
          <w:pgMar w:left="1100" w:top="1440" w:right="1440" w:bottom="1440" w:gutter="0" w:footer="0" w:header="0"/>
        </w:sectPr>
      </w:pPr>
    </w:p>
    <w:bookmarkStart w:id="10" w:name="page11"/>
    <w:bookmarkEnd w:id="10"/>
    <w:p>
      <w:pPr>
        <w:spacing w:after="0"/>
        <w:rPr>
          <w:sz w:val="20"/>
          <w:szCs w:val="20"/>
          <w:color w:val="auto"/>
        </w:rPr>
      </w:pPr>
      <w:r>
        <w:rPr>
          <w:rFonts w:ascii="Arial" w:cs="Arial" w:eastAsia="Arial" w:hAnsi="Arial"/>
          <w:sz w:val="62"/>
          <w:szCs w:val="62"/>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THE NEW GENERAL MOTORS</w:t>
      </w:r>
    </w:p>
    <w:p>
      <w:pPr>
        <w:spacing w:after="0" w:line="342" w:lineRule="exact"/>
        <w:rPr>
          <w:sz w:val="20"/>
          <w:szCs w:val="20"/>
          <w:color w:val="auto"/>
        </w:rPr>
      </w:pPr>
    </w:p>
    <w:p>
      <w:pPr>
        <w:ind w:left="4420"/>
        <w:spacing w:after="0"/>
        <w:rPr>
          <w:sz w:val="20"/>
          <w:szCs w:val="20"/>
          <w:color w:val="auto"/>
        </w:rPr>
      </w:pPr>
      <w:r>
        <w:rPr>
          <w:rFonts w:ascii="Arial" w:cs="Arial" w:eastAsia="Arial" w:hAnsi="Arial"/>
          <w:sz w:val="32"/>
          <w:szCs w:val="32"/>
          <w:b w:val="1"/>
          <w:bCs w:val="1"/>
          <w:color w:val="auto"/>
        </w:rPr>
        <w:t>World’s</w:t>
      </w:r>
    </w:p>
    <w:p>
      <w:pPr>
        <w:spacing w:after="0" w:line="48" w:lineRule="exact"/>
        <w:rPr>
          <w:sz w:val="20"/>
          <w:szCs w:val="20"/>
          <w:color w:val="auto"/>
        </w:rPr>
      </w:pPr>
    </w:p>
    <w:p>
      <w:pPr>
        <w:ind w:left="4420"/>
        <w:spacing w:after="0"/>
        <w:rPr>
          <w:sz w:val="20"/>
          <w:szCs w:val="20"/>
          <w:color w:val="auto"/>
        </w:rPr>
      </w:pPr>
      <w:r>
        <w:rPr>
          <w:rFonts w:ascii="Arial" w:cs="Arial" w:eastAsia="Arial" w:hAnsi="Arial"/>
          <w:sz w:val="32"/>
          <w:szCs w:val="32"/>
          <w:b w:val="1"/>
          <w:bCs w:val="1"/>
          <w:color w:val="auto"/>
        </w:rPr>
        <w:t>Best</w:t>
      </w:r>
    </w:p>
    <w:p>
      <w:pPr>
        <w:spacing w:after="0" w:line="8" w:lineRule="exact"/>
        <w:rPr>
          <w:sz w:val="20"/>
          <w:szCs w:val="20"/>
          <w:color w:val="auto"/>
        </w:rPr>
      </w:pPr>
    </w:p>
    <w:p>
      <w:pPr>
        <w:ind w:left="4420"/>
        <w:spacing w:after="0"/>
        <w:rPr>
          <w:sz w:val="20"/>
          <w:szCs w:val="20"/>
          <w:color w:val="auto"/>
        </w:rPr>
      </w:pPr>
      <w:r>
        <w:rPr>
          <w:rFonts w:ascii="Arial" w:cs="Arial" w:eastAsia="Arial" w:hAnsi="Arial"/>
          <w:sz w:val="32"/>
          <w:szCs w:val="32"/>
          <w:b w:val="1"/>
          <w:bCs w:val="1"/>
          <w:color w:val="auto"/>
        </w:rPr>
        <w:t>Vehicles</w:t>
      </w:r>
    </w:p>
    <w:p>
      <w:pPr>
        <w:spacing w:after="0" w:line="200" w:lineRule="exact"/>
        <w:rPr>
          <w:sz w:val="20"/>
          <w:szCs w:val="20"/>
          <w:color w:val="auto"/>
        </w:rPr>
      </w:pPr>
    </w:p>
    <w:p>
      <w:pPr>
        <w:spacing w:after="0" w:line="286" w:lineRule="exact"/>
        <w:rPr>
          <w:sz w:val="20"/>
          <w:szCs w:val="20"/>
          <w:color w:val="auto"/>
        </w:rPr>
      </w:pPr>
    </w:p>
    <w:tbl>
      <w:tblPr>
        <w:tblLayout w:type="fixed"/>
        <w:tblInd w:w="1460" w:type="dxa"/>
        <w:tblCellMar>
          <w:top w:w="0" w:type="dxa"/>
          <w:left w:w="0" w:type="dxa"/>
          <w:bottom w:w="0" w:type="dxa"/>
          <w:right w:w="0" w:type="dxa"/>
        </w:tblCellMar>
      </w:tblPr>
      <w:tr>
        <w:trPr>
          <w:trHeight w:val="376"/>
        </w:trPr>
        <w:tc>
          <w:tcPr>
            <w:tcW w:w="4000" w:type="dxa"/>
            <w:vAlign w:val="bottom"/>
          </w:tcPr>
          <w:p>
            <w:pPr>
              <w:spacing w:after="0"/>
              <w:rPr>
                <w:sz w:val="20"/>
                <w:szCs w:val="20"/>
                <w:color w:val="auto"/>
              </w:rPr>
            </w:pPr>
            <w:r>
              <w:rPr>
                <w:rFonts w:ascii="Arial" w:cs="Arial" w:eastAsia="Arial" w:hAnsi="Arial"/>
                <w:sz w:val="32"/>
                <w:szCs w:val="32"/>
                <w:b w:val="1"/>
                <w:bCs w:val="1"/>
                <w:color w:val="auto"/>
              </w:rPr>
              <w:t>New</w:t>
            </w:r>
          </w:p>
        </w:tc>
        <w:tc>
          <w:tcPr>
            <w:tcW w:w="3860" w:type="dxa"/>
            <w:vAlign w:val="bottom"/>
            <w:vMerge w:val="restart"/>
          </w:tcPr>
          <w:p>
            <w:pPr>
              <w:ind w:left="2040"/>
              <w:spacing w:after="0"/>
              <w:rPr>
                <w:sz w:val="20"/>
                <w:szCs w:val="20"/>
                <w:color w:val="auto"/>
              </w:rPr>
            </w:pPr>
            <w:r>
              <w:rPr>
                <w:rFonts w:ascii="Arial" w:cs="Arial" w:eastAsia="Arial" w:hAnsi="Arial"/>
                <w:sz w:val="32"/>
                <w:szCs w:val="32"/>
                <w:b w:val="1"/>
                <w:bCs w:val="1"/>
                <w:color w:val="auto"/>
              </w:rPr>
              <w:t>Global</w:t>
            </w:r>
          </w:p>
        </w:tc>
        <w:tc>
          <w:tcPr>
            <w:tcW w:w="0" w:type="dxa"/>
            <w:vAlign w:val="bottom"/>
          </w:tcPr>
          <w:p>
            <w:pPr>
              <w:spacing w:after="0"/>
              <w:rPr>
                <w:sz w:val="1"/>
                <w:szCs w:val="1"/>
                <w:color w:val="auto"/>
              </w:rPr>
            </w:pPr>
          </w:p>
        </w:tc>
      </w:tr>
      <w:tr>
        <w:trPr>
          <w:trHeight w:val="80"/>
        </w:trPr>
        <w:tc>
          <w:tcPr>
            <w:tcW w:w="4000" w:type="dxa"/>
            <w:vAlign w:val="bottom"/>
            <w:vMerge w:val="restart"/>
          </w:tcPr>
          <w:p>
            <w:pPr>
              <w:spacing w:after="0"/>
              <w:rPr>
                <w:sz w:val="20"/>
                <w:szCs w:val="20"/>
                <w:color w:val="auto"/>
              </w:rPr>
            </w:pPr>
            <w:r>
              <w:rPr>
                <w:rFonts w:ascii="Arial" w:cs="Arial" w:eastAsia="Arial" w:hAnsi="Arial"/>
                <w:sz w:val="32"/>
                <w:szCs w:val="32"/>
                <w:b w:val="1"/>
                <w:bCs w:val="1"/>
                <w:color w:val="auto"/>
              </w:rPr>
              <w:t>Management</w:t>
            </w:r>
          </w:p>
        </w:tc>
        <w:tc>
          <w:tcPr>
            <w:tcW w:w="3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7"/>
        </w:trPr>
        <w:tc>
          <w:tcPr>
            <w:tcW w:w="4000" w:type="dxa"/>
            <w:vAlign w:val="bottom"/>
            <w:vMerge w:val="continue"/>
          </w:tcPr>
          <w:p>
            <w:pPr>
              <w:spacing w:after="0"/>
              <w:rPr>
                <w:sz w:val="24"/>
                <w:szCs w:val="24"/>
                <w:color w:val="auto"/>
              </w:rPr>
            </w:pPr>
          </w:p>
        </w:tc>
        <w:tc>
          <w:tcPr>
            <w:tcW w:w="3860" w:type="dxa"/>
            <w:vAlign w:val="bottom"/>
          </w:tcPr>
          <w:p>
            <w:pPr>
              <w:ind w:left="2040"/>
              <w:spacing w:after="0" w:line="318" w:lineRule="exact"/>
              <w:rPr>
                <w:sz w:val="20"/>
                <w:szCs w:val="20"/>
                <w:color w:val="auto"/>
              </w:rPr>
            </w:pPr>
            <w:r>
              <w:rPr>
                <w:rFonts w:ascii="Arial" w:cs="Arial" w:eastAsia="Arial" w:hAnsi="Arial"/>
                <w:sz w:val="32"/>
                <w:szCs w:val="32"/>
                <w:b w:val="1"/>
                <w:bCs w:val="1"/>
                <w:color w:val="auto"/>
                <w:w w:val="98"/>
              </w:rPr>
              <w:t>Opportunity</w:t>
            </w:r>
          </w:p>
        </w:tc>
        <w:tc>
          <w:tcPr>
            <w:tcW w:w="0" w:type="dxa"/>
            <w:vAlign w:val="bottom"/>
          </w:tcPr>
          <w:p>
            <w:pPr>
              <w:spacing w:after="0"/>
              <w:rPr>
                <w:sz w:val="1"/>
                <w:szCs w:val="1"/>
                <w:color w:val="auto"/>
              </w:rPr>
            </w:pPr>
          </w:p>
        </w:tc>
      </w:tr>
      <w:tr>
        <w:trPr>
          <w:trHeight w:val="421"/>
        </w:trPr>
        <w:tc>
          <w:tcPr>
            <w:tcW w:w="4000" w:type="dxa"/>
            <w:vAlign w:val="bottom"/>
          </w:tcPr>
          <w:p>
            <w:pPr>
              <w:spacing w:after="0"/>
              <w:rPr>
                <w:sz w:val="20"/>
                <w:szCs w:val="20"/>
                <w:color w:val="auto"/>
              </w:rPr>
            </w:pPr>
            <w:r>
              <w:rPr>
                <w:rFonts w:ascii="Arial" w:cs="Arial" w:eastAsia="Arial" w:hAnsi="Arial"/>
                <w:sz w:val="32"/>
                <w:szCs w:val="32"/>
                <w:b w:val="1"/>
                <w:bCs w:val="1"/>
                <w:color w:val="auto"/>
              </w:rPr>
              <w:t>Approach</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19"/>
          </w:cols>
          <w:pgMar w:left="1040" w:top="9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60"/>
        <w:spacing w:after="0"/>
        <w:rPr>
          <w:sz w:val="20"/>
          <w:szCs w:val="20"/>
          <w:color w:val="auto"/>
        </w:rPr>
      </w:pPr>
      <w:r>
        <w:rPr>
          <w:rFonts w:ascii="Arial" w:cs="Arial" w:eastAsia="Arial" w:hAnsi="Arial"/>
          <w:sz w:val="31"/>
          <w:szCs w:val="31"/>
          <w:b w:val="1"/>
          <w:bCs w:val="1"/>
          <w:color w:val="auto"/>
        </w:rPr>
        <w:t>Financial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Breakeven</w:t>
      </w:r>
    </w:p>
    <w:p>
      <w:pPr>
        <w:spacing w:after="0" w:line="65" w:lineRule="exact"/>
        <w:rPr>
          <w:sz w:val="20"/>
          <w:szCs w:val="20"/>
          <w:color w:val="auto"/>
        </w:rPr>
      </w:pPr>
    </w:p>
    <w:p>
      <w:pPr>
        <w:sectPr>
          <w:pgSz w:w="11900" w:h="16838" w:orient="portrait"/>
          <w:cols w:equalWidth="0" w:num="2">
            <w:col w:w="6160" w:space="720"/>
            <w:col w:w="2539"/>
          </w:cols>
          <w:pgMar w:left="1040" w:top="944" w:right="1440" w:bottom="1440" w:gutter="0" w:footer="0" w:header="0"/>
          <w:type w:val="continuous"/>
        </w:sectPr>
      </w:pPr>
    </w:p>
    <w:p>
      <w:pPr>
        <w:ind w:left="1960"/>
        <w:spacing w:after="0"/>
        <w:rPr>
          <w:sz w:val="20"/>
          <w:szCs w:val="20"/>
          <w:color w:val="auto"/>
        </w:rPr>
      </w:pPr>
      <w:r>
        <w:rPr>
          <w:rFonts w:ascii="Arial" w:cs="Arial" w:eastAsia="Arial" w:hAnsi="Arial"/>
          <w:sz w:val="31"/>
          <w:szCs w:val="31"/>
          <w:b w:val="1"/>
          <w:bCs w:val="1"/>
          <w:color w:val="auto"/>
        </w:rPr>
        <w:t>Flexibility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1"/>
          <w:szCs w:val="31"/>
          <w:b w:val="1"/>
          <w:bCs w:val="1"/>
          <w:color w:val="auto"/>
        </w:rPr>
        <w:t>at Bottom</w:t>
      </w:r>
    </w:p>
    <w:p>
      <w:pPr>
        <w:sectPr>
          <w:pgSz w:w="11900" w:h="16838" w:orient="portrait"/>
          <w:cols w:equalWidth="0" w:num="2">
            <w:col w:w="6160" w:space="720"/>
            <w:col w:w="2539"/>
          </w:cols>
          <w:pgMar w:left="1040" w:top="944" w:right="1440"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62"/>
          <w:szCs w:val="62"/>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WORLD’S BEST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0"/>
        <w:spacing w:after="0"/>
        <w:rPr>
          <w:sz w:val="20"/>
          <w:szCs w:val="20"/>
          <w:color w:val="auto"/>
        </w:rPr>
      </w:pPr>
      <w:r>
        <w:rPr>
          <w:rFonts w:ascii="Arial" w:cs="Arial" w:eastAsia="Arial" w:hAnsi="Arial"/>
          <w:sz w:val="18"/>
          <w:szCs w:val="18"/>
          <w:color w:val="FFFFFF"/>
        </w:rPr>
        <w:t>Source: Incentive information based on J.D. Power and Associates Power Information Network Data (Syndicated Report)</w:t>
      </w:r>
    </w:p>
    <w:p>
      <w:pPr>
        <w:sectPr>
          <w:pgSz w:w="11900" w:h="16838" w:orient="portrait"/>
          <w:cols w:equalWidth="0" w:num="1">
            <w:col w:w="10080"/>
          </w:cols>
          <w:pgMar w:left="1040" w:top="944" w:right="779" w:bottom="1440" w:gutter="0" w:footer="0" w:header="0"/>
        </w:sectPr>
      </w:pPr>
    </w:p>
    <w:bookmarkStart w:id="12" w:name="page13"/>
    <w:bookmarkEnd w:id="12"/>
    <w:p>
      <w:pPr>
        <w:spacing w:after="0"/>
        <w:rPr>
          <w:sz w:val="20"/>
          <w:szCs w:val="20"/>
          <w:color w:val="auto"/>
        </w:rPr>
      </w:pPr>
      <w:r>
        <w:rPr>
          <w:rFonts w:ascii="Arial" w:cs="Arial" w:eastAsia="Arial" w:hAnsi="Arial"/>
          <w:sz w:val="62"/>
          <w:szCs w:val="62"/>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GLOBAL OPPORTUNITY</w:t>
      </w:r>
    </w:p>
    <w:p>
      <w:pPr>
        <w:spacing w:after="0" w:line="153" w:lineRule="exact"/>
        <w:rPr>
          <w:sz w:val="20"/>
          <w:szCs w:val="20"/>
          <w:color w:val="auto"/>
        </w:rPr>
      </w:pPr>
    </w:p>
    <w:tbl>
      <w:tblPr>
        <w:tblLayout w:type="fixed"/>
        <w:tblInd w:w="420" w:type="dxa"/>
        <w:tblCellMar>
          <w:top w:w="0" w:type="dxa"/>
          <w:left w:w="0" w:type="dxa"/>
          <w:bottom w:w="0" w:type="dxa"/>
          <w:right w:w="0" w:type="dxa"/>
        </w:tblCellMar>
      </w:tblPr>
      <w:tr>
        <w:trPr>
          <w:trHeight w:val="437"/>
        </w:trPr>
        <w:tc>
          <w:tcPr>
            <w:tcW w:w="5040" w:type="dxa"/>
            <w:vAlign w:val="bottom"/>
          </w:tcPr>
          <w:p>
            <w:pPr>
              <w:jc w:val="center"/>
              <w:spacing w:after="0"/>
              <w:rPr>
                <w:sz w:val="20"/>
                <w:szCs w:val="20"/>
                <w:color w:val="auto"/>
              </w:rPr>
            </w:pPr>
            <w:r>
              <w:rPr>
                <w:rFonts w:ascii="Arial" w:cs="Arial" w:eastAsia="Arial" w:hAnsi="Arial"/>
                <w:sz w:val="33"/>
                <w:szCs w:val="33"/>
                <w:b w:val="1"/>
                <w:bCs w:val="1"/>
                <w:color w:val="FFFFFF"/>
                <w:w w:val="99"/>
              </w:rPr>
              <w:t>Top 5 Projected Growth Markets</w:t>
            </w:r>
          </w:p>
        </w:tc>
        <w:tc>
          <w:tcPr>
            <w:tcW w:w="1560" w:type="dxa"/>
            <w:vAlign w:val="bottom"/>
          </w:tcPr>
          <w:p>
            <w:pPr>
              <w:jc w:val="center"/>
              <w:spacing w:after="0"/>
              <w:rPr>
                <w:sz w:val="20"/>
                <w:szCs w:val="20"/>
                <w:color w:val="auto"/>
              </w:rPr>
            </w:pPr>
            <w:r>
              <w:rPr>
                <w:rFonts w:ascii="Arial" w:cs="Arial" w:eastAsia="Arial" w:hAnsi="Arial"/>
                <w:sz w:val="25"/>
                <w:szCs w:val="25"/>
                <w:b w:val="1"/>
                <w:bCs w:val="1"/>
                <w:color w:val="7FB1FF"/>
                <w:w w:val="99"/>
              </w:rPr>
              <w:t>2009 GM</w:t>
            </w:r>
          </w:p>
        </w:tc>
      </w:tr>
      <w:tr>
        <w:trPr>
          <w:trHeight w:val="400"/>
        </w:trPr>
        <w:tc>
          <w:tcPr>
            <w:tcW w:w="5040" w:type="dxa"/>
            <w:vAlign w:val="bottom"/>
          </w:tcPr>
          <w:p>
            <w:pPr>
              <w:jc w:val="center"/>
              <w:spacing w:after="0"/>
              <w:rPr>
                <w:sz w:val="20"/>
                <w:szCs w:val="20"/>
                <w:color w:val="auto"/>
              </w:rPr>
            </w:pPr>
            <w:r>
              <w:rPr>
                <w:rFonts w:ascii="Arial" w:cs="Arial" w:eastAsia="Arial" w:hAnsi="Arial"/>
                <w:sz w:val="28"/>
                <w:szCs w:val="28"/>
                <w:b w:val="1"/>
                <w:bCs w:val="1"/>
                <w:color w:val="FFFFFF"/>
              </w:rPr>
              <w:t>2009-2014E</w:t>
            </w:r>
          </w:p>
        </w:tc>
        <w:tc>
          <w:tcPr>
            <w:tcW w:w="1560" w:type="dxa"/>
            <w:vAlign w:val="bottom"/>
          </w:tcPr>
          <w:p>
            <w:pPr>
              <w:jc w:val="center"/>
              <w:spacing w:after="0"/>
              <w:rPr>
                <w:sz w:val="20"/>
                <w:szCs w:val="20"/>
                <w:color w:val="auto"/>
              </w:rPr>
            </w:pPr>
            <w:r>
              <w:rPr>
                <w:rFonts w:ascii="Arial" w:cs="Arial" w:eastAsia="Arial" w:hAnsi="Arial"/>
                <w:sz w:val="25"/>
                <w:szCs w:val="25"/>
                <w:b w:val="1"/>
                <w:bCs w:val="1"/>
                <w:color w:val="7FB1FF"/>
                <w:w w:val="98"/>
              </w:rPr>
              <w:t>Market Share</w:t>
            </w:r>
          </w:p>
        </w:tc>
      </w:tr>
    </w:tbl>
    <w:p>
      <w:pPr>
        <w:spacing w:after="0" w:line="217" w:lineRule="exact"/>
        <w:rPr>
          <w:sz w:val="20"/>
          <w:szCs w:val="20"/>
          <w:color w:val="auto"/>
        </w:rPr>
      </w:pPr>
    </w:p>
    <w:tbl>
      <w:tblPr>
        <w:tblLayout w:type="fixed"/>
        <w:tblInd w:w="5800" w:type="dxa"/>
        <w:tblCellMar>
          <w:top w:w="0" w:type="dxa"/>
          <w:left w:w="0" w:type="dxa"/>
          <w:bottom w:w="0" w:type="dxa"/>
          <w:right w:w="0" w:type="dxa"/>
        </w:tblCellMar>
      </w:tblPr>
      <w:tr>
        <w:trPr>
          <w:trHeight w:val="391"/>
        </w:trPr>
        <w:tc>
          <w:tcPr>
            <w:tcW w:w="1180" w:type="dxa"/>
            <w:vAlign w:val="bottom"/>
          </w:tcPr>
          <w:p>
            <w:pPr>
              <w:jc w:val="right"/>
              <w:ind w:right="330"/>
              <w:spacing w:after="0"/>
              <w:rPr>
                <w:sz w:val="20"/>
                <w:szCs w:val="20"/>
                <w:color w:val="auto"/>
              </w:rPr>
            </w:pPr>
            <w:r>
              <w:rPr>
                <w:rFonts w:ascii="Arial" w:cs="Arial" w:eastAsia="Arial" w:hAnsi="Arial"/>
                <w:sz w:val="34"/>
                <w:szCs w:val="34"/>
                <w:b w:val="1"/>
                <w:bCs w:val="1"/>
                <w:color w:val="FFFFFF"/>
                <w:w w:val="96"/>
              </w:rPr>
              <w:t>13%</w:t>
            </w:r>
          </w:p>
        </w:tc>
        <w:tc>
          <w:tcPr>
            <w:tcW w:w="3500" w:type="dxa"/>
            <w:vAlign w:val="bottom"/>
          </w:tcPr>
          <w:p>
            <w:pPr>
              <w:jc w:val="center"/>
              <w:ind w:left="201"/>
              <w:spacing w:after="0"/>
              <w:rPr>
                <w:sz w:val="20"/>
                <w:szCs w:val="20"/>
                <w:color w:val="auto"/>
              </w:rPr>
            </w:pPr>
            <w:r>
              <w:rPr>
                <w:rFonts w:ascii="Arial" w:cs="Arial" w:eastAsia="Arial" w:hAnsi="Arial"/>
                <w:sz w:val="32"/>
                <w:szCs w:val="32"/>
                <w:b w:val="1"/>
                <w:bCs w:val="1"/>
                <w:i w:val="1"/>
                <w:iCs w:val="1"/>
                <w:color w:val="FCD238"/>
              </w:rPr>
              <w:t>GM</w:t>
            </w:r>
          </w:p>
        </w:tc>
        <w:tc>
          <w:tcPr>
            <w:tcW w:w="0" w:type="dxa"/>
            <w:vAlign w:val="bottom"/>
          </w:tcPr>
          <w:p>
            <w:pPr>
              <w:spacing w:after="0"/>
              <w:rPr>
                <w:sz w:val="1"/>
                <w:szCs w:val="1"/>
                <w:color w:val="auto"/>
              </w:rPr>
            </w:pPr>
          </w:p>
        </w:tc>
      </w:tr>
      <w:tr>
        <w:trPr>
          <w:trHeight w:val="419"/>
        </w:trPr>
        <w:tc>
          <w:tcPr>
            <w:tcW w:w="1180" w:type="dxa"/>
            <w:vAlign w:val="bottom"/>
            <w:vMerge w:val="restart"/>
          </w:tcPr>
          <w:p>
            <w:pPr>
              <w:jc w:val="right"/>
              <w:ind w:right="330"/>
              <w:spacing w:after="0"/>
              <w:rPr>
                <w:sz w:val="20"/>
                <w:szCs w:val="20"/>
                <w:color w:val="auto"/>
              </w:rPr>
            </w:pPr>
            <w:r>
              <w:rPr>
                <w:rFonts w:ascii="Arial" w:cs="Arial" w:eastAsia="Arial" w:hAnsi="Arial"/>
                <w:sz w:val="34"/>
                <w:szCs w:val="34"/>
                <w:b w:val="1"/>
                <w:bCs w:val="1"/>
                <w:color w:val="FFFFFF"/>
                <w:w w:val="96"/>
              </w:rPr>
              <w:t>20%</w:t>
            </w:r>
          </w:p>
        </w:tc>
        <w:tc>
          <w:tcPr>
            <w:tcW w:w="3500" w:type="dxa"/>
            <w:vAlign w:val="bottom"/>
          </w:tcPr>
          <w:p>
            <w:pPr>
              <w:jc w:val="center"/>
              <w:ind w:left="261"/>
              <w:spacing w:after="0"/>
              <w:rPr>
                <w:sz w:val="20"/>
                <w:szCs w:val="20"/>
                <w:color w:val="auto"/>
              </w:rPr>
            </w:pPr>
            <w:r>
              <w:rPr>
                <w:rFonts w:ascii="Arial" w:cs="Arial" w:eastAsia="Arial" w:hAnsi="Arial"/>
                <w:sz w:val="32"/>
                <w:szCs w:val="32"/>
                <w:b w:val="1"/>
                <w:bCs w:val="1"/>
                <w:i w:val="1"/>
                <w:iCs w:val="1"/>
                <w:color w:val="FCD238"/>
                <w:w w:val="99"/>
              </w:rPr>
              <w:t>Growth Opportunity</w:t>
            </w:r>
          </w:p>
        </w:tc>
        <w:tc>
          <w:tcPr>
            <w:tcW w:w="0" w:type="dxa"/>
            <w:vAlign w:val="bottom"/>
          </w:tcPr>
          <w:p>
            <w:pPr>
              <w:spacing w:after="0"/>
              <w:rPr>
                <w:sz w:val="1"/>
                <w:szCs w:val="1"/>
                <w:color w:val="auto"/>
              </w:rPr>
            </w:pPr>
          </w:p>
        </w:tc>
      </w:tr>
      <w:tr>
        <w:trPr>
          <w:trHeight w:val="318"/>
        </w:trPr>
        <w:tc>
          <w:tcPr>
            <w:tcW w:w="1180" w:type="dxa"/>
            <w:vAlign w:val="bottom"/>
            <w:vMerge w:val="continue"/>
          </w:tcPr>
          <w:p>
            <w:pPr>
              <w:spacing w:after="0"/>
              <w:rPr>
                <w:sz w:val="24"/>
                <w:szCs w:val="24"/>
                <w:color w:val="auto"/>
              </w:rPr>
            </w:pPr>
          </w:p>
        </w:tc>
        <w:tc>
          <w:tcPr>
            <w:tcW w:w="3500" w:type="dxa"/>
            <w:vAlign w:val="bottom"/>
            <w:vMerge w:val="restart"/>
          </w:tcPr>
          <w:p>
            <w:pPr>
              <w:jc w:val="center"/>
              <w:ind w:left="261"/>
              <w:spacing w:after="0"/>
              <w:rPr>
                <w:sz w:val="20"/>
                <w:szCs w:val="20"/>
                <w:color w:val="auto"/>
              </w:rPr>
            </w:pPr>
            <w:r>
              <w:rPr>
                <w:rFonts w:ascii="Arial" w:cs="Arial" w:eastAsia="Arial" w:hAnsi="Arial"/>
                <w:sz w:val="62"/>
                <w:szCs w:val="62"/>
                <w:b w:val="1"/>
                <w:bCs w:val="1"/>
                <w:color w:val="FCD238"/>
              </w:rPr>
              <w:t>2.6 Million</w:t>
            </w:r>
          </w:p>
        </w:tc>
        <w:tc>
          <w:tcPr>
            <w:tcW w:w="0" w:type="dxa"/>
            <w:vAlign w:val="bottom"/>
          </w:tcPr>
          <w:p>
            <w:pPr>
              <w:spacing w:after="0"/>
              <w:rPr>
                <w:sz w:val="1"/>
                <w:szCs w:val="1"/>
                <w:color w:val="auto"/>
              </w:rPr>
            </w:pPr>
          </w:p>
        </w:tc>
      </w:tr>
      <w:tr>
        <w:trPr>
          <w:trHeight w:val="761"/>
        </w:trPr>
        <w:tc>
          <w:tcPr>
            <w:tcW w:w="1180" w:type="dxa"/>
            <w:vAlign w:val="bottom"/>
          </w:tcPr>
          <w:p>
            <w:pPr>
              <w:jc w:val="right"/>
              <w:ind w:right="330"/>
              <w:spacing w:after="0"/>
              <w:rPr>
                <w:sz w:val="20"/>
                <w:szCs w:val="20"/>
                <w:color w:val="auto"/>
              </w:rPr>
            </w:pPr>
            <w:r>
              <w:rPr>
                <w:rFonts w:ascii="Arial" w:cs="Arial" w:eastAsia="Arial" w:hAnsi="Arial"/>
                <w:sz w:val="34"/>
                <w:szCs w:val="34"/>
                <w:b w:val="1"/>
                <w:bCs w:val="1"/>
                <w:color w:val="FFFFFF"/>
              </w:rPr>
              <w:t>3%</w:t>
            </w:r>
          </w:p>
        </w:tc>
        <w:tc>
          <w:tcPr>
            <w:tcW w:w="3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180" w:type="dxa"/>
            <w:vAlign w:val="bottom"/>
            <w:vMerge w:val="restart"/>
          </w:tcPr>
          <w:p>
            <w:pPr>
              <w:jc w:val="right"/>
              <w:ind w:right="330"/>
              <w:spacing w:after="0"/>
              <w:rPr>
                <w:sz w:val="20"/>
                <w:szCs w:val="20"/>
                <w:color w:val="auto"/>
              </w:rPr>
            </w:pPr>
            <w:r>
              <w:rPr>
                <w:rFonts w:ascii="Arial" w:cs="Arial" w:eastAsia="Arial" w:hAnsi="Arial"/>
                <w:sz w:val="34"/>
                <w:szCs w:val="34"/>
                <w:b w:val="1"/>
                <w:bCs w:val="1"/>
                <w:color w:val="FFFFFF"/>
                <w:w w:val="96"/>
              </w:rPr>
              <w:t>10%</w:t>
            </w:r>
          </w:p>
        </w:tc>
        <w:tc>
          <w:tcPr>
            <w:tcW w:w="3500" w:type="dxa"/>
            <w:vAlign w:val="bottom"/>
          </w:tcPr>
          <w:p>
            <w:pPr>
              <w:jc w:val="center"/>
              <w:ind w:left="281"/>
              <w:spacing w:after="0" w:line="430" w:lineRule="exact"/>
              <w:rPr>
                <w:sz w:val="20"/>
                <w:szCs w:val="20"/>
                <w:color w:val="auto"/>
              </w:rPr>
            </w:pPr>
            <w:r>
              <w:rPr>
                <w:rFonts w:ascii="Arial" w:cs="Arial" w:eastAsia="Arial" w:hAnsi="Arial"/>
                <w:sz w:val="49"/>
                <w:szCs w:val="49"/>
                <w:b w:val="1"/>
                <w:bCs w:val="1"/>
                <w:color w:val="FCD238"/>
              </w:rPr>
              <w:t>Units</w:t>
            </w:r>
          </w:p>
        </w:tc>
        <w:tc>
          <w:tcPr>
            <w:tcW w:w="0" w:type="dxa"/>
            <w:vAlign w:val="bottom"/>
          </w:tcPr>
          <w:p>
            <w:pPr>
              <w:spacing w:after="0"/>
              <w:rPr>
                <w:sz w:val="1"/>
                <w:szCs w:val="1"/>
                <w:color w:val="auto"/>
              </w:rPr>
            </w:pPr>
          </w:p>
        </w:tc>
      </w:tr>
      <w:tr>
        <w:trPr>
          <w:trHeight w:val="102"/>
        </w:trPr>
        <w:tc>
          <w:tcPr>
            <w:tcW w:w="1180" w:type="dxa"/>
            <w:vAlign w:val="bottom"/>
            <w:vMerge w:val="continue"/>
          </w:tcPr>
          <w:p>
            <w:pPr>
              <w:spacing w:after="0"/>
              <w:rPr>
                <w:sz w:val="8"/>
                <w:szCs w:val="8"/>
                <w:color w:val="auto"/>
              </w:rPr>
            </w:pPr>
          </w:p>
        </w:tc>
        <w:tc>
          <w:tcPr>
            <w:tcW w:w="3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0"/>
        </w:trPr>
        <w:tc>
          <w:tcPr>
            <w:tcW w:w="1180" w:type="dxa"/>
            <w:vAlign w:val="bottom"/>
          </w:tcPr>
          <w:p>
            <w:pPr>
              <w:jc w:val="right"/>
              <w:ind w:right="330"/>
              <w:spacing w:after="0"/>
              <w:rPr>
                <w:sz w:val="20"/>
                <w:szCs w:val="20"/>
                <w:color w:val="auto"/>
              </w:rPr>
            </w:pPr>
            <w:r>
              <w:rPr>
                <w:rFonts w:ascii="Arial" w:cs="Arial" w:eastAsia="Arial" w:hAnsi="Arial"/>
                <w:sz w:val="34"/>
                <w:szCs w:val="34"/>
                <w:b w:val="1"/>
                <w:bCs w:val="1"/>
                <w:color w:val="FFFFFF"/>
                <w:w w:val="96"/>
              </w:rPr>
              <w:t>19%</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20"/>
        <w:spacing w:after="0"/>
        <w:rPr>
          <w:sz w:val="20"/>
          <w:szCs w:val="20"/>
          <w:color w:val="auto"/>
        </w:rPr>
      </w:pPr>
      <w:r>
        <w:rPr>
          <w:rFonts w:ascii="Arial" w:cs="Arial" w:eastAsia="Arial" w:hAnsi="Arial"/>
          <w:sz w:val="34"/>
          <w:szCs w:val="34"/>
          <w:b w:val="1"/>
          <w:bCs w:val="1"/>
          <w:color w:val="FFFFFF"/>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
        <w:spacing w:after="0"/>
        <w:tabs>
          <w:tab w:leader="none" w:pos="4540" w:val="left"/>
        </w:tabs>
        <w:rPr>
          <w:sz w:val="20"/>
          <w:szCs w:val="20"/>
          <w:color w:val="auto"/>
        </w:rPr>
      </w:pPr>
      <w:r>
        <w:rPr>
          <w:rFonts w:ascii="Arial" w:cs="Arial" w:eastAsia="Arial" w:hAnsi="Arial"/>
          <w:sz w:val="19"/>
          <w:szCs w:val="19"/>
          <w:color w:val="FFFFFF"/>
        </w:rPr>
        <w:t>Source: Growth Markets per Global Insight</w:t>
      </w:r>
      <w:r>
        <w:rPr>
          <w:sz w:val="20"/>
          <w:szCs w:val="20"/>
          <w:color w:val="auto"/>
        </w:rPr>
        <w:tab/>
      </w:r>
      <w:r>
        <w:rPr>
          <w:rFonts w:ascii="Arial" w:cs="Arial" w:eastAsia="Arial" w:hAnsi="Arial"/>
          <w:sz w:val="18"/>
          <w:szCs w:val="18"/>
          <w:color w:val="FFFFFF"/>
        </w:rPr>
        <w:t>2009 GM Market Share per GM 2009 10-K</w:t>
      </w:r>
    </w:p>
    <w:p>
      <w:pPr>
        <w:sectPr>
          <w:pgSz w:w="11900" w:h="16838" w:orient="portrait"/>
          <w:cols w:equalWidth="0" w:num="1">
            <w:col w:w="10480"/>
          </w:cols>
          <w:pgMar w:left="1040" w:top="932" w:right="379" w:bottom="1440" w:gutter="0" w:footer="0" w:header="0"/>
        </w:sectPr>
      </w:pPr>
    </w:p>
    <w:bookmarkStart w:id="13" w:name="page14"/>
    <w:bookmarkEnd w:id="13"/>
    <w:p>
      <w:pPr>
        <w:spacing w:after="0"/>
        <w:rPr>
          <w:sz w:val="20"/>
          <w:szCs w:val="20"/>
          <w:color w:val="auto"/>
        </w:rPr>
      </w:pPr>
      <w:r>
        <w:rPr>
          <w:rFonts w:ascii="Arial" w:cs="Arial" w:eastAsia="Arial" w:hAnsi="Arial"/>
          <w:sz w:val="56"/>
          <w:szCs w:val="56"/>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BREAKEVEN AT BOTTOM OF CYCLE</w:t>
      </w:r>
    </w:p>
    <w:p>
      <w:pPr>
        <w:sectPr>
          <w:pgSz w:w="11900" w:h="16838" w:orient="portrait"/>
          <w:cols w:equalWidth="0" w:num="1">
            <w:col w:w="10020"/>
          </w:cols>
          <w:pgMar w:left="1040" w:top="1003" w:right="839" w:bottom="1440" w:gutter="0" w:footer="0" w:header="0"/>
        </w:sectPr>
      </w:pPr>
    </w:p>
    <w:p>
      <w:pPr>
        <w:spacing w:after="0" w:line="173" w:lineRule="exact"/>
        <w:rPr>
          <w:sz w:val="20"/>
          <w:szCs w:val="20"/>
          <w:color w:val="auto"/>
        </w:rPr>
      </w:pPr>
    </w:p>
    <w:p>
      <w:pPr>
        <w:jc w:val="center"/>
        <w:ind w:right="80"/>
        <w:spacing w:after="0"/>
        <w:rPr>
          <w:sz w:val="20"/>
          <w:szCs w:val="20"/>
          <w:color w:val="auto"/>
        </w:rPr>
      </w:pPr>
      <w:r>
        <w:rPr>
          <w:rFonts w:ascii="Arial" w:cs="Arial" w:eastAsia="Arial" w:hAnsi="Arial"/>
          <w:sz w:val="41"/>
          <w:szCs w:val="41"/>
          <w:b w:val="1"/>
          <w:bCs w:val="1"/>
          <w:color w:val="FFFFFF"/>
        </w:rPr>
        <w:t>U.S. Industry</w:t>
      </w:r>
    </w:p>
    <w:p>
      <w:pPr>
        <w:sectPr>
          <w:pgSz w:w="11900" w:h="16838" w:orient="portrait"/>
          <w:cols w:equalWidth="0" w:num="1">
            <w:col w:w="10020"/>
          </w:cols>
          <w:pgMar w:left="1040" w:top="1003" w:right="8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56"/>
          <w:szCs w:val="56"/>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BREAKEVEN AT BOTTOM OF CYCLE</w:t>
      </w:r>
    </w:p>
    <w:p>
      <w:pPr>
        <w:sectPr>
          <w:pgSz w:w="11900" w:h="16838" w:orient="portrait"/>
          <w:cols w:equalWidth="0" w:num="1">
            <w:col w:w="10020"/>
          </w:cols>
          <w:pgMar w:left="1040" w:top="1003" w:right="839" w:bottom="1440" w:gutter="0" w:footer="0" w:header="0"/>
        </w:sectPr>
      </w:pPr>
    </w:p>
    <w:p>
      <w:pPr>
        <w:spacing w:after="0" w:line="220" w:lineRule="exact"/>
        <w:rPr>
          <w:sz w:val="20"/>
          <w:szCs w:val="20"/>
          <w:color w:val="auto"/>
        </w:rPr>
      </w:pPr>
    </w:p>
    <w:p>
      <w:pPr>
        <w:ind w:left="1540"/>
        <w:spacing w:after="0"/>
        <w:rPr>
          <w:sz w:val="20"/>
          <w:szCs w:val="20"/>
          <w:color w:val="auto"/>
        </w:rPr>
      </w:pPr>
      <w:r>
        <w:rPr>
          <w:rFonts w:ascii="Arial" w:cs="Arial" w:eastAsia="Arial" w:hAnsi="Arial"/>
          <w:sz w:val="37"/>
          <w:szCs w:val="37"/>
          <w:b w:val="1"/>
          <w:bCs w:val="1"/>
          <w:color w:val="FFFFFF"/>
        </w:rPr>
        <w:t>U.S. Total Auto Sales Peak – Through Swings</w:t>
      </w:r>
    </w:p>
    <w:p>
      <w:pPr>
        <w:sectPr>
          <w:pgSz w:w="11900" w:h="16838" w:orient="portrait"/>
          <w:cols w:equalWidth="0" w:num="1">
            <w:col w:w="10020"/>
          </w:cols>
          <w:pgMar w:left="1040" w:top="1003" w:right="8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62"/>
          <w:szCs w:val="62"/>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FINANCIAL FLEXIBILITY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left="8660"/>
        <w:spacing w:after="0"/>
        <w:rPr>
          <w:sz w:val="20"/>
          <w:szCs w:val="20"/>
          <w:color w:val="auto"/>
        </w:rPr>
      </w:pPr>
      <w:r>
        <w:rPr>
          <w:rFonts w:ascii="Arial" w:cs="Arial" w:eastAsia="Arial" w:hAnsi="Arial"/>
          <w:sz w:val="46"/>
          <w:szCs w:val="46"/>
          <w:b w:val="1"/>
          <w:bCs w:val="1"/>
          <w:color w:val="FFFFFF"/>
        </w:rPr>
        <w:t>Strong</w:t>
      </w:r>
    </w:p>
    <w:p>
      <w:pPr>
        <w:spacing w:after="0" w:line="70" w:lineRule="exact"/>
        <w:rPr>
          <w:sz w:val="20"/>
          <w:szCs w:val="20"/>
          <w:color w:val="auto"/>
        </w:rPr>
      </w:pPr>
    </w:p>
    <w:p>
      <w:pPr>
        <w:jc w:val="center"/>
        <w:ind w:left="8660"/>
        <w:spacing w:after="0"/>
        <w:rPr>
          <w:sz w:val="20"/>
          <w:szCs w:val="20"/>
          <w:color w:val="auto"/>
        </w:rPr>
      </w:pPr>
      <w:r>
        <w:rPr>
          <w:rFonts w:ascii="Arial" w:cs="Arial" w:eastAsia="Arial" w:hAnsi="Arial"/>
          <w:sz w:val="46"/>
          <w:szCs w:val="46"/>
          <w:b w:val="1"/>
          <w:bCs w:val="1"/>
          <w:color w:val="FFFFFF"/>
        </w:rPr>
        <w:t>Investment</w:t>
      </w:r>
    </w:p>
    <w:p>
      <w:pPr>
        <w:spacing w:after="0" w:line="24" w:lineRule="exact"/>
        <w:rPr>
          <w:sz w:val="20"/>
          <w:szCs w:val="20"/>
          <w:color w:val="auto"/>
        </w:rPr>
      </w:pPr>
    </w:p>
    <w:p>
      <w:pPr>
        <w:jc w:val="center"/>
        <w:ind w:left="8660"/>
        <w:spacing w:after="0"/>
        <w:rPr>
          <w:sz w:val="20"/>
          <w:szCs w:val="20"/>
          <w:color w:val="auto"/>
        </w:rPr>
      </w:pPr>
      <w:r>
        <w:rPr>
          <w:rFonts w:ascii="Arial" w:cs="Arial" w:eastAsia="Arial" w:hAnsi="Arial"/>
          <w:sz w:val="46"/>
          <w:szCs w:val="46"/>
          <w:b w:val="1"/>
          <w:bCs w:val="1"/>
          <w:color w:val="FFFFFF"/>
        </w:rPr>
        <w:t>Grade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tabs>
          <w:tab w:leader="none" w:pos="6000" w:val="left"/>
        </w:tabs>
        <w:rPr>
          <w:sz w:val="20"/>
          <w:szCs w:val="20"/>
          <w:color w:val="auto"/>
        </w:rPr>
      </w:pPr>
      <w:r>
        <w:rPr>
          <w:rFonts w:ascii="Arial" w:cs="Arial" w:eastAsia="Arial" w:hAnsi="Arial"/>
          <w:sz w:val="38"/>
          <w:szCs w:val="38"/>
          <w:b w:val="1"/>
          <w:bCs w:val="1"/>
          <w:color w:val="7FB1FF"/>
        </w:rPr>
        <w:t xml:space="preserve">CURRENT STATE </w:t>
      </w:r>
      <w:r>
        <w:rPr>
          <w:rFonts w:ascii="Arial" w:cs="Arial" w:eastAsia="Arial" w:hAnsi="Arial"/>
          <w:sz w:val="54"/>
          <w:szCs w:val="54"/>
          <w:b w:val="1"/>
          <w:bCs w:val="1"/>
          <w:color w:val="7FB1FF"/>
          <w:vertAlign w:val="superscript"/>
        </w:rPr>
        <w:t>1</w:t>
      </w:r>
      <w:r>
        <w:rPr>
          <w:sz w:val="20"/>
          <w:szCs w:val="20"/>
          <w:color w:val="auto"/>
        </w:rPr>
        <w:tab/>
      </w:r>
      <w:r>
        <w:rPr>
          <w:rFonts w:ascii="Arial" w:cs="Arial" w:eastAsia="Arial" w:hAnsi="Arial"/>
          <w:sz w:val="37"/>
          <w:szCs w:val="37"/>
          <w:b w:val="1"/>
          <w:bCs w:val="1"/>
          <w:color w:val="7FB1FF"/>
        </w:rPr>
        <w:t>FUTURE GOAL</w:t>
      </w:r>
    </w:p>
    <w:p>
      <w:pPr>
        <w:spacing w:after="0" w:line="200" w:lineRule="exact"/>
        <w:rPr>
          <w:sz w:val="20"/>
          <w:szCs w:val="20"/>
          <w:color w:val="auto"/>
        </w:rPr>
      </w:pPr>
    </w:p>
    <w:p>
      <w:pPr>
        <w:spacing w:after="0" w:line="216" w:lineRule="exact"/>
        <w:rPr>
          <w:sz w:val="20"/>
          <w:szCs w:val="20"/>
          <w:color w:val="auto"/>
        </w:rPr>
      </w:pPr>
    </w:p>
    <w:p>
      <w:pPr>
        <w:ind w:left="180" w:right="900" w:hanging="139"/>
        <w:spacing w:after="0" w:line="208" w:lineRule="auto"/>
        <w:tabs>
          <w:tab w:leader="none" w:pos="180" w:val="left"/>
        </w:tabs>
        <w:numPr>
          <w:ilvl w:val="0"/>
          <w:numId w:val="2"/>
        </w:numPr>
        <w:rPr>
          <w:rFonts w:ascii="Arial" w:cs="Arial" w:eastAsia="Arial" w:hAnsi="Arial"/>
          <w:sz w:val="26"/>
          <w:szCs w:val="26"/>
          <w:color w:val="FFFFFF"/>
          <w:vertAlign w:val="superscript"/>
        </w:rPr>
      </w:pPr>
      <w:r>
        <w:rPr>
          <w:rFonts w:ascii="Arial" w:cs="Arial" w:eastAsia="Arial" w:hAnsi="Arial"/>
          <w:sz w:val="19"/>
          <w:szCs w:val="19"/>
          <w:color w:val="FFFFFF"/>
        </w:rPr>
        <w:t>Current state reflects GM cash, debt (incl. preferred equity), and pension balances as of 3/31/10 pro forma for pay-down of UST and EDC debt</w:t>
      </w:r>
    </w:p>
    <w:p>
      <w:pPr>
        <w:sectPr>
          <w:pgSz w:w="11900" w:h="16838" w:orient="portrait"/>
          <w:cols w:equalWidth="0" w:num="1">
            <w:col w:w="10460"/>
          </w:cols>
          <w:pgMar w:left="1040" w:top="944" w:right="399" w:bottom="1440" w:gutter="0" w:footer="0" w:header="0"/>
        </w:sectPr>
      </w:pPr>
    </w:p>
    <w:bookmarkStart w:id="16" w:name="page17"/>
    <w:bookmarkEnd w:id="16"/>
    <w:p>
      <w:pPr>
        <w:ind w:left="80"/>
        <w:spacing w:after="0"/>
        <w:rPr>
          <w:sz w:val="20"/>
          <w:szCs w:val="20"/>
          <w:color w:val="auto"/>
        </w:rPr>
      </w:pPr>
      <w:r>
        <w:rPr>
          <w:rFonts w:ascii="Arial" w:cs="Arial" w:eastAsia="Arial" w:hAnsi="Arial"/>
          <w:sz w:val="62"/>
          <w:szCs w:val="62"/>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NEW MANAGEMENT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65"/>
          <w:szCs w:val="65"/>
          <w:i w:val="1"/>
          <w:iCs w:val="1"/>
          <w:color w:val="FCD238"/>
        </w:rPr>
        <w:t xml:space="preserve">Speed </w:t>
      </w:r>
      <w:r>
        <w:rPr>
          <w:rFonts w:ascii="Arial" w:cs="Arial" w:eastAsia="Arial" w:hAnsi="Arial"/>
          <w:sz w:val="65"/>
          <w:szCs w:val="65"/>
          <w:color w:val="FCD238"/>
        </w:rPr>
        <w:t>+</w:t>
      </w:r>
      <w:r>
        <w:rPr>
          <w:rFonts w:ascii="Arial" w:cs="Arial" w:eastAsia="Arial" w:hAnsi="Arial"/>
          <w:sz w:val="65"/>
          <w:szCs w:val="65"/>
          <w:i w:val="1"/>
          <w:iCs w:val="1"/>
          <w:color w:val="FCD238"/>
        </w:rPr>
        <w:t xml:space="preserve"> Simplicity </w:t>
      </w:r>
      <w:r>
        <w:rPr>
          <w:rFonts w:ascii="Arial" w:cs="Arial" w:eastAsia="Arial" w:hAnsi="Arial"/>
          <w:sz w:val="65"/>
          <w:szCs w:val="65"/>
          <w:color w:val="FCD238"/>
        </w:rPr>
        <w:t>+</w:t>
      </w:r>
      <w:r>
        <w:rPr>
          <w:rFonts w:ascii="Arial" w:cs="Arial" w:eastAsia="Arial" w:hAnsi="Arial"/>
          <w:sz w:val="65"/>
          <w:szCs w:val="65"/>
          <w:i w:val="1"/>
          <w:iCs w:val="1"/>
          <w:color w:val="FCD238"/>
        </w:rPr>
        <w:t xml:space="preserve"> Accountability</w:t>
      </w:r>
    </w:p>
    <w:p>
      <w:pPr>
        <w:sectPr>
          <w:pgSz w:w="11900" w:h="16838" w:orient="portrait"/>
          <w:cols w:equalWidth="0" w:num="1">
            <w:col w:w="10260"/>
          </w:cols>
          <w:pgMar w:left="960" w:top="615" w:right="679" w:bottom="1440"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rFonts w:ascii="Arial" w:cs="Arial" w:eastAsia="Arial" w:hAnsi="Arial"/>
          <w:sz w:val="56"/>
          <w:szCs w:val="56"/>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FORWARD LOOKING STATEMENTS</w:t>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25"/>
          <w:szCs w:val="25"/>
          <w:color w:val="FFFFFF"/>
        </w:rPr>
        <w:t>In this presentation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planning significant investment in new technology; our ability to realize successful vehicle applications of new technology; and our ability to comply with the continuing requirements related to U.S. and other government support.</w:t>
      </w:r>
    </w:p>
    <w:p>
      <w:pPr>
        <w:spacing w:after="0" w:line="290" w:lineRule="exact"/>
        <w:rPr>
          <w:sz w:val="20"/>
          <w:szCs w:val="20"/>
          <w:color w:val="auto"/>
        </w:rPr>
      </w:pPr>
    </w:p>
    <w:p>
      <w:pPr>
        <w:ind w:left="20" w:right="140"/>
        <w:spacing w:after="0" w:line="244" w:lineRule="auto"/>
        <w:rPr>
          <w:sz w:val="20"/>
          <w:szCs w:val="20"/>
          <w:color w:val="auto"/>
        </w:rPr>
      </w:pPr>
      <w:r>
        <w:rPr>
          <w:rFonts w:ascii="Arial" w:cs="Arial" w:eastAsia="Arial" w:hAnsi="Arial"/>
          <w:sz w:val="25"/>
          <w:szCs w:val="25"/>
          <w:color w:val="FFFFFF"/>
        </w:rPr>
        <w:t>GM's most recent annual report on Form 10-K and quarterly report on Form 10-Q provides information about these and other factors, which we may revise or supplement in future reports to the SEC.</w:t>
      </w:r>
    </w:p>
    <w:p>
      <w:pPr>
        <w:sectPr>
          <w:pgSz w:w="11900" w:h="16838" w:orient="portrait"/>
          <w:cols w:equalWidth="0" w:num="1">
            <w:col w:w="10020"/>
          </w:cols>
          <w:pgMar w:left="1040" w:top="1003" w:right="839" w:bottom="1440" w:gutter="0" w:footer="0" w:header="0"/>
        </w:sectPr>
      </w:pPr>
    </w:p>
    <w:bookmarkStart w:id="19" w:name="page20"/>
    <w:bookmarkEnd w:id="19"/>
    <w:p>
      <w:pPr>
        <w:spacing w:after="0" w:line="24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46"/>
          <w:szCs w:val="46"/>
          <w:b w:val="1"/>
          <w:bCs w:val="1"/>
          <w:color w:val="FFFFFF"/>
        </w:rPr>
        <w:t>ED WHITACRE</w:t>
      </w:r>
    </w:p>
    <w:p>
      <w:pPr>
        <w:spacing w:after="0" w:line="69" w:lineRule="exact"/>
        <w:rPr>
          <w:sz w:val="20"/>
          <w:szCs w:val="20"/>
          <w:color w:val="auto"/>
        </w:rPr>
      </w:pPr>
    </w:p>
    <w:p>
      <w:pPr>
        <w:spacing w:after="0"/>
        <w:rPr>
          <w:sz w:val="20"/>
          <w:szCs w:val="20"/>
          <w:color w:val="auto"/>
        </w:rPr>
      </w:pPr>
      <w:r>
        <w:rPr>
          <w:rFonts w:ascii="Arial" w:cs="Arial" w:eastAsia="Arial" w:hAnsi="Arial"/>
          <w:sz w:val="32"/>
          <w:szCs w:val="32"/>
          <w:color w:val="7FB1FF"/>
        </w:rPr>
        <w:t>Chairman &amp; CEO</w:t>
      </w:r>
    </w:p>
    <w:p>
      <w:pPr>
        <w:sectPr>
          <w:pgSz w:w="11900" w:h="16838" w:orient="portrait"/>
          <w:cols w:equalWidth="0" w:num="1">
            <w:col w:w="9359"/>
          </w:cols>
          <w:pgMar w:left="1100" w:top="1440" w:right="1440"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47"/>
          <w:szCs w:val="47"/>
          <w:b w:val="1"/>
          <w:bCs w:val="1"/>
          <w:color w:val="FFFFFF"/>
        </w:rPr>
        <w:t>TIM LEE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46"/>
          <w:szCs w:val="46"/>
          <w:b w:val="1"/>
          <w:bCs w:val="1"/>
          <w:color w:val="FFFFFF"/>
        </w:rPr>
        <w:t>JAIME ARDILA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-2565400</wp:posOffset>
            </wp:positionV>
            <wp:extent cx="7304405" cy="5539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98" w:lineRule="exact"/>
        <w:rPr>
          <w:sz w:val="20"/>
          <w:szCs w:val="20"/>
          <w:color w:val="auto"/>
        </w:rPr>
      </w:pPr>
    </w:p>
    <w:p>
      <w:pPr>
        <w:sectPr>
          <w:pgSz w:w="11900" w:h="16838" w:orient="portrait"/>
          <w:cols w:equalWidth="0" w:num="2">
            <w:col w:w="4820" w:space="720"/>
            <w:col w:w="4319"/>
          </w:cols>
          <w:pgMar w:left="600" w:top="1440" w:right="1440" w:bottom="1440" w:gutter="0" w:footer="0" w:header="0"/>
        </w:sectPr>
      </w:pPr>
    </w:p>
    <w:p>
      <w:pPr>
        <w:spacing w:after="0"/>
        <w:rPr>
          <w:sz w:val="20"/>
          <w:szCs w:val="20"/>
          <w:color w:val="auto"/>
        </w:rPr>
      </w:pPr>
      <w:r>
        <w:rPr>
          <w:rFonts w:ascii="Arial" w:cs="Arial" w:eastAsia="Arial" w:hAnsi="Arial"/>
          <w:sz w:val="26"/>
          <w:szCs w:val="26"/>
          <w:color w:val="7FB1FF"/>
        </w:rPr>
        <w:t>President, GM International Operations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7"/>
          <w:szCs w:val="27"/>
          <w:color w:val="7FB1FF"/>
        </w:rPr>
        <w:t>President, GM South America</w:t>
      </w:r>
    </w:p>
    <w:p>
      <w:pPr>
        <w:sectPr>
          <w:pgSz w:w="11900" w:h="16838" w:orient="portrait"/>
          <w:cols w:equalWidth="0" w:num="2">
            <w:col w:w="4820" w:space="720"/>
            <w:col w:w="4319"/>
          </w:cols>
          <w:pgMar w:left="600" w:top="1440" w:right="1440"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0"/>
        <w:spacing w:after="0"/>
        <w:rPr>
          <w:sz w:val="20"/>
          <w:szCs w:val="20"/>
          <w:color w:val="auto"/>
        </w:rPr>
      </w:pPr>
      <w:r>
        <w:rPr>
          <w:rFonts w:ascii="Arial" w:cs="Arial" w:eastAsia="Arial" w:hAnsi="Arial"/>
          <w:sz w:val="69"/>
          <w:szCs w:val="69"/>
          <w:color w:val="FFFFFF"/>
        </w:rPr>
        <w:t>GM’s fastest growing regions</w:t>
      </w:r>
    </w:p>
    <w:p>
      <w:pPr>
        <w:sectPr>
          <w:pgSz w:w="11900" w:h="16838" w:orient="portrait"/>
          <w:cols w:equalWidth="0" w:num="1">
            <w:col w:w="9120"/>
          </w:cols>
          <w:pgMar w:left="1440" w:top="1440" w:right="13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0"/>
        <w:spacing w:after="0"/>
        <w:rPr>
          <w:sz w:val="20"/>
          <w:szCs w:val="20"/>
          <w:color w:val="auto"/>
        </w:rPr>
      </w:pPr>
      <w:r>
        <w:rPr>
          <w:rFonts w:ascii="Arial" w:cs="Arial" w:eastAsia="Arial" w:hAnsi="Arial"/>
          <w:sz w:val="156"/>
          <w:szCs w:val="156"/>
          <w:color w:val="FCD238"/>
        </w:rPr>
        <w:t>45%</w:t>
      </w:r>
      <w:r>
        <w:rPr>
          <w:rFonts w:ascii="Arial" w:cs="Arial" w:eastAsia="Arial" w:hAnsi="Arial"/>
          <w:sz w:val="34"/>
          <w:szCs w:val="34"/>
          <w:color w:val="FFFFFF"/>
        </w:rPr>
        <w:t>of global automotive industry growth through</w:t>
      </w:r>
    </w:p>
    <w:p>
      <w:pPr>
        <w:ind w:left="3440"/>
        <w:spacing w:after="0"/>
        <w:rPr>
          <w:sz w:val="20"/>
          <w:szCs w:val="20"/>
          <w:color w:val="auto"/>
        </w:rPr>
      </w:pPr>
      <w:r>
        <w:rPr>
          <w:rFonts w:ascii="Arial" w:cs="Arial" w:eastAsia="Arial" w:hAnsi="Arial"/>
          <w:sz w:val="34"/>
          <w:szCs w:val="34"/>
          <w:color w:val="FFFFFF"/>
        </w:rPr>
        <w:t>2014 to come from BRIC countries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color w:val="FFFFFF"/>
        </w:rPr>
        <w:t>Source: Global Insight 2009-2014</w:t>
      </w:r>
    </w:p>
    <w:p>
      <w:pPr>
        <w:sectPr>
          <w:pgSz w:w="11900" w:h="16838" w:orient="portrait"/>
          <w:cols w:equalWidth="0" w:num="1">
            <w:col w:w="10160"/>
          </w:cols>
          <w:pgMar w:left="1000" w:top="1440" w:right="739" w:bottom="1440" w:gutter="0" w:footer="0" w:header="0"/>
        </w:sectPr>
      </w:pPr>
    </w:p>
    <w:bookmarkStart w:id="24" w:name="page25"/>
    <w:bookmarkEnd w:id="24"/>
    <w:p>
      <w:pPr>
        <w:ind w:left="600" w:right="560"/>
        <w:spacing w:after="0" w:line="284" w:lineRule="auto"/>
        <w:rPr>
          <w:sz w:val="20"/>
          <w:szCs w:val="20"/>
          <w:color w:val="auto"/>
        </w:rPr>
      </w:pPr>
      <w:r>
        <w:rPr>
          <w:rFonts w:ascii="Arial" w:cs="Arial" w:eastAsia="Arial" w:hAnsi="Arial"/>
          <w:sz w:val="44"/>
          <w:szCs w:val="44"/>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GROWTH OPPORTUNITIES WITHIN EMERGING MARKETS</w:t>
      </w:r>
    </w:p>
    <w:p>
      <w:pPr>
        <w:spacing w:after="0" w:line="2" w:lineRule="exact"/>
        <w:rPr>
          <w:sz w:val="20"/>
          <w:szCs w:val="20"/>
          <w:color w:val="auto"/>
        </w:rPr>
      </w:pPr>
    </w:p>
    <w:p>
      <w:pPr>
        <w:ind w:left="3680"/>
        <w:spacing w:after="0"/>
        <w:rPr>
          <w:sz w:val="20"/>
          <w:szCs w:val="20"/>
          <w:color w:val="auto"/>
        </w:rPr>
      </w:pPr>
      <w:r>
        <w:rPr>
          <w:rFonts w:ascii="Arial" w:cs="Arial" w:eastAsia="Arial" w:hAnsi="Arial"/>
          <w:sz w:val="38"/>
          <w:szCs w:val="38"/>
          <w:b w:val="1"/>
          <w:bCs w:val="1"/>
          <w:color w:val="7FB1FF"/>
        </w:rPr>
        <w:t>2009 GM SALES VOLUME</w:t>
      </w:r>
    </w:p>
    <w:p>
      <w:pPr>
        <w:sectPr>
          <w:pgSz w:w="11900" w:h="16838" w:orient="portrait"/>
          <w:cols w:equalWidth="0" w:num="1">
            <w:col w:w="10980"/>
          </w:cols>
          <w:pgMar w:left="500" w:top="621" w:right="41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1140"/>
        <w:spacing w:after="0"/>
        <w:rPr>
          <w:sz w:val="20"/>
          <w:szCs w:val="20"/>
          <w:color w:val="auto"/>
        </w:rPr>
      </w:pPr>
      <w:r>
        <w:rPr>
          <w:rFonts w:ascii="Arial" w:cs="Arial" w:eastAsia="Arial" w:hAnsi="Arial"/>
          <w:sz w:val="25"/>
          <w:szCs w:val="25"/>
          <w:b w:val="1"/>
          <w:bCs w:val="1"/>
          <w:color w:val="FFFFFF"/>
        </w:rPr>
        <w:t xml:space="preserve">Australia &amp; New Zealand </w:t>
      </w:r>
      <w:r>
        <w:rPr>
          <w:rFonts w:ascii="Arial" w:cs="Arial" w:eastAsia="Arial" w:hAnsi="Arial"/>
          <w:sz w:val="34"/>
          <w:szCs w:val="34"/>
          <w:b w:val="1"/>
          <w:bCs w:val="1"/>
          <w:color w:val="FFFFFF"/>
        </w:rPr>
        <w:t>3%</w:t>
      </w:r>
    </w:p>
    <w:p>
      <w:pPr>
        <w:spacing w:after="0" w:line="62" w:lineRule="exact"/>
        <w:rPr>
          <w:sz w:val="20"/>
          <w:szCs w:val="20"/>
          <w:color w:val="auto"/>
        </w:rPr>
      </w:pPr>
    </w:p>
    <w:p>
      <w:pPr>
        <w:ind w:left="2380"/>
        <w:spacing w:after="0"/>
        <w:rPr>
          <w:sz w:val="20"/>
          <w:szCs w:val="20"/>
          <w:color w:val="auto"/>
        </w:rPr>
      </w:pPr>
      <w:r>
        <w:rPr>
          <w:rFonts w:ascii="Arial" w:cs="Arial" w:eastAsia="Arial" w:hAnsi="Arial"/>
          <w:sz w:val="25"/>
          <w:szCs w:val="25"/>
          <w:b w:val="1"/>
          <w:bCs w:val="1"/>
          <w:color w:val="FFFFFF"/>
        </w:rPr>
        <w:t xml:space="preserve">Other Asia </w:t>
      </w:r>
      <w:r>
        <w:rPr>
          <w:rFonts w:ascii="Arial" w:cs="Arial" w:eastAsia="Arial" w:hAnsi="Arial"/>
          <w:sz w:val="34"/>
          <w:szCs w:val="34"/>
          <w:b w:val="1"/>
          <w:bCs w:val="1"/>
          <w:color w:val="FFFFFF"/>
        </w:rPr>
        <w:t>4%</w:t>
      </w:r>
    </w:p>
    <w:p>
      <w:pPr>
        <w:spacing w:after="0" w:line="109" w:lineRule="exact"/>
        <w:rPr>
          <w:sz w:val="20"/>
          <w:szCs w:val="20"/>
          <w:color w:val="auto"/>
        </w:rPr>
      </w:pPr>
    </w:p>
    <w:p>
      <w:pPr>
        <w:ind w:left="2860"/>
        <w:spacing w:after="0"/>
        <w:rPr>
          <w:sz w:val="20"/>
          <w:szCs w:val="20"/>
          <w:color w:val="auto"/>
        </w:rPr>
      </w:pPr>
      <w:r>
        <w:rPr>
          <w:rFonts w:ascii="Arial" w:cs="Arial" w:eastAsia="Arial" w:hAnsi="Arial"/>
          <w:sz w:val="25"/>
          <w:szCs w:val="25"/>
          <w:b w:val="1"/>
          <w:bCs w:val="1"/>
          <w:color w:val="FFFFFF"/>
        </w:rPr>
        <w:t xml:space="preserve">CIS </w:t>
      </w:r>
      <w:r>
        <w:rPr>
          <w:rFonts w:ascii="Arial" w:cs="Arial" w:eastAsia="Arial" w:hAnsi="Arial"/>
          <w:sz w:val="34"/>
          <w:szCs w:val="34"/>
          <w:b w:val="1"/>
          <w:bCs w:val="1"/>
          <w:color w:val="FFFFFF"/>
        </w:rPr>
        <w:t>3%</w:t>
      </w:r>
    </w:p>
    <w:p>
      <w:pPr>
        <w:spacing w:after="0" w:line="91" w:lineRule="exact"/>
        <w:rPr>
          <w:sz w:val="20"/>
          <w:szCs w:val="20"/>
          <w:color w:val="auto"/>
        </w:rPr>
      </w:pPr>
    </w:p>
    <w:p>
      <w:pPr>
        <w:ind w:left="1740"/>
        <w:spacing w:after="0"/>
        <w:rPr>
          <w:sz w:val="20"/>
          <w:szCs w:val="20"/>
          <w:color w:val="auto"/>
        </w:rPr>
      </w:pPr>
      <w:r>
        <w:rPr>
          <w:rFonts w:ascii="Arial" w:cs="Arial" w:eastAsia="Arial" w:hAnsi="Arial"/>
          <w:sz w:val="25"/>
          <w:szCs w:val="25"/>
          <w:b w:val="1"/>
          <w:bCs w:val="1"/>
          <w:color w:val="FFFFFF"/>
        </w:rPr>
        <w:t xml:space="preserve">Middle East </w:t>
      </w:r>
      <w:r>
        <w:rPr>
          <w:rFonts w:ascii="Arial" w:cs="Arial" w:eastAsia="Arial" w:hAnsi="Arial"/>
          <w:sz w:val="34"/>
          <w:szCs w:val="34"/>
          <w:b w:val="1"/>
          <w:bCs w:val="1"/>
          <w:color w:val="FFFFFF"/>
        </w:rPr>
        <w:t>4%</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453"/>
        </w:trPr>
        <w:tc>
          <w:tcPr>
            <w:tcW w:w="2080" w:type="dxa"/>
            <w:vAlign w:val="bottom"/>
          </w:tcPr>
          <w:p>
            <w:pPr>
              <w:spacing w:after="0"/>
              <w:rPr>
                <w:sz w:val="24"/>
                <w:szCs w:val="24"/>
                <w:color w:val="auto"/>
              </w:rPr>
            </w:pPr>
          </w:p>
        </w:tc>
        <w:tc>
          <w:tcPr>
            <w:tcW w:w="2940" w:type="dxa"/>
            <w:vAlign w:val="bottom"/>
          </w:tcPr>
          <w:p>
            <w:pPr>
              <w:ind w:left="280"/>
              <w:spacing w:after="0"/>
              <w:rPr>
                <w:sz w:val="20"/>
                <w:szCs w:val="20"/>
                <w:color w:val="auto"/>
              </w:rPr>
            </w:pPr>
            <w:r>
              <w:rPr>
                <w:rFonts w:ascii="Arial" w:cs="Arial" w:eastAsia="Arial" w:hAnsi="Arial"/>
                <w:sz w:val="25"/>
                <w:szCs w:val="25"/>
                <w:b w:val="1"/>
                <w:bCs w:val="1"/>
                <w:color w:val="FFFFFF"/>
              </w:rPr>
              <w:t xml:space="preserve">Africa </w:t>
            </w:r>
            <w:r>
              <w:rPr>
                <w:rFonts w:ascii="Arial" w:cs="Arial" w:eastAsia="Arial" w:hAnsi="Arial"/>
                <w:sz w:val="34"/>
                <w:szCs w:val="34"/>
                <w:b w:val="1"/>
                <w:bCs w:val="1"/>
                <w:color w:val="FFFFFF"/>
              </w:rPr>
              <w:t>4%</w:t>
            </w:r>
          </w:p>
        </w:tc>
        <w:tc>
          <w:tcPr>
            <w:tcW w:w="0" w:type="dxa"/>
            <w:vAlign w:val="bottom"/>
          </w:tcPr>
          <w:p>
            <w:pPr>
              <w:spacing w:after="0"/>
              <w:rPr>
                <w:sz w:val="1"/>
                <w:szCs w:val="1"/>
                <w:color w:val="auto"/>
              </w:rPr>
            </w:pPr>
          </w:p>
        </w:tc>
      </w:tr>
      <w:tr>
        <w:trPr>
          <w:trHeight w:val="617"/>
        </w:trPr>
        <w:tc>
          <w:tcPr>
            <w:tcW w:w="2080" w:type="dxa"/>
            <w:vAlign w:val="bottom"/>
            <w:vMerge w:val="restart"/>
          </w:tcPr>
          <w:p>
            <w:pPr>
              <w:jc w:val="center"/>
              <w:ind w:right="25"/>
              <w:spacing w:after="0"/>
              <w:rPr>
                <w:sz w:val="20"/>
                <w:szCs w:val="20"/>
                <w:color w:val="auto"/>
              </w:rPr>
            </w:pPr>
            <w:r>
              <w:rPr>
                <w:rFonts w:ascii="Arial" w:cs="Arial" w:eastAsia="Arial" w:hAnsi="Arial"/>
                <w:sz w:val="47"/>
                <w:szCs w:val="47"/>
                <w:b w:val="1"/>
                <w:bCs w:val="1"/>
                <w:color w:val="FFFFFF"/>
              </w:rPr>
              <w:t>South</w:t>
            </w:r>
          </w:p>
        </w:tc>
        <w:tc>
          <w:tcPr>
            <w:tcW w:w="2940" w:type="dxa"/>
            <w:vAlign w:val="bottom"/>
          </w:tcPr>
          <w:p>
            <w:pPr>
              <w:ind w:left="280"/>
              <w:spacing w:after="0"/>
              <w:rPr>
                <w:sz w:val="20"/>
                <w:szCs w:val="20"/>
                <w:color w:val="auto"/>
              </w:rPr>
            </w:pPr>
            <w:r>
              <w:rPr>
                <w:rFonts w:ascii="Arial" w:cs="Arial" w:eastAsia="Arial" w:hAnsi="Arial"/>
                <w:sz w:val="25"/>
                <w:szCs w:val="25"/>
                <w:b w:val="1"/>
                <w:bCs w:val="1"/>
                <w:color w:val="FFFFFF"/>
              </w:rPr>
              <w:t>Other South</w:t>
            </w:r>
          </w:p>
        </w:tc>
        <w:tc>
          <w:tcPr>
            <w:tcW w:w="0" w:type="dxa"/>
            <w:vAlign w:val="bottom"/>
          </w:tcPr>
          <w:p>
            <w:pPr>
              <w:spacing w:after="0"/>
              <w:rPr>
                <w:sz w:val="1"/>
                <w:szCs w:val="1"/>
                <w:color w:val="auto"/>
              </w:rPr>
            </w:pPr>
          </w:p>
        </w:tc>
      </w:tr>
      <w:tr>
        <w:trPr>
          <w:trHeight w:val="300"/>
        </w:trPr>
        <w:tc>
          <w:tcPr>
            <w:tcW w:w="2080" w:type="dxa"/>
            <w:vAlign w:val="bottom"/>
            <w:vMerge w:val="continue"/>
          </w:tcPr>
          <w:p>
            <w:pPr>
              <w:spacing w:after="0"/>
              <w:rPr>
                <w:sz w:val="24"/>
                <w:szCs w:val="24"/>
                <w:color w:val="auto"/>
              </w:rPr>
            </w:pPr>
          </w:p>
        </w:tc>
        <w:tc>
          <w:tcPr>
            <w:tcW w:w="2940" w:type="dxa"/>
            <w:vAlign w:val="bottom"/>
            <w:vMerge w:val="restart"/>
          </w:tcPr>
          <w:p>
            <w:pPr>
              <w:ind w:left="220"/>
              <w:spacing w:after="0"/>
              <w:rPr>
                <w:sz w:val="20"/>
                <w:szCs w:val="20"/>
                <w:color w:val="auto"/>
              </w:rPr>
            </w:pPr>
            <w:r>
              <w:rPr>
                <w:rFonts w:ascii="Arial" w:cs="Arial" w:eastAsia="Arial" w:hAnsi="Arial"/>
                <w:sz w:val="25"/>
                <w:szCs w:val="25"/>
                <w:b w:val="1"/>
                <w:bCs w:val="1"/>
                <w:color w:val="FFFFFF"/>
              </w:rPr>
              <w:t xml:space="preserve">America </w:t>
            </w:r>
            <w:r>
              <w:rPr>
                <w:rFonts w:ascii="Arial" w:cs="Arial" w:eastAsia="Arial" w:hAnsi="Arial"/>
                <w:sz w:val="34"/>
                <w:szCs w:val="34"/>
                <w:b w:val="1"/>
                <w:bCs w:val="1"/>
                <w:color w:val="FFFFFF"/>
              </w:rPr>
              <w:t>8%</w:t>
            </w:r>
          </w:p>
        </w:tc>
        <w:tc>
          <w:tcPr>
            <w:tcW w:w="0" w:type="dxa"/>
            <w:vAlign w:val="bottom"/>
          </w:tcPr>
          <w:p>
            <w:pPr>
              <w:spacing w:after="0"/>
              <w:rPr>
                <w:sz w:val="1"/>
                <w:szCs w:val="1"/>
                <w:color w:val="auto"/>
              </w:rPr>
            </w:pPr>
          </w:p>
        </w:tc>
      </w:tr>
      <w:tr>
        <w:trPr>
          <w:trHeight w:val="564"/>
        </w:trPr>
        <w:tc>
          <w:tcPr>
            <w:tcW w:w="2080" w:type="dxa"/>
            <w:vAlign w:val="bottom"/>
          </w:tcPr>
          <w:p>
            <w:pPr>
              <w:jc w:val="center"/>
              <w:ind w:right="5"/>
              <w:spacing w:after="0"/>
              <w:rPr>
                <w:sz w:val="20"/>
                <w:szCs w:val="20"/>
                <w:color w:val="auto"/>
              </w:rPr>
            </w:pPr>
            <w:r>
              <w:rPr>
                <w:rFonts w:ascii="Arial" w:cs="Arial" w:eastAsia="Arial" w:hAnsi="Arial"/>
                <w:sz w:val="47"/>
                <w:szCs w:val="47"/>
                <w:b w:val="1"/>
                <w:bCs w:val="1"/>
                <w:color w:val="FFFFFF"/>
                <w:w w:val="99"/>
              </w:rPr>
              <w:t>America</w:t>
            </w:r>
          </w:p>
        </w:tc>
        <w:tc>
          <w:tcPr>
            <w:tcW w:w="2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2080" w:type="dxa"/>
            <w:vAlign w:val="bottom"/>
          </w:tcPr>
          <w:p>
            <w:pPr>
              <w:jc w:val="center"/>
              <w:ind w:right="25"/>
              <w:spacing w:after="0"/>
              <w:rPr>
                <w:sz w:val="20"/>
                <w:szCs w:val="20"/>
                <w:color w:val="auto"/>
              </w:rPr>
            </w:pPr>
            <w:r>
              <w:rPr>
                <w:rFonts w:ascii="Arial" w:cs="Arial" w:eastAsia="Arial" w:hAnsi="Arial"/>
                <w:sz w:val="47"/>
                <w:szCs w:val="47"/>
                <w:b w:val="1"/>
                <w:bCs w:val="1"/>
                <w:color w:val="FFFFFF"/>
                <w:w w:val="99"/>
              </w:rPr>
              <w:t>25%</w:t>
            </w:r>
          </w:p>
        </w:tc>
        <w:tc>
          <w:tcPr>
            <w:tcW w:w="2940" w:type="dxa"/>
            <w:vAlign w:val="bottom"/>
            <w:vMerge w:val="restart"/>
          </w:tcPr>
          <w:p>
            <w:pPr>
              <w:ind w:left="1520"/>
              <w:spacing w:after="0"/>
              <w:rPr>
                <w:sz w:val="20"/>
                <w:szCs w:val="20"/>
                <w:color w:val="auto"/>
              </w:rPr>
            </w:pPr>
            <w:r>
              <w:rPr>
                <w:rFonts w:ascii="Arial" w:cs="Arial" w:eastAsia="Arial" w:hAnsi="Arial"/>
                <w:sz w:val="25"/>
                <w:szCs w:val="25"/>
                <w:b w:val="1"/>
                <w:bCs w:val="1"/>
                <w:color w:val="FFFFFF"/>
                <w:w w:val="97"/>
              </w:rPr>
              <w:t xml:space="preserve">Brazil </w:t>
            </w:r>
            <w:r>
              <w:rPr>
                <w:rFonts w:ascii="Arial" w:cs="Arial" w:eastAsia="Arial" w:hAnsi="Arial"/>
                <w:sz w:val="34"/>
                <w:szCs w:val="34"/>
                <w:b w:val="1"/>
                <w:bCs w:val="1"/>
                <w:color w:val="FFFFFF"/>
                <w:w w:val="97"/>
              </w:rPr>
              <w:t>17%</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2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ind w:left="580"/>
        <w:spacing w:after="0"/>
        <w:rPr>
          <w:sz w:val="20"/>
          <w:szCs w:val="20"/>
          <w:color w:val="auto"/>
        </w:rPr>
      </w:pPr>
      <w:r>
        <w:rPr>
          <w:rFonts w:ascii="Arial" w:cs="Arial" w:eastAsia="Arial" w:hAnsi="Arial"/>
          <w:sz w:val="19"/>
          <w:szCs w:val="19"/>
          <w:color w:val="FFFFFF"/>
        </w:rPr>
        <w:t>CIS includes: Uzbekistan, Ukraine &amp; Kazakhstan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FFFFFF"/>
        </w:rPr>
        <w:t xml:space="preserve">China </w:t>
      </w:r>
      <w:r>
        <w:rPr>
          <w:rFonts w:ascii="Arial" w:cs="Arial" w:eastAsia="Arial" w:hAnsi="Arial"/>
          <w:sz w:val="34"/>
          <w:szCs w:val="34"/>
          <w:b w:val="1"/>
          <w:bCs w:val="1"/>
          <w:color w:val="FFFFFF"/>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00"/>
        <w:spacing w:after="0"/>
        <w:rPr>
          <w:sz w:val="20"/>
          <w:szCs w:val="20"/>
          <w:color w:val="auto"/>
        </w:rPr>
      </w:pPr>
      <w:r>
        <w:rPr>
          <w:rFonts w:ascii="Arial" w:cs="Arial" w:eastAsia="Arial" w:hAnsi="Arial"/>
          <w:sz w:val="25"/>
          <w:szCs w:val="25"/>
          <w:b w:val="1"/>
          <w:bCs w:val="1"/>
          <w:color w:val="FFFFFF"/>
        </w:rPr>
        <w:t xml:space="preserve">Russia </w:t>
      </w:r>
      <w:r>
        <w:rPr>
          <w:rFonts w:ascii="Arial" w:cs="Arial" w:eastAsia="Arial" w:hAnsi="Arial"/>
          <w:sz w:val="34"/>
          <w:szCs w:val="34"/>
          <w:b w:val="1"/>
          <w:bCs w:val="1"/>
          <w:color w:val="FFFFFF"/>
        </w:rPr>
        <w:t>4%</w:t>
      </w:r>
    </w:p>
    <w:p>
      <w:pPr>
        <w:spacing w:after="0"/>
        <w:rPr>
          <w:sz w:val="20"/>
          <w:szCs w:val="20"/>
          <w:color w:val="auto"/>
        </w:rPr>
      </w:pPr>
      <w:r>
        <w:rPr>
          <w:rFonts w:ascii="Arial" w:cs="Arial" w:eastAsia="Arial" w:hAnsi="Arial"/>
          <w:sz w:val="25"/>
          <w:szCs w:val="25"/>
          <w:b w:val="1"/>
          <w:bCs w:val="1"/>
          <w:color w:val="FFFFFF"/>
        </w:rPr>
        <w:t xml:space="preserve">India </w:t>
      </w:r>
      <w:r>
        <w:rPr>
          <w:rFonts w:ascii="Arial" w:cs="Arial" w:eastAsia="Arial" w:hAnsi="Arial"/>
          <w:sz w:val="34"/>
          <w:szCs w:val="34"/>
          <w:b w:val="1"/>
          <w:bCs w:val="1"/>
          <w:color w:val="FFFFFF"/>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46"/>
          <w:szCs w:val="46"/>
          <w:b w:val="1"/>
          <w:bCs w:val="1"/>
          <w:color w:val="FFFFFF"/>
        </w:rPr>
        <w:t>BRIC</w:t>
      </w:r>
    </w:p>
    <w:p>
      <w:pPr>
        <w:spacing w:after="0" w:line="95" w:lineRule="exact"/>
        <w:rPr>
          <w:sz w:val="20"/>
          <w:szCs w:val="20"/>
          <w:color w:val="auto"/>
        </w:rPr>
      </w:pPr>
    </w:p>
    <w:p>
      <w:pPr>
        <w:ind w:left="100"/>
        <w:spacing w:after="0"/>
        <w:rPr>
          <w:sz w:val="20"/>
          <w:szCs w:val="20"/>
          <w:color w:val="auto"/>
        </w:rPr>
      </w:pPr>
      <w:r>
        <w:rPr>
          <w:rFonts w:ascii="Arial" w:cs="Arial" w:eastAsia="Arial" w:hAnsi="Arial"/>
          <w:sz w:val="47"/>
          <w:szCs w:val="47"/>
          <w:b w:val="1"/>
          <w:bCs w:val="1"/>
          <w:color w:val="FFFFFF"/>
        </w:rPr>
        <w:t>74%</w:t>
      </w:r>
    </w:p>
    <w:p>
      <w:pPr>
        <w:sectPr>
          <w:pgSz w:w="11900" w:h="16838" w:orient="portrait"/>
          <w:cols w:equalWidth="0" w:num="3">
            <w:col w:w="5180" w:space="720"/>
            <w:col w:w="3440" w:space="500"/>
            <w:col w:w="1140"/>
          </w:cols>
          <w:pgMar w:left="500" w:top="621" w:right="41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56"/>
          <w:szCs w:val="56"/>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THREE-PRONG PRODUCT STRATEGY</w:t>
      </w:r>
    </w:p>
    <w:p>
      <w:pPr>
        <w:sectPr>
          <w:pgSz w:w="11900" w:h="16838" w:orient="portrait"/>
          <w:cols w:equalWidth="0" w:num="1">
            <w:col w:w="10340"/>
          </w:cols>
          <w:pgMar w:left="780" w:top="709" w:right="77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1180"/>
        <w:spacing w:after="0"/>
        <w:rPr>
          <w:sz w:val="20"/>
          <w:szCs w:val="20"/>
          <w:color w:val="auto"/>
        </w:rPr>
      </w:pPr>
      <w:r>
        <w:rPr>
          <w:rFonts w:ascii="Arial" w:cs="Arial" w:eastAsia="Arial" w:hAnsi="Arial"/>
          <w:sz w:val="32"/>
          <w:szCs w:val="32"/>
          <w:b w:val="1"/>
          <w:bCs w:val="1"/>
          <w:color w:val="FFFFFF"/>
        </w:rPr>
        <w:t>GLOBAL ARCHITECTURES</w:t>
      </w:r>
    </w:p>
    <w:p>
      <w:pPr>
        <w:spacing w:after="0" w:line="256" w:lineRule="exact"/>
        <w:rPr>
          <w:sz w:val="20"/>
          <w:szCs w:val="20"/>
          <w:color w:val="auto"/>
        </w:rPr>
      </w:pPr>
    </w:p>
    <w:p>
      <w:pPr>
        <w:ind w:left="1180"/>
        <w:spacing w:after="0"/>
        <w:rPr>
          <w:sz w:val="20"/>
          <w:szCs w:val="20"/>
          <w:color w:val="auto"/>
        </w:rPr>
      </w:pPr>
      <w:r>
        <w:rPr>
          <w:rFonts w:ascii="Arial" w:cs="Arial" w:eastAsia="Arial" w:hAnsi="Arial"/>
          <w:sz w:val="94"/>
          <w:szCs w:val="94"/>
          <w:color w:val="04821D"/>
        </w:rPr>
        <w:t>1</w:t>
      </w:r>
    </w:p>
    <w:p>
      <w:pPr>
        <w:spacing w:after="0" w:line="4" w:lineRule="exact"/>
        <w:rPr>
          <w:sz w:val="20"/>
          <w:szCs w:val="20"/>
          <w:color w:val="auto"/>
        </w:rPr>
      </w:pPr>
    </w:p>
    <w:p>
      <w:pPr>
        <w:ind w:left="1860"/>
        <w:spacing w:after="0"/>
        <w:tabs>
          <w:tab w:leader="none" w:pos="3720" w:val="left"/>
          <w:tab w:leader="none" w:pos="5540" w:val="left"/>
          <w:tab w:leader="none" w:pos="7480" w:val="left"/>
        </w:tabs>
        <w:rPr>
          <w:sz w:val="20"/>
          <w:szCs w:val="20"/>
          <w:color w:val="auto"/>
        </w:rPr>
      </w:pPr>
      <w:r>
        <w:rPr>
          <w:rFonts w:ascii="Arial" w:cs="Arial" w:eastAsia="Arial" w:hAnsi="Arial"/>
          <w:sz w:val="19"/>
          <w:szCs w:val="19"/>
          <w:b w:val="1"/>
          <w:bCs w:val="1"/>
          <w:color w:val="FFFFFF"/>
        </w:rPr>
        <w:t>Buick LaCrosse</w:t>
      </w:r>
      <w:r>
        <w:rPr>
          <w:sz w:val="20"/>
          <w:szCs w:val="20"/>
          <w:color w:val="auto"/>
        </w:rPr>
        <w:tab/>
      </w:r>
      <w:r>
        <w:rPr>
          <w:rFonts w:ascii="Arial" w:cs="Arial" w:eastAsia="Arial" w:hAnsi="Arial"/>
          <w:sz w:val="19"/>
          <w:szCs w:val="19"/>
          <w:b w:val="1"/>
          <w:bCs w:val="1"/>
          <w:color w:val="FFFFFF"/>
        </w:rPr>
        <w:t>Chevrolet Cruze</w:t>
      </w:r>
      <w:r>
        <w:rPr>
          <w:sz w:val="20"/>
          <w:szCs w:val="20"/>
          <w:color w:val="auto"/>
        </w:rPr>
        <w:tab/>
      </w:r>
      <w:r>
        <w:rPr>
          <w:rFonts w:ascii="Arial" w:cs="Arial" w:eastAsia="Arial" w:hAnsi="Arial"/>
          <w:sz w:val="19"/>
          <w:szCs w:val="19"/>
          <w:b w:val="1"/>
          <w:bCs w:val="1"/>
          <w:color w:val="FFFFFF"/>
        </w:rPr>
        <w:t>Chevrolet Aveo RS</w:t>
      </w:r>
      <w:r>
        <w:rPr>
          <w:sz w:val="20"/>
          <w:szCs w:val="20"/>
          <w:color w:val="auto"/>
        </w:rPr>
        <w:tab/>
      </w:r>
      <w:r>
        <w:rPr>
          <w:rFonts w:ascii="Arial" w:cs="Arial" w:eastAsia="Arial" w:hAnsi="Arial"/>
          <w:sz w:val="18"/>
          <w:szCs w:val="18"/>
          <w:b w:val="1"/>
          <w:bCs w:val="1"/>
          <w:color w:val="FFFFFF"/>
        </w:rPr>
        <w:t>Chevrolet Spark</w:t>
      </w:r>
    </w:p>
    <w:p>
      <w:pPr>
        <w:spacing w:after="0" w:line="201" w:lineRule="exact"/>
        <w:rPr>
          <w:sz w:val="20"/>
          <w:szCs w:val="20"/>
          <w:color w:val="auto"/>
        </w:rPr>
      </w:pPr>
    </w:p>
    <w:p>
      <w:pPr>
        <w:ind w:left="2080"/>
        <w:spacing w:after="0"/>
        <w:rPr>
          <w:sz w:val="20"/>
          <w:szCs w:val="20"/>
          <w:color w:val="auto"/>
        </w:rPr>
      </w:pPr>
      <w:r>
        <w:rPr>
          <w:rFonts w:ascii="Arial" w:cs="Arial" w:eastAsia="Arial" w:hAnsi="Arial"/>
          <w:sz w:val="32"/>
          <w:szCs w:val="32"/>
          <w:b w:val="1"/>
          <w:bCs w:val="1"/>
          <w:color w:val="FFFFFF"/>
        </w:rPr>
        <w:t>REGIONAL SOLUTIONS</w:t>
      </w:r>
    </w:p>
    <w:p>
      <w:pPr>
        <w:spacing w:after="0" w:line="245" w:lineRule="exact"/>
        <w:rPr>
          <w:sz w:val="20"/>
          <w:szCs w:val="20"/>
          <w:color w:val="auto"/>
        </w:rPr>
      </w:pPr>
    </w:p>
    <w:p>
      <w:pPr>
        <w:ind w:left="2100"/>
        <w:spacing w:after="0"/>
        <w:rPr>
          <w:sz w:val="20"/>
          <w:szCs w:val="20"/>
          <w:color w:val="auto"/>
        </w:rPr>
      </w:pPr>
      <w:r>
        <w:rPr>
          <w:rFonts w:ascii="Arial" w:cs="Arial" w:eastAsia="Arial" w:hAnsi="Arial"/>
          <w:sz w:val="94"/>
          <w:szCs w:val="94"/>
          <w:color w:val="6902A2"/>
        </w:rPr>
        <w:t>2</w:t>
      </w:r>
    </w:p>
    <w:p>
      <w:pPr>
        <w:spacing w:after="0" w:line="4" w:lineRule="exact"/>
        <w:rPr>
          <w:sz w:val="20"/>
          <w:szCs w:val="20"/>
          <w:color w:val="auto"/>
        </w:rPr>
      </w:pPr>
    </w:p>
    <w:p>
      <w:pPr>
        <w:ind w:left="2540"/>
        <w:spacing w:after="0"/>
        <w:tabs>
          <w:tab w:leader="none" w:pos="4660" w:val="left"/>
          <w:tab w:leader="none" w:pos="6460" w:val="left"/>
        </w:tabs>
        <w:rPr>
          <w:sz w:val="20"/>
          <w:szCs w:val="20"/>
          <w:color w:val="auto"/>
        </w:rPr>
      </w:pPr>
      <w:r>
        <w:rPr>
          <w:rFonts w:ascii="Arial" w:cs="Arial" w:eastAsia="Arial" w:hAnsi="Arial"/>
          <w:sz w:val="19"/>
          <w:szCs w:val="19"/>
          <w:b w:val="1"/>
          <w:bCs w:val="1"/>
          <w:color w:val="FFFFFF"/>
        </w:rPr>
        <w:t>Chevrolet Classic</w:t>
      </w:r>
      <w:r>
        <w:rPr>
          <w:sz w:val="20"/>
          <w:szCs w:val="20"/>
          <w:color w:val="auto"/>
        </w:rPr>
        <w:tab/>
      </w:r>
      <w:r>
        <w:rPr>
          <w:rFonts w:ascii="Arial" w:cs="Arial" w:eastAsia="Arial" w:hAnsi="Arial"/>
          <w:sz w:val="19"/>
          <w:szCs w:val="19"/>
          <w:b w:val="1"/>
          <w:bCs w:val="1"/>
          <w:color w:val="FFFFFF"/>
        </w:rPr>
        <w:t>Chevrolet Agile</w:t>
      </w:r>
      <w:r>
        <w:rPr>
          <w:sz w:val="20"/>
          <w:szCs w:val="20"/>
          <w:color w:val="auto"/>
        </w:rPr>
        <w:tab/>
      </w:r>
      <w:r>
        <w:rPr>
          <w:rFonts w:ascii="Arial" w:cs="Arial" w:eastAsia="Arial" w:hAnsi="Arial"/>
          <w:sz w:val="18"/>
          <w:szCs w:val="18"/>
          <w:b w:val="1"/>
          <w:bCs w:val="1"/>
          <w:color w:val="FFFFFF"/>
        </w:rPr>
        <w:t>Chevrolet Montana</w:t>
      </w:r>
    </w:p>
    <w:p>
      <w:pPr>
        <w:spacing w:after="0" w:line="224" w:lineRule="exact"/>
        <w:rPr>
          <w:sz w:val="20"/>
          <w:szCs w:val="20"/>
          <w:color w:val="auto"/>
        </w:rPr>
      </w:pPr>
    </w:p>
    <w:p>
      <w:pPr>
        <w:ind w:left="3000"/>
        <w:spacing w:after="0"/>
        <w:rPr>
          <w:sz w:val="20"/>
          <w:szCs w:val="20"/>
          <w:color w:val="auto"/>
        </w:rPr>
      </w:pPr>
      <w:r>
        <w:rPr>
          <w:rFonts w:ascii="Arial" w:cs="Arial" w:eastAsia="Arial" w:hAnsi="Arial"/>
          <w:sz w:val="32"/>
          <w:szCs w:val="32"/>
          <w:b w:val="1"/>
          <w:bCs w:val="1"/>
          <w:color w:val="FFFFFF"/>
        </w:rPr>
        <w:t>PARTNER COLLABORATION</w:t>
      </w:r>
    </w:p>
    <w:p>
      <w:pPr>
        <w:spacing w:after="0" w:line="233" w:lineRule="exact"/>
        <w:rPr>
          <w:sz w:val="20"/>
          <w:szCs w:val="20"/>
          <w:color w:val="auto"/>
        </w:rPr>
      </w:pPr>
    </w:p>
    <w:p>
      <w:pPr>
        <w:ind w:left="3020"/>
        <w:spacing w:after="0"/>
        <w:rPr>
          <w:sz w:val="20"/>
          <w:szCs w:val="20"/>
          <w:color w:val="auto"/>
        </w:rPr>
      </w:pPr>
      <w:r>
        <w:rPr>
          <w:rFonts w:ascii="Arial" w:cs="Arial" w:eastAsia="Arial" w:hAnsi="Arial"/>
          <w:sz w:val="94"/>
          <w:szCs w:val="94"/>
          <w:color w:val="B44A00"/>
        </w:rPr>
        <w:t>3</w:t>
      </w:r>
    </w:p>
    <w:p>
      <w:pPr>
        <w:spacing w:after="0" w:line="27" w:lineRule="exact"/>
        <w:rPr>
          <w:sz w:val="20"/>
          <w:szCs w:val="20"/>
          <w:color w:val="auto"/>
        </w:rPr>
      </w:pPr>
    </w:p>
    <w:p>
      <w:pPr>
        <w:ind w:left="3640"/>
        <w:spacing w:after="0"/>
        <w:tabs>
          <w:tab w:leader="none" w:pos="5520" w:val="left"/>
        </w:tabs>
        <w:rPr>
          <w:sz w:val="20"/>
          <w:szCs w:val="20"/>
          <w:color w:val="auto"/>
        </w:rPr>
      </w:pPr>
      <w:r>
        <w:rPr>
          <w:rFonts w:ascii="Arial" w:cs="Arial" w:eastAsia="Arial" w:hAnsi="Arial"/>
          <w:sz w:val="19"/>
          <w:szCs w:val="19"/>
          <w:b w:val="1"/>
          <w:bCs w:val="1"/>
          <w:color w:val="FFFFFF"/>
        </w:rPr>
        <w:t>Chevrolet New Sail</w:t>
      </w:r>
      <w:r>
        <w:rPr>
          <w:sz w:val="20"/>
          <w:szCs w:val="20"/>
          <w:color w:val="auto"/>
        </w:rPr>
        <w:tab/>
      </w:r>
      <w:r>
        <w:rPr>
          <w:rFonts w:ascii="Arial" w:cs="Arial" w:eastAsia="Arial" w:hAnsi="Arial"/>
          <w:sz w:val="18"/>
          <w:szCs w:val="18"/>
          <w:b w:val="1"/>
          <w:bCs w:val="1"/>
          <w:color w:val="FFFFFF"/>
        </w:rPr>
        <w:t>Wuling Rong Guang</w:t>
      </w:r>
    </w:p>
    <w:p>
      <w:pPr>
        <w:sectPr>
          <w:pgSz w:w="11900" w:h="16838" w:orient="portrait"/>
          <w:cols w:equalWidth="0" w:num="1">
            <w:col w:w="10340"/>
          </w:cols>
          <w:pgMar w:left="780" w:top="709" w:right="779"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79"/>
          <w:szCs w:val="79"/>
          <w:color w:val="FFFFFF"/>
        </w:rPr>
        <w:t>Emerging Markets</w:t>
      </w:r>
    </w:p>
    <w:p>
      <w:pPr>
        <w:jc w:val="right"/>
        <w:spacing w:after="0"/>
        <w:rPr>
          <w:sz w:val="20"/>
          <w:szCs w:val="20"/>
          <w:color w:val="auto"/>
        </w:rPr>
      </w:pPr>
      <w:r>
        <w:rPr>
          <w:rFonts w:ascii="Arial" w:cs="Arial" w:eastAsia="Arial" w:hAnsi="Arial"/>
          <w:sz w:val="53"/>
          <w:szCs w:val="53"/>
          <w:color w:val="FCD238"/>
        </w:rPr>
        <w:t>Key to GM’s Sustainable Growth</w:t>
      </w:r>
    </w:p>
    <w:p>
      <w:pPr>
        <w:sectPr>
          <w:pgSz w:w="11900" w:h="16838" w:orient="portrait"/>
          <w:cols w:equalWidth="0" w:num="1">
            <w:col w:w="9840"/>
          </w:cols>
          <w:pgMar w:left="1380" w:top="1440" w:right="67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47"/>
          <w:szCs w:val="47"/>
          <w:b w:val="1"/>
          <w:bCs w:val="1"/>
          <w:color w:val="FFFFFF"/>
        </w:rPr>
        <w:t>NICK REILLY</w:t>
      </w:r>
    </w:p>
    <w:p>
      <w:pPr>
        <w:spacing w:after="0" w:line="90" w:lineRule="exact"/>
        <w:rPr>
          <w:sz w:val="20"/>
          <w:szCs w:val="20"/>
          <w:color w:val="auto"/>
        </w:rPr>
      </w:pPr>
    </w:p>
    <w:p>
      <w:pPr>
        <w:spacing w:after="0"/>
        <w:rPr>
          <w:sz w:val="20"/>
          <w:szCs w:val="20"/>
          <w:color w:val="auto"/>
        </w:rPr>
      </w:pPr>
      <w:r>
        <w:rPr>
          <w:rFonts w:ascii="Arial" w:cs="Arial" w:eastAsia="Arial" w:hAnsi="Arial"/>
          <w:sz w:val="28"/>
          <w:szCs w:val="28"/>
          <w:color w:val="7FB1FF"/>
        </w:rPr>
        <w:t>President, GM Europe and Chairman, Management Board of Opel/Vauxhall</w:t>
      </w:r>
    </w:p>
    <w:p>
      <w:pPr>
        <w:sectPr>
          <w:pgSz w:w="11900" w:h="16838" w:orient="portrait"/>
          <w:cols w:equalWidth="0" w:num="1">
            <w:col w:w="9400"/>
          </w:cols>
          <w:pgMar w:left="1100" w:top="1440" w:right="139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47"/>
          <w:szCs w:val="47"/>
          <w:b w:val="1"/>
          <w:bCs w:val="1"/>
          <w:color w:val="FFFFFF"/>
        </w:rPr>
        <w:t>MARK JAMES</w:t>
      </w:r>
    </w:p>
    <w:p>
      <w:pPr>
        <w:spacing w:after="0" w:line="58" w:lineRule="exact"/>
        <w:rPr>
          <w:sz w:val="20"/>
          <w:szCs w:val="20"/>
          <w:color w:val="auto"/>
        </w:rPr>
      </w:pPr>
    </w:p>
    <w:p>
      <w:pPr>
        <w:spacing w:after="0"/>
        <w:rPr>
          <w:sz w:val="20"/>
          <w:szCs w:val="20"/>
          <w:color w:val="auto"/>
        </w:rPr>
      </w:pPr>
      <w:r>
        <w:rPr>
          <w:rFonts w:ascii="Arial" w:cs="Arial" w:eastAsia="Arial" w:hAnsi="Arial"/>
          <w:sz w:val="31"/>
          <w:szCs w:val="31"/>
          <w:color w:val="7FB1FF"/>
        </w:rPr>
        <w:t>Vice President and CFO, Opel/Vauxhall Europe</w:t>
      </w:r>
    </w:p>
    <w:p>
      <w:pPr>
        <w:sectPr>
          <w:pgSz w:w="11900" w:h="16838" w:orient="portrait"/>
          <w:cols w:equalWidth="0" w:num="1">
            <w:col w:w="9199"/>
          </w:cols>
          <w:pgMar w:left="1260" w:top="1440" w:right="1440" w:bottom="1440" w:gutter="0" w:footer="0" w:header="0"/>
        </w:sectPr>
      </w:pPr>
    </w:p>
    <w:bookmarkStart w:id="29" w:name="page30"/>
    <w:bookmarkEnd w:id="29"/>
    <w:p>
      <w:pPr>
        <w:spacing w:after="0" w:line="287" w:lineRule="auto"/>
        <w:rPr>
          <w:sz w:val="20"/>
          <w:szCs w:val="20"/>
          <w:color w:val="auto"/>
        </w:rPr>
      </w:pPr>
      <w:r>
        <w:rPr>
          <w:rFonts w:ascii="Arial" w:cs="Arial" w:eastAsia="Arial" w:hAnsi="Arial"/>
          <w:sz w:val="52"/>
          <w:szCs w:val="52"/>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TURNAROUND STARTS WITH EXCELLENT PRODUCTS</w:t>
      </w:r>
    </w:p>
    <w:p>
      <w:pPr>
        <w:sectPr>
          <w:pgSz w:w="11900" w:h="16838" w:orient="portrait"/>
          <w:cols w:equalWidth="0" w:num="1">
            <w:col w:w="10580"/>
          </w:cols>
          <w:pgMar w:left="800" w:top="452" w:right="519" w:bottom="1440" w:gutter="0" w:footer="0" w:header="0"/>
        </w:sectPr>
      </w:pPr>
    </w:p>
    <w:bookmarkStart w:id="30" w:name="page31"/>
    <w:bookmarkEnd w:id="30"/>
    <w:p>
      <w:pPr>
        <w:ind w:left="200"/>
        <w:spacing w:after="0" w:line="273" w:lineRule="auto"/>
        <w:rPr>
          <w:sz w:val="20"/>
          <w:szCs w:val="20"/>
          <w:color w:val="auto"/>
        </w:rPr>
      </w:pPr>
      <w:r>
        <w:rPr>
          <w:rFonts w:ascii="Arial" w:cs="Arial" w:eastAsia="Arial" w:hAnsi="Arial"/>
          <w:sz w:val="53"/>
          <w:szCs w:val="53"/>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CHEVROLET IS A GROWING PART OF EUROPEAN SALES</w:t>
      </w:r>
    </w:p>
    <w:p>
      <w:pPr>
        <w:spacing w:after="0" w:line="4" w:lineRule="exact"/>
        <w:rPr>
          <w:sz w:val="20"/>
          <w:szCs w:val="20"/>
          <w:color w:val="auto"/>
        </w:rPr>
      </w:pPr>
    </w:p>
    <w:p>
      <w:pPr>
        <w:spacing w:after="0"/>
        <w:rPr>
          <w:sz w:val="20"/>
          <w:szCs w:val="20"/>
          <w:color w:val="auto"/>
        </w:rPr>
      </w:pPr>
      <w:r>
        <w:rPr>
          <w:rFonts w:ascii="Arial" w:cs="Arial" w:eastAsia="Arial" w:hAnsi="Arial"/>
          <w:sz w:val="44"/>
          <w:szCs w:val="44"/>
          <w:b w:val="1"/>
          <w:bCs w:val="1"/>
          <w:color w:val="7FB1FF"/>
        </w:rPr>
        <w:t>GME 2009 SALES VOLUME</w:t>
      </w:r>
    </w:p>
    <w:p>
      <w:pPr>
        <w:sectPr>
          <w:pgSz w:w="11900" w:h="16838" w:orient="portrait"/>
          <w:cols w:equalWidth="0" w:num="1">
            <w:col w:w="9860"/>
          </w:cols>
          <w:pgMar w:left="840" w:top="418" w:right="1199" w:bottom="1440" w:gutter="0" w:footer="0" w:header="0"/>
        </w:sectPr>
      </w:pPr>
    </w:p>
    <w:bookmarkStart w:id="31" w:name="page32"/>
    <w:bookmarkEnd w:id="31"/>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rPr>
          <w:sz w:val="20"/>
          <w:szCs w:val="20"/>
          <w:color w:val="auto"/>
        </w:rPr>
      </w:pPr>
      <w:r>
        <w:rPr>
          <w:rFonts w:ascii="Arial" w:cs="Arial" w:eastAsia="Arial" w:hAnsi="Arial"/>
          <w:sz w:val="62"/>
          <w:szCs w:val="62"/>
          <w:b w:val="1"/>
          <w:bCs w:val="1"/>
          <w:color w:val="FFFFFF"/>
        </w:rPr>
        <w:t>GM EUROPE RESTRUCTURING</w:t>
      </w:r>
    </w:p>
    <w:p>
      <w:pPr>
        <w:sectPr>
          <w:pgSz w:w="11900" w:h="16838" w:orient="portrait"/>
          <w:cols w:equalWidth="0" w:num="1">
            <w:col w:w="10340"/>
          </w:cols>
          <w:pgMar w:left="1040" w:top="1440" w:right="5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45"/>
          <w:szCs w:val="45"/>
          <w:b w:val="1"/>
          <w:bCs w:val="1"/>
          <w:color w:val="7FB1FF"/>
        </w:rPr>
        <w:t>RESTRUCTURING ELEMENTS</w:t>
      </w:r>
    </w:p>
    <w:p>
      <w:pPr>
        <w:spacing w:after="0" w:line="350" w:lineRule="exact"/>
        <w:rPr>
          <w:sz w:val="20"/>
          <w:szCs w:val="20"/>
          <w:color w:val="auto"/>
        </w:rPr>
      </w:pPr>
    </w:p>
    <w:p>
      <w:pPr>
        <w:ind w:left="60"/>
        <w:spacing w:after="0"/>
        <w:rPr>
          <w:sz w:val="20"/>
          <w:szCs w:val="20"/>
          <w:color w:val="auto"/>
        </w:rPr>
      </w:pPr>
      <w:r>
        <w:rPr>
          <w:rFonts w:ascii="Arial" w:cs="Arial" w:eastAsia="Arial" w:hAnsi="Arial"/>
          <w:sz w:val="46"/>
          <w:szCs w:val="46"/>
          <w:color w:val="FFFFFF"/>
        </w:rPr>
        <w:t>Antwerp facility closure</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46"/>
          <w:szCs w:val="46"/>
          <w:color w:val="FFFFFF"/>
        </w:rPr>
        <w:t>Other separation savings</w:t>
      </w:r>
    </w:p>
    <w:p>
      <w:pPr>
        <w:spacing w:after="0" w:line="271" w:lineRule="exact"/>
        <w:rPr>
          <w:sz w:val="20"/>
          <w:szCs w:val="20"/>
          <w:color w:val="auto"/>
        </w:rPr>
      </w:pPr>
    </w:p>
    <w:p>
      <w:pPr>
        <w:ind w:left="60"/>
        <w:spacing w:after="0"/>
        <w:rPr>
          <w:sz w:val="20"/>
          <w:szCs w:val="20"/>
          <w:color w:val="auto"/>
        </w:rPr>
      </w:pPr>
      <w:r>
        <w:rPr>
          <w:rFonts w:ascii="Arial" w:cs="Arial" w:eastAsia="Arial" w:hAnsi="Arial"/>
          <w:sz w:val="46"/>
          <w:szCs w:val="46"/>
          <w:color w:val="FFFFFF"/>
        </w:rPr>
        <w:t>Employee concessions</w:t>
      </w:r>
    </w:p>
    <w:p>
      <w:pPr>
        <w:spacing w:after="0" w:line="271" w:lineRule="exact"/>
        <w:rPr>
          <w:sz w:val="20"/>
          <w:szCs w:val="20"/>
          <w:color w:val="auto"/>
        </w:rPr>
      </w:pPr>
    </w:p>
    <w:p>
      <w:pPr>
        <w:ind w:left="60"/>
        <w:spacing w:after="0"/>
        <w:rPr>
          <w:sz w:val="20"/>
          <w:szCs w:val="20"/>
          <w:color w:val="auto"/>
        </w:rPr>
      </w:pPr>
      <w:r>
        <w:rPr>
          <w:rFonts w:ascii="Arial" w:cs="Arial" w:eastAsia="Arial" w:hAnsi="Arial"/>
          <w:sz w:val="46"/>
          <w:szCs w:val="46"/>
          <w:color w:val="FFFFFF"/>
        </w:rPr>
        <w:t>Other restructuring savings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55"/>
          <w:szCs w:val="55"/>
          <w:b w:val="1"/>
          <w:bCs w:val="1"/>
          <w:color w:val="FCD238"/>
        </w:rPr>
        <w:t>Lower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54"/>
          <w:szCs w:val="54"/>
          <w:b w:val="1"/>
          <w:bCs w:val="1"/>
          <w:color w:val="FCD238"/>
        </w:rPr>
        <w:t>Breakeven</w:t>
      </w:r>
    </w:p>
    <w:p>
      <w:pPr>
        <w:sectPr>
          <w:pgSz w:w="11900" w:h="16838" w:orient="portrait"/>
          <w:cols w:equalWidth="0" w:num="2">
            <w:col w:w="6840" w:space="720"/>
            <w:col w:w="2780"/>
          </w:cols>
          <w:pgMar w:left="1040" w:top="1440" w:right="519" w:bottom="1440" w:gutter="0" w:footer="0" w:header="0"/>
          <w:type w:val="continuous"/>
        </w:sectPr>
      </w:pPr>
    </w:p>
    <w:bookmarkStart w:id="32" w:name="page33"/>
    <w:bookmarkEnd w:id="32"/>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ind w:left="340"/>
        <w:spacing w:after="0"/>
        <w:rPr>
          <w:sz w:val="20"/>
          <w:szCs w:val="20"/>
          <w:color w:val="auto"/>
        </w:rPr>
      </w:pPr>
      <w:r>
        <w:rPr>
          <w:rFonts w:ascii="Arial" w:cs="Arial" w:eastAsia="Arial" w:hAnsi="Arial"/>
          <w:sz w:val="62"/>
          <w:szCs w:val="62"/>
          <w:b w:val="1"/>
          <w:bCs w:val="1"/>
          <w:color w:val="FFFFFF"/>
        </w:rPr>
        <w:t>INDUSTRY GROWTH</w:t>
      </w:r>
    </w:p>
    <w:p>
      <w:pPr>
        <w:sectPr>
          <w:pgSz w:w="11900" w:h="16838" w:orient="portrait"/>
          <w:cols w:equalWidth="0" w:num="1">
            <w:col w:w="10600"/>
          </w:cols>
          <w:pgMar w:left="700" w:top="1440" w:right="59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31"/>
          <w:szCs w:val="31"/>
          <w:b w:val="1"/>
          <w:bCs w:val="1"/>
          <w:color w:val="7FB1FF"/>
        </w:rPr>
        <w:t>WESTERN &amp; CENTRAL EUROPE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31"/>
          <w:szCs w:val="31"/>
          <w:b w:val="1"/>
          <w:bCs w:val="1"/>
          <w:color w:val="7FB1FF"/>
        </w:rPr>
        <w:t>EASTERN EUROPE</w:t>
      </w:r>
    </w:p>
    <w:p>
      <w:pPr>
        <w:spacing w:after="0" w:line="200" w:lineRule="exact"/>
        <w:rPr>
          <w:sz w:val="20"/>
          <w:szCs w:val="20"/>
          <w:color w:val="auto"/>
        </w:rPr>
      </w:pPr>
    </w:p>
    <w:p>
      <w:pPr>
        <w:sectPr>
          <w:pgSz w:w="11900" w:h="16838" w:orient="portrait"/>
          <w:cols w:equalWidth="0" w:num="2">
            <w:col w:w="6000" w:space="720"/>
            <w:col w:w="3880"/>
          </w:cols>
          <w:pgMar w:left="700" w:top="1440" w:right="599"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ind w:left="2020"/>
        <w:spacing w:after="0"/>
        <w:rPr>
          <w:sz w:val="20"/>
          <w:szCs w:val="20"/>
          <w:color w:val="auto"/>
        </w:rPr>
      </w:pPr>
      <w:r>
        <w:rPr>
          <w:rFonts w:ascii="Arial" w:cs="Arial" w:eastAsia="Arial" w:hAnsi="Arial"/>
          <w:sz w:val="24"/>
          <w:szCs w:val="24"/>
          <w:color w:val="BFBFBF"/>
        </w:rPr>
        <w:t>CY 2014 Outlook:</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34"/>
          <w:szCs w:val="34"/>
          <w:b w:val="1"/>
          <w:bCs w:val="1"/>
          <w:color w:val="FFFFFF"/>
        </w:rPr>
        <w:t>18.9M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4"/>
          <w:szCs w:val="24"/>
          <w:color w:val="BFBFBF"/>
        </w:rPr>
        <w:t>CY 2014 Outlook:</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34"/>
          <w:szCs w:val="34"/>
          <w:b w:val="1"/>
          <w:bCs w:val="1"/>
          <w:color w:val="FFFFFF"/>
        </w:rPr>
        <w:t>3.3M</w:t>
      </w:r>
    </w:p>
    <w:p>
      <w:pPr>
        <w:spacing w:after="0" w:line="223" w:lineRule="exact"/>
        <w:rPr>
          <w:sz w:val="20"/>
          <w:szCs w:val="20"/>
          <w:color w:val="auto"/>
        </w:rPr>
      </w:pPr>
    </w:p>
    <w:p>
      <w:pPr>
        <w:sectPr>
          <w:pgSz w:w="11900" w:h="16838" w:orient="portrait"/>
          <w:cols w:equalWidth="0" w:num="4">
            <w:col w:w="3960" w:space="180"/>
            <w:col w:w="2840" w:space="720"/>
            <w:col w:w="1960" w:space="180"/>
            <w:col w:w="760"/>
          </w:cols>
          <w:pgMar w:left="700" w:top="1440" w:right="599" w:bottom="1440" w:gutter="0" w:footer="0" w:header="0"/>
          <w:type w:val="continuous"/>
        </w:sectPr>
      </w:pPr>
    </w:p>
    <w:p>
      <w:pPr>
        <w:spacing w:after="0" w:line="287" w:lineRule="exact"/>
        <w:rPr>
          <w:sz w:val="20"/>
          <w:szCs w:val="20"/>
          <w:color w:val="auto"/>
        </w:rPr>
      </w:pPr>
    </w:p>
    <w:p>
      <w:pPr>
        <w:ind w:left="3160"/>
        <w:spacing w:after="0"/>
        <w:rPr>
          <w:sz w:val="20"/>
          <w:szCs w:val="20"/>
          <w:color w:val="auto"/>
        </w:rPr>
      </w:pPr>
      <w:r>
        <w:rPr>
          <w:rFonts w:ascii="Arial" w:cs="Arial" w:eastAsia="Arial" w:hAnsi="Arial"/>
          <w:sz w:val="81"/>
          <w:szCs w:val="81"/>
          <w:b w:val="1"/>
          <w:bCs w:val="1"/>
          <w:color w:val="FFFFFF"/>
        </w:rPr>
        <w:t>20%</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80"/>
          <w:szCs w:val="80"/>
          <w:b w:val="1"/>
          <w:bCs w:val="1"/>
          <w:color w:val="FFFFFF"/>
        </w:rPr>
        <w:t>70%</w:t>
      </w:r>
    </w:p>
    <w:p>
      <w:pPr>
        <w:spacing w:after="0" w:line="211" w:lineRule="exact"/>
        <w:rPr>
          <w:sz w:val="20"/>
          <w:szCs w:val="20"/>
          <w:color w:val="auto"/>
        </w:rPr>
      </w:pPr>
    </w:p>
    <w:p>
      <w:pPr>
        <w:sectPr>
          <w:pgSz w:w="11900" w:h="16838" w:orient="portrait"/>
          <w:cols w:equalWidth="0" w:num="2">
            <w:col w:w="8000" w:space="720"/>
            <w:col w:w="1880"/>
          </w:cols>
          <w:pgMar w:left="700" w:top="1440"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20"/>
        <w:spacing w:after="0"/>
        <w:tabs>
          <w:tab w:leader="none" w:pos="6200" w:val="left"/>
        </w:tabs>
        <w:rPr>
          <w:sz w:val="20"/>
          <w:szCs w:val="20"/>
          <w:color w:val="auto"/>
        </w:rPr>
      </w:pPr>
      <w:r>
        <w:rPr>
          <w:rFonts w:ascii="Arial" w:cs="Arial" w:eastAsia="Arial" w:hAnsi="Arial"/>
          <w:sz w:val="25"/>
          <w:szCs w:val="25"/>
          <w:color w:val="BFBFBF"/>
        </w:rPr>
        <w:t xml:space="preserve">CY 2010 Outlook:  </w:t>
      </w:r>
      <w:r>
        <w:rPr>
          <w:rFonts w:ascii="Arial" w:cs="Arial" w:eastAsia="Arial" w:hAnsi="Arial"/>
          <w:sz w:val="34"/>
          <w:szCs w:val="34"/>
          <w:b w:val="1"/>
          <w:bCs w:val="1"/>
          <w:color w:val="FFFFFF"/>
        </w:rPr>
        <w:t>15.6M</w:t>
      </w:r>
      <w:r>
        <w:rPr>
          <w:sz w:val="20"/>
          <w:szCs w:val="20"/>
          <w:color w:val="auto"/>
        </w:rPr>
        <w:tab/>
      </w:r>
      <w:r>
        <w:rPr>
          <w:rFonts w:ascii="Arial" w:cs="Arial" w:eastAsia="Arial" w:hAnsi="Arial"/>
          <w:sz w:val="25"/>
          <w:szCs w:val="25"/>
          <w:color w:val="BFBFBF"/>
        </w:rPr>
        <w:t xml:space="preserve">CY 2010 Outlook:  </w:t>
      </w:r>
      <w:r>
        <w:rPr>
          <w:rFonts w:ascii="Arial" w:cs="Arial" w:eastAsia="Arial" w:hAnsi="Arial"/>
          <w:sz w:val="34"/>
          <w:szCs w:val="34"/>
          <w:b w:val="1"/>
          <w:bCs w:val="1"/>
          <w:color w:val="FFFFFF"/>
        </w:rPr>
        <w:t>1.9M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0"/>
        <w:spacing w:after="0"/>
        <w:rPr>
          <w:sz w:val="20"/>
          <w:szCs w:val="20"/>
          <w:color w:val="auto"/>
        </w:rPr>
      </w:pPr>
      <w:r>
        <w:rPr>
          <w:rFonts w:ascii="Arial" w:cs="Arial" w:eastAsia="Arial" w:hAnsi="Arial"/>
          <w:sz w:val="19"/>
          <w:szCs w:val="19"/>
          <w:color w:val="FFFFFF"/>
        </w:rPr>
        <w:t>Source: Global Insight</w:t>
      </w:r>
    </w:p>
    <w:p>
      <w:pPr>
        <w:sectPr>
          <w:pgSz w:w="11900" w:h="16838" w:orient="portrait"/>
          <w:cols w:equalWidth="0" w:num="1">
            <w:col w:w="10600"/>
          </w:cols>
          <w:pgMar w:left="700" w:top="1440" w:right="599" w:bottom="1440" w:gutter="0" w:footer="0" w:header="0"/>
          <w:type w:val="continuous"/>
        </w:sectPr>
      </w:pPr>
    </w:p>
    <w:bookmarkStart w:id="33" w:name="page34"/>
    <w:bookmarkEnd w:id="33"/>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rPr>
          <w:sz w:val="20"/>
          <w:szCs w:val="20"/>
          <w:color w:val="auto"/>
        </w:rPr>
      </w:pPr>
      <w:r>
        <w:rPr>
          <w:rFonts w:ascii="Arial" w:cs="Arial" w:eastAsia="Arial" w:hAnsi="Arial"/>
          <w:sz w:val="60"/>
          <w:szCs w:val="60"/>
          <w:b w:val="1"/>
          <w:bCs w:val="1"/>
          <w:color w:val="FFFFFF"/>
        </w:rPr>
        <w:t>CONTINUED PRODUCT OFFENSIVE</w:t>
      </w:r>
    </w:p>
    <w:p>
      <w:pPr>
        <w:sectPr>
          <w:pgSz w:w="11900" w:h="16838" w:orient="portrait"/>
          <w:cols w:equalWidth="0" w:num="1">
            <w:col w:w="10280"/>
          </w:cols>
          <w:pgMar w:left="1040" w:top="1440"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580" w:type="dxa"/>
        <w:tblCellMar>
          <w:top w:w="0" w:type="dxa"/>
          <w:left w:w="0" w:type="dxa"/>
          <w:bottom w:w="0" w:type="dxa"/>
          <w:right w:w="0" w:type="dxa"/>
        </w:tblCellMar>
      </w:tblPr>
      <w:tr>
        <w:trPr>
          <w:trHeight w:val="1449"/>
        </w:trPr>
        <w:tc>
          <w:tcPr>
            <w:tcW w:w="4400" w:type="dxa"/>
            <w:vAlign w:val="bottom"/>
          </w:tcPr>
          <w:p>
            <w:pPr>
              <w:jc w:val="center"/>
              <w:ind w:right="303"/>
              <w:spacing w:after="0"/>
              <w:rPr>
                <w:sz w:val="20"/>
                <w:szCs w:val="20"/>
                <w:color w:val="auto"/>
              </w:rPr>
            </w:pPr>
            <w:r>
              <w:rPr>
                <w:rFonts w:ascii="Arial" w:cs="Arial" w:eastAsia="Arial" w:hAnsi="Arial"/>
                <w:sz w:val="126"/>
                <w:szCs w:val="126"/>
                <w:color w:val="FCD238"/>
                <w:w w:val="99"/>
              </w:rPr>
              <w:t>14</w:t>
            </w:r>
          </w:p>
        </w:tc>
        <w:tc>
          <w:tcPr>
            <w:tcW w:w="4400" w:type="dxa"/>
            <w:vAlign w:val="bottom"/>
          </w:tcPr>
          <w:p>
            <w:pPr>
              <w:jc w:val="center"/>
              <w:ind w:left="303"/>
              <w:spacing w:after="0"/>
              <w:rPr>
                <w:sz w:val="20"/>
                <w:szCs w:val="20"/>
                <w:color w:val="auto"/>
              </w:rPr>
            </w:pPr>
            <w:r>
              <w:rPr>
                <w:rFonts w:ascii="Arial" w:cs="Arial" w:eastAsia="Arial" w:hAnsi="Arial"/>
                <w:sz w:val="126"/>
                <w:szCs w:val="126"/>
                <w:color w:val="FCD238"/>
                <w:w w:val="99"/>
              </w:rPr>
              <w:t>13</w:t>
            </w:r>
          </w:p>
        </w:tc>
      </w:tr>
      <w:tr>
        <w:trPr>
          <w:trHeight w:val="611"/>
        </w:trPr>
        <w:tc>
          <w:tcPr>
            <w:tcW w:w="4400" w:type="dxa"/>
            <w:vAlign w:val="bottom"/>
          </w:tcPr>
          <w:p>
            <w:pPr>
              <w:jc w:val="center"/>
              <w:ind w:right="283"/>
              <w:spacing w:after="0" w:line="609" w:lineRule="exact"/>
              <w:rPr>
                <w:sz w:val="20"/>
                <w:szCs w:val="20"/>
                <w:color w:val="auto"/>
              </w:rPr>
            </w:pPr>
            <w:r>
              <w:rPr>
                <w:rFonts w:ascii="Arial" w:cs="Arial" w:eastAsia="Arial" w:hAnsi="Arial"/>
                <w:sz w:val="62"/>
                <w:szCs w:val="62"/>
                <w:color w:val="FFFFFF"/>
              </w:rPr>
              <w:t>Launches</w:t>
            </w:r>
          </w:p>
        </w:tc>
        <w:tc>
          <w:tcPr>
            <w:tcW w:w="4400" w:type="dxa"/>
            <w:vAlign w:val="bottom"/>
          </w:tcPr>
          <w:p>
            <w:pPr>
              <w:jc w:val="center"/>
              <w:ind w:left="323"/>
              <w:spacing w:after="0" w:line="609" w:lineRule="exact"/>
              <w:rPr>
                <w:sz w:val="20"/>
                <w:szCs w:val="20"/>
                <w:color w:val="auto"/>
              </w:rPr>
            </w:pPr>
            <w:r>
              <w:rPr>
                <w:rFonts w:ascii="Arial" w:cs="Arial" w:eastAsia="Arial" w:hAnsi="Arial"/>
                <w:sz w:val="62"/>
                <w:szCs w:val="62"/>
                <w:color w:val="FFFFFF"/>
              </w:rPr>
              <w:t>Launches</w:t>
            </w:r>
          </w:p>
        </w:tc>
      </w:tr>
      <w:tr>
        <w:trPr>
          <w:trHeight w:val="754"/>
        </w:trPr>
        <w:tc>
          <w:tcPr>
            <w:tcW w:w="4400" w:type="dxa"/>
            <w:vAlign w:val="bottom"/>
          </w:tcPr>
          <w:p>
            <w:pPr>
              <w:jc w:val="center"/>
              <w:ind w:right="303"/>
              <w:spacing w:after="0"/>
              <w:rPr>
                <w:sz w:val="20"/>
                <w:szCs w:val="20"/>
                <w:color w:val="auto"/>
              </w:rPr>
            </w:pPr>
            <w:r>
              <w:rPr>
                <w:rFonts w:ascii="Arial" w:cs="Arial" w:eastAsia="Arial" w:hAnsi="Arial"/>
                <w:sz w:val="62"/>
                <w:szCs w:val="62"/>
                <w:color w:val="FFFFFF"/>
              </w:rPr>
              <w:t>through 2014</w:t>
            </w:r>
          </w:p>
        </w:tc>
        <w:tc>
          <w:tcPr>
            <w:tcW w:w="4400" w:type="dxa"/>
            <w:vAlign w:val="bottom"/>
          </w:tcPr>
          <w:p>
            <w:pPr>
              <w:jc w:val="center"/>
              <w:ind w:left="303"/>
              <w:spacing w:after="0"/>
              <w:rPr>
                <w:sz w:val="20"/>
                <w:szCs w:val="20"/>
                <w:color w:val="auto"/>
              </w:rPr>
            </w:pPr>
            <w:r>
              <w:rPr>
                <w:rFonts w:ascii="Arial" w:cs="Arial" w:eastAsia="Arial" w:hAnsi="Arial"/>
                <w:sz w:val="62"/>
                <w:szCs w:val="62"/>
                <w:color w:val="FFFFFF"/>
              </w:rPr>
              <w:t>through 2014</w:t>
            </w:r>
          </w:p>
        </w:tc>
      </w:tr>
    </w:tbl>
    <w:p>
      <w:pPr>
        <w:sectPr>
          <w:pgSz w:w="11900" w:h="16838" w:orient="portrait"/>
          <w:cols w:equalWidth="0" w:num="1">
            <w:col w:w="10280"/>
          </w:cols>
          <w:pgMar w:left="1040" w:top="1440" w:right="579" w:bottom="1440" w:gutter="0" w:footer="0" w:header="0"/>
          <w:type w:val="continuous"/>
        </w:sectPr>
      </w:pPr>
    </w:p>
    <w:bookmarkStart w:id="34" w:name="page35"/>
    <w:bookmarkEnd w:id="34"/>
    <w:p>
      <w:pPr>
        <w:ind w:left="697"/>
        <w:spacing w:after="0"/>
        <w:rPr>
          <w:sz w:val="20"/>
          <w:szCs w:val="20"/>
          <w:color w:val="auto"/>
        </w:rPr>
      </w:pPr>
      <w:r>
        <w:rPr>
          <w:rFonts w:ascii="Arial" w:cs="Arial" w:eastAsia="Arial" w:hAnsi="Arial"/>
          <w:sz w:val="75"/>
          <w:szCs w:val="75"/>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Product</w:t>
      </w:r>
    </w:p>
    <w:p>
      <w:pPr>
        <w:ind w:left="697"/>
        <w:spacing w:after="0"/>
        <w:rPr>
          <w:sz w:val="20"/>
          <w:szCs w:val="20"/>
          <w:color w:val="auto"/>
        </w:rPr>
      </w:pPr>
      <w:r>
        <w:rPr>
          <w:rFonts w:ascii="Arial" w:cs="Arial" w:eastAsia="Arial" w:hAnsi="Arial"/>
          <w:sz w:val="75"/>
          <w:szCs w:val="75"/>
          <w:color w:val="FFFFFF"/>
        </w:rPr>
        <w:t>Offensive</w:t>
      </w:r>
    </w:p>
    <w:p>
      <w:pPr>
        <w:spacing w:after="0" w:line="264" w:lineRule="exact"/>
        <w:rPr>
          <w:sz w:val="20"/>
          <w:szCs w:val="20"/>
          <w:color w:val="auto"/>
        </w:rPr>
      </w:pPr>
    </w:p>
    <w:p>
      <w:pPr>
        <w:ind w:left="697" w:right="4860" w:hanging="697"/>
        <w:spacing w:after="0" w:line="239" w:lineRule="auto"/>
        <w:tabs>
          <w:tab w:leader="none" w:pos="697" w:val="left"/>
        </w:tabs>
        <w:numPr>
          <w:ilvl w:val="0"/>
          <w:numId w:val="3"/>
        </w:numPr>
        <w:rPr>
          <w:rFonts w:ascii="Arial" w:cs="Arial" w:eastAsia="Arial" w:hAnsi="Arial"/>
          <w:sz w:val="75"/>
          <w:szCs w:val="75"/>
          <w:b w:val="1"/>
          <w:bCs w:val="1"/>
          <w:color w:val="B2D0FF"/>
        </w:rPr>
      </w:pPr>
      <w:r>
        <w:rPr>
          <w:rFonts w:ascii="Arial" w:cs="Arial" w:eastAsia="Arial" w:hAnsi="Arial"/>
          <w:sz w:val="75"/>
          <w:szCs w:val="75"/>
          <w:color w:val="FFFFFF"/>
        </w:rPr>
        <w:t>Restructuring Measures</w:t>
      </w:r>
    </w:p>
    <w:p>
      <w:pPr>
        <w:spacing w:after="0" w:line="200" w:lineRule="exact"/>
        <w:rPr>
          <w:rFonts w:ascii="Arial" w:cs="Arial" w:eastAsia="Arial" w:hAnsi="Arial"/>
          <w:sz w:val="75"/>
          <w:szCs w:val="75"/>
          <w:b w:val="1"/>
          <w:bCs w:val="1"/>
          <w:color w:val="B2D0FF"/>
        </w:rPr>
      </w:pPr>
    </w:p>
    <w:p>
      <w:pPr>
        <w:spacing w:after="0" w:line="200" w:lineRule="exact"/>
        <w:rPr>
          <w:rFonts w:ascii="Arial" w:cs="Arial" w:eastAsia="Arial" w:hAnsi="Arial"/>
          <w:sz w:val="75"/>
          <w:szCs w:val="75"/>
          <w:b w:val="1"/>
          <w:bCs w:val="1"/>
          <w:color w:val="B2D0FF"/>
        </w:rPr>
      </w:pPr>
    </w:p>
    <w:p>
      <w:pPr>
        <w:spacing w:after="0" w:line="200" w:lineRule="exact"/>
        <w:rPr>
          <w:rFonts w:ascii="Arial" w:cs="Arial" w:eastAsia="Arial" w:hAnsi="Arial"/>
          <w:sz w:val="75"/>
          <w:szCs w:val="75"/>
          <w:b w:val="1"/>
          <w:bCs w:val="1"/>
          <w:color w:val="B2D0FF"/>
        </w:rPr>
      </w:pPr>
    </w:p>
    <w:p>
      <w:pPr>
        <w:spacing w:after="0" w:line="200" w:lineRule="exact"/>
        <w:rPr>
          <w:rFonts w:ascii="Arial" w:cs="Arial" w:eastAsia="Arial" w:hAnsi="Arial"/>
          <w:sz w:val="75"/>
          <w:szCs w:val="75"/>
          <w:b w:val="1"/>
          <w:bCs w:val="1"/>
          <w:color w:val="B2D0FF"/>
        </w:rPr>
      </w:pPr>
    </w:p>
    <w:p>
      <w:pPr>
        <w:spacing w:after="0" w:line="200" w:lineRule="exact"/>
        <w:rPr>
          <w:rFonts w:ascii="Arial" w:cs="Arial" w:eastAsia="Arial" w:hAnsi="Arial"/>
          <w:sz w:val="75"/>
          <w:szCs w:val="75"/>
          <w:b w:val="1"/>
          <w:bCs w:val="1"/>
          <w:color w:val="B2D0FF"/>
        </w:rPr>
      </w:pPr>
    </w:p>
    <w:p>
      <w:pPr>
        <w:spacing w:after="0" w:line="200" w:lineRule="exact"/>
        <w:rPr>
          <w:rFonts w:ascii="Arial" w:cs="Arial" w:eastAsia="Arial" w:hAnsi="Arial"/>
          <w:sz w:val="75"/>
          <w:szCs w:val="75"/>
          <w:b w:val="1"/>
          <w:bCs w:val="1"/>
          <w:color w:val="B2D0FF"/>
        </w:rPr>
      </w:pPr>
    </w:p>
    <w:p>
      <w:pPr>
        <w:spacing w:after="0" w:line="339" w:lineRule="exact"/>
        <w:rPr>
          <w:rFonts w:ascii="Arial" w:cs="Arial" w:eastAsia="Arial" w:hAnsi="Arial"/>
          <w:sz w:val="75"/>
          <w:szCs w:val="75"/>
          <w:b w:val="1"/>
          <w:bCs w:val="1"/>
          <w:color w:val="B2D0FF"/>
        </w:rPr>
      </w:pPr>
    </w:p>
    <w:p>
      <w:pPr>
        <w:ind w:left="797" w:hanging="703"/>
        <w:spacing w:after="0"/>
        <w:tabs>
          <w:tab w:leader="none" w:pos="797" w:val="left"/>
        </w:tabs>
        <w:numPr>
          <w:ilvl w:val="1"/>
          <w:numId w:val="3"/>
        </w:numPr>
        <w:rPr>
          <w:rFonts w:ascii="Arial" w:cs="Arial" w:eastAsia="Arial" w:hAnsi="Arial"/>
          <w:sz w:val="75"/>
          <w:szCs w:val="75"/>
          <w:color w:val="FCD238"/>
        </w:rPr>
      </w:pPr>
      <w:r>
        <w:rPr>
          <w:rFonts w:ascii="Arial" w:cs="Arial" w:eastAsia="Arial" w:hAnsi="Arial"/>
          <w:sz w:val="75"/>
          <w:szCs w:val="75"/>
          <w:color w:val="FCD238"/>
        </w:rPr>
        <w:t>Breakeven in 2011…</w:t>
      </w:r>
    </w:p>
    <w:p>
      <w:pPr>
        <w:spacing w:after="0" w:line="15" w:lineRule="exact"/>
        <w:rPr>
          <w:sz w:val="20"/>
          <w:szCs w:val="20"/>
          <w:color w:val="auto"/>
        </w:rPr>
      </w:pPr>
    </w:p>
    <w:p>
      <w:pPr>
        <w:ind w:left="797"/>
        <w:spacing w:after="0"/>
        <w:rPr>
          <w:sz w:val="20"/>
          <w:szCs w:val="20"/>
          <w:color w:val="auto"/>
        </w:rPr>
      </w:pPr>
      <w:r>
        <w:rPr>
          <w:rFonts w:ascii="Arial" w:cs="Arial" w:eastAsia="Arial" w:hAnsi="Arial"/>
          <w:sz w:val="56"/>
          <w:szCs w:val="56"/>
          <w:color w:val="FCD238"/>
        </w:rPr>
        <w:t>Significant profits as markets recover</w:t>
      </w:r>
    </w:p>
    <w:p>
      <w:pPr>
        <w:sectPr>
          <w:pgSz w:w="11900" w:h="16838" w:orient="portrait"/>
          <w:cols w:equalWidth="0" w:num="1">
            <w:col w:w="10057"/>
          </w:cols>
          <w:pgMar w:left="763" w:top="1112" w:right="107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47"/>
          <w:szCs w:val="47"/>
          <w:b w:val="1"/>
          <w:bCs w:val="1"/>
          <w:color w:val="FFFFFF"/>
        </w:rPr>
        <w:t>MARK REUSS</w:t>
      </w:r>
    </w:p>
    <w:p>
      <w:pPr>
        <w:spacing w:after="0" w:line="58" w:lineRule="exact"/>
        <w:rPr>
          <w:sz w:val="20"/>
          <w:szCs w:val="20"/>
          <w:color w:val="auto"/>
        </w:rPr>
      </w:pPr>
    </w:p>
    <w:p>
      <w:pPr>
        <w:spacing w:after="0"/>
        <w:rPr>
          <w:sz w:val="20"/>
          <w:szCs w:val="20"/>
          <w:color w:val="auto"/>
        </w:rPr>
      </w:pPr>
      <w:r>
        <w:rPr>
          <w:rFonts w:ascii="Arial" w:cs="Arial" w:eastAsia="Arial" w:hAnsi="Arial"/>
          <w:sz w:val="31"/>
          <w:szCs w:val="31"/>
          <w:color w:val="7FB1FF"/>
        </w:rPr>
        <w:t>President, GM North America</w:t>
      </w:r>
    </w:p>
    <w:p>
      <w:pPr>
        <w:sectPr>
          <w:pgSz w:w="11900" w:h="16838" w:orient="portrait"/>
          <w:cols w:equalWidth="0" w:num="1">
            <w:col w:w="9359"/>
          </w:cols>
          <w:pgMar w:left="1100" w:top="1440" w:right="1440" w:bottom="1440" w:gutter="0" w:footer="0" w:header="0"/>
        </w:sectPr>
      </w:pPr>
    </w:p>
    <w:bookmarkStart w:id="36" w:name="page37"/>
    <w:bookmarkEnd w:id="36"/>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ind w:left="20"/>
        <w:spacing w:after="0"/>
        <w:rPr>
          <w:sz w:val="20"/>
          <w:szCs w:val="20"/>
          <w:color w:val="auto"/>
        </w:rPr>
      </w:pPr>
      <w:r>
        <w:rPr>
          <w:rFonts w:ascii="Arial" w:cs="Arial" w:eastAsia="Arial" w:hAnsi="Arial"/>
          <w:sz w:val="62"/>
          <w:szCs w:val="62"/>
          <w:b w:val="1"/>
          <w:bCs w:val="1"/>
          <w:color w:val="FFFFFF"/>
        </w:rPr>
        <w:t>BREAKEVEN REDUCED</w:t>
      </w:r>
    </w:p>
    <w:p>
      <w:pPr>
        <w:spacing w:after="0" w:line="198" w:lineRule="exact"/>
        <w:rPr>
          <w:sz w:val="20"/>
          <w:szCs w:val="20"/>
          <w:color w:val="auto"/>
        </w:rPr>
      </w:pPr>
    </w:p>
    <w:p>
      <w:pPr>
        <w:spacing w:after="0"/>
        <w:tabs>
          <w:tab w:leader="none" w:pos="4340" w:val="left"/>
          <w:tab w:leader="none" w:pos="7780" w:val="left"/>
        </w:tabs>
        <w:rPr>
          <w:sz w:val="20"/>
          <w:szCs w:val="20"/>
          <w:color w:val="auto"/>
        </w:rPr>
      </w:pPr>
      <w:r>
        <w:rPr>
          <w:rFonts w:ascii="Arial" w:cs="Arial" w:eastAsia="Arial" w:hAnsi="Arial"/>
          <w:sz w:val="41"/>
          <w:szCs w:val="41"/>
          <w:b w:val="1"/>
          <w:bCs w:val="1"/>
          <w:color w:val="BFBFBF"/>
        </w:rPr>
        <w:t>TRANSACTION</w:t>
      </w:r>
      <w:r>
        <w:rPr>
          <w:sz w:val="20"/>
          <w:szCs w:val="20"/>
          <w:color w:val="auto"/>
        </w:rPr>
        <w:tab/>
      </w:r>
      <w:r>
        <w:rPr>
          <w:rFonts w:ascii="Arial" w:cs="Arial" w:eastAsia="Arial" w:hAnsi="Arial"/>
          <w:sz w:val="41"/>
          <w:szCs w:val="41"/>
          <w:b w:val="1"/>
          <w:bCs w:val="1"/>
          <w:color w:val="BFBFBF"/>
        </w:rPr>
        <w:t>LABOR</w:t>
      </w:r>
      <w:r>
        <w:rPr>
          <w:sz w:val="20"/>
          <w:szCs w:val="20"/>
          <w:color w:val="auto"/>
        </w:rPr>
        <w:tab/>
      </w:r>
      <w:r>
        <w:rPr>
          <w:rFonts w:ascii="Arial" w:cs="Arial" w:eastAsia="Arial" w:hAnsi="Arial"/>
          <w:sz w:val="40"/>
          <w:szCs w:val="40"/>
          <w:b w:val="1"/>
          <w:bCs w:val="1"/>
          <w:color w:val="BFBFBF"/>
        </w:rPr>
        <w:t>CAPACITY</w:t>
      </w:r>
    </w:p>
    <w:p>
      <w:pPr>
        <w:spacing w:after="0" w:line="63" w:lineRule="exact"/>
        <w:rPr>
          <w:sz w:val="20"/>
          <w:szCs w:val="20"/>
          <w:color w:val="auto"/>
        </w:rPr>
      </w:pPr>
    </w:p>
    <w:p>
      <w:pPr>
        <w:ind w:left="720"/>
        <w:spacing w:after="0"/>
        <w:tabs>
          <w:tab w:leader="none" w:pos="4500" w:val="left"/>
          <w:tab w:leader="none" w:pos="7540" w:val="left"/>
        </w:tabs>
        <w:rPr>
          <w:sz w:val="20"/>
          <w:szCs w:val="20"/>
          <w:color w:val="auto"/>
        </w:rPr>
      </w:pPr>
      <w:r>
        <w:rPr>
          <w:rFonts w:ascii="Arial" w:cs="Arial" w:eastAsia="Arial" w:hAnsi="Arial"/>
          <w:sz w:val="41"/>
          <w:szCs w:val="41"/>
          <w:b w:val="1"/>
          <w:bCs w:val="1"/>
          <w:color w:val="BFBFBF"/>
        </w:rPr>
        <w:t>PRICES</w:t>
      </w:r>
      <w:r>
        <w:rPr>
          <w:sz w:val="20"/>
          <w:szCs w:val="20"/>
          <w:color w:val="auto"/>
        </w:rPr>
        <w:tab/>
      </w:r>
      <w:r>
        <w:rPr>
          <w:rFonts w:ascii="Arial" w:cs="Arial" w:eastAsia="Arial" w:hAnsi="Arial"/>
          <w:sz w:val="41"/>
          <w:szCs w:val="41"/>
          <w:b w:val="1"/>
          <w:bCs w:val="1"/>
          <w:color w:val="BFBFBF"/>
        </w:rPr>
        <w:t>COST</w:t>
      </w:r>
      <w:r>
        <w:rPr>
          <w:sz w:val="20"/>
          <w:szCs w:val="20"/>
          <w:color w:val="auto"/>
        </w:rPr>
        <w:tab/>
      </w:r>
      <w:r>
        <w:rPr>
          <w:rFonts w:ascii="Arial" w:cs="Arial" w:eastAsia="Arial" w:hAnsi="Arial"/>
          <w:sz w:val="40"/>
          <w:szCs w:val="40"/>
          <w:b w:val="1"/>
          <w:bCs w:val="1"/>
          <w:color w:val="BFBFBF"/>
        </w:rPr>
        <w:t>UTILIZATION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100"/>
        <w:spacing w:after="0"/>
        <w:rPr>
          <w:sz w:val="20"/>
          <w:szCs w:val="20"/>
          <w:color w:val="auto"/>
        </w:rPr>
      </w:pPr>
      <w:r>
        <w:rPr>
          <w:rFonts w:ascii="Arial" w:cs="Arial" w:eastAsia="Arial" w:hAnsi="Arial"/>
          <w:sz w:val="88"/>
          <w:szCs w:val="88"/>
          <w:b w:val="1"/>
          <w:bCs w:val="1"/>
          <w:color w:val="FFFFFF"/>
        </w:rPr>
        <w:t>85%</w:t>
      </w:r>
    </w:p>
    <w:p>
      <w:pPr>
        <w:sectPr>
          <w:pgSz w:w="11900" w:h="16838" w:orient="portrait"/>
          <w:cols w:equalWidth="0" w:num="1">
            <w:col w:w="10100"/>
          </w:cols>
          <w:pgMar w:left="1020" w:top="1440" w:right="77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56"/>
          <w:szCs w:val="56"/>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LAUNCH PRODUCT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400" w:type="dxa"/>
        <w:tblCellMar>
          <w:top w:w="0" w:type="dxa"/>
          <w:left w:w="0" w:type="dxa"/>
          <w:bottom w:w="0" w:type="dxa"/>
          <w:right w:w="0" w:type="dxa"/>
        </w:tblCellMar>
      </w:tblPr>
      <w:tr>
        <w:trPr>
          <w:trHeight w:val="562"/>
        </w:trPr>
        <w:tc>
          <w:tcPr>
            <w:tcW w:w="1600" w:type="dxa"/>
            <w:vAlign w:val="bottom"/>
          </w:tcPr>
          <w:p>
            <w:pPr>
              <w:ind w:left="40"/>
              <w:spacing w:after="0"/>
              <w:rPr>
                <w:sz w:val="20"/>
                <w:szCs w:val="20"/>
                <w:color w:val="auto"/>
              </w:rPr>
            </w:pPr>
            <w:r>
              <w:rPr>
                <w:rFonts w:ascii="Arial" w:cs="Arial" w:eastAsia="Arial" w:hAnsi="Arial"/>
                <w:sz w:val="34"/>
                <w:szCs w:val="34"/>
                <w:b w:val="1"/>
                <w:bCs w:val="1"/>
                <w:color w:val="7FB1FF"/>
              </w:rPr>
              <w:t>Share of</w:t>
            </w:r>
          </w:p>
        </w:tc>
        <w:tc>
          <w:tcPr>
            <w:tcW w:w="2240" w:type="dxa"/>
            <w:vAlign w:val="bottom"/>
          </w:tcPr>
          <w:p>
            <w:pPr>
              <w:jc w:val="center"/>
              <w:spacing w:after="0"/>
              <w:rPr>
                <w:sz w:val="20"/>
                <w:szCs w:val="20"/>
                <w:color w:val="auto"/>
              </w:rPr>
            </w:pPr>
            <w:r>
              <w:rPr>
                <w:rFonts w:ascii="Arial" w:cs="Arial" w:eastAsia="Arial" w:hAnsi="Arial"/>
                <w:sz w:val="34"/>
                <w:szCs w:val="34"/>
                <w:b w:val="1"/>
                <w:bCs w:val="1"/>
                <w:color w:val="7FB1FF"/>
                <w:w w:val="99"/>
              </w:rPr>
              <w:t>Transaction</w:t>
            </w:r>
          </w:p>
        </w:tc>
        <w:tc>
          <w:tcPr>
            <w:tcW w:w="6200" w:type="dxa"/>
            <w:vAlign w:val="bottom"/>
          </w:tcPr>
          <w:p>
            <w:pPr>
              <w:ind w:left="120"/>
              <w:spacing w:after="0"/>
              <w:rPr>
                <w:sz w:val="20"/>
                <w:szCs w:val="20"/>
                <w:color w:val="auto"/>
              </w:rPr>
            </w:pPr>
            <w:r>
              <w:rPr>
                <w:rFonts w:ascii="Arial" w:cs="Arial" w:eastAsia="Arial" w:hAnsi="Arial"/>
                <w:sz w:val="34"/>
                <w:szCs w:val="34"/>
                <w:b w:val="1"/>
                <w:bCs w:val="1"/>
                <w:color w:val="7FB1FF"/>
              </w:rPr>
              <w:t>Incentives Consideration  Residuals</w:t>
            </w:r>
          </w:p>
        </w:tc>
      </w:tr>
      <w:tr>
        <w:trPr>
          <w:trHeight w:val="453"/>
        </w:trPr>
        <w:tc>
          <w:tcPr>
            <w:tcW w:w="1600" w:type="dxa"/>
            <w:vAlign w:val="bottom"/>
          </w:tcPr>
          <w:p>
            <w:pPr>
              <w:spacing w:after="0"/>
              <w:rPr>
                <w:sz w:val="20"/>
                <w:szCs w:val="20"/>
                <w:color w:val="auto"/>
              </w:rPr>
            </w:pPr>
            <w:r>
              <w:rPr>
                <w:rFonts w:ascii="Arial" w:cs="Arial" w:eastAsia="Arial" w:hAnsi="Arial"/>
                <w:sz w:val="34"/>
                <w:szCs w:val="34"/>
                <w:b w:val="1"/>
                <w:bCs w:val="1"/>
                <w:color w:val="7FB1FF"/>
              </w:rPr>
              <w:t>Segment</w:t>
            </w:r>
          </w:p>
        </w:tc>
        <w:tc>
          <w:tcPr>
            <w:tcW w:w="2240" w:type="dxa"/>
            <w:vAlign w:val="bottom"/>
          </w:tcPr>
          <w:p>
            <w:pPr>
              <w:jc w:val="center"/>
              <w:spacing w:after="0"/>
              <w:rPr>
                <w:sz w:val="20"/>
                <w:szCs w:val="20"/>
                <w:color w:val="auto"/>
              </w:rPr>
            </w:pPr>
            <w:r>
              <w:rPr>
                <w:rFonts w:ascii="Arial" w:cs="Arial" w:eastAsia="Arial" w:hAnsi="Arial"/>
                <w:sz w:val="34"/>
                <w:szCs w:val="34"/>
                <w:b w:val="1"/>
                <w:bCs w:val="1"/>
                <w:color w:val="7FB1FF"/>
                <w:w w:val="98"/>
              </w:rPr>
              <w:t>Price</w:t>
            </w:r>
          </w:p>
        </w:tc>
        <w:tc>
          <w:tcPr>
            <w:tcW w:w="6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2560" w:type="dxa"/>
            <w:vAlign w:val="bottom"/>
            <w:vMerge w:val="restart"/>
          </w:tcPr>
          <w:p>
            <w:pPr>
              <w:spacing w:after="0"/>
              <w:rPr>
                <w:sz w:val="20"/>
                <w:szCs w:val="20"/>
                <w:color w:val="auto"/>
              </w:rPr>
            </w:pPr>
            <w:r>
              <w:rPr>
                <w:rFonts w:ascii="Arial" w:cs="Arial" w:eastAsia="Arial" w:hAnsi="Arial"/>
                <w:sz w:val="28"/>
                <w:szCs w:val="28"/>
                <w:b w:val="1"/>
                <w:bCs w:val="1"/>
                <w:color w:val="BFBFBF"/>
              </w:rPr>
              <w:t>CADILLAC SRX</w:t>
            </w:r>
          </w:p>
        </w:tc>
        <w:tc>
          <w:tcPr>
            <w:tcW w:w="2540" w:type="dxa"/>
            <w:vAlign w:val="bottom"/>
          </w:tcPr>
          <w:p>
            <w:pPr>
              <w:jc w:val="center"/>
              <w:spacing w:after="0"/>
              <w:rPr>
                <w:sz w:val="20"/>
                <w:szCs w:val="20"/>
                <w:color w:val="auto"/>
              </w:rPr>
            </w:pPr>
            <w:r>
              <w:rPr>
                <w:rFonts w:ascii="Arial" w:cs="Arial" w:eastAsia="Arial" w:hAnsi="Arial"/>
                <w:sz w:val="28"/>
                <w:szCs w:val="28"/>
                <w:b w:val="1"/>
                <w:bCs w:val="1"/>
                <w:color w:val="BFBFBF"/>
              </w:rPr>
              <w:t>CHEVROLET</w:t>
            </w:r>
          </w:p>
        </w:tc>
        <w:tc>
          <w:tcPr>
            <w:tcW w:w="5440" w:type="dxa"/>
            <w:vAlign w:val="bottom"/>
            <w:vMerge w:val="restart"/>
          </w:tcPr>
          <w:p>
            <w:pPr>
              <w:ind w:left="340"/>
              <w:spacing w:after="0"/>
              <w:rPr>
                <w:sz w:val="20"/>
                <w:szCs w:val="20"/>
                <w:color w:val="auto"/>
              </w:rPr>
            </w:pPr>
            <w:r>
              <w:rPr>
                <w:rFonts w:ascii="Arial" w:cs="Arial" w:eastAsia="Arial" w:hAnsi="Arial"/>
                <w:sz w:val="28"/>
                <w:szCs w:val="28"/>
                <w:b w:val="1"/>
                <w:bCs w:val="1"/>
                <w:color w:val="BFBFBF"/>
              </w:rPr>
              <w:t>BUICK LACROSSE    GMC TERRAIN</w:t>
            </w:r>
          </w:p>
        </w:tc>
        <w:tc>
          <w:tcPr>
            <w:tcW w:w="0" w:type="dxa"/>
            <w:vAlign w:val="bottom"/>
          </w:tcPr>
          <w:p>
            <w:pPr>
              <w:spacing w:after="0"/>
              <w:rPr>
                <w:sz w:val="1"/>
                <w:szCs w:val="1"/>
                <w:color w:val="auto"/>
              </w:rPr>
            </w:pPr>
          </w:p>
        </w:tc>
      </w:tr>
      <w:tr>
        <w:trPr>
          <w:trHeight w:val="199"/>
        </w:trPr>
        <w:tc>
          <w:tcPr>
            <w:tcW w:w="2560" w:type="dxa"/>
            <w:vAlign w:val="bottom"/>
            <w:vMerge w:val="continue"/>
          </w:tcPr>
          <w:p>
            <w:pPr>
              <w:spacing w:after="0"/>
              <w:rPr>
                <w:sz w:val="17"/>
                <w:szCs w:val="17"/>
                <w:color w:val="auto"/>
              </w:rPr>
            </w:pPr>
          </w:p>
        </w:tc>
        <w:tc>
          <w:tcPr>
            <w:tcW w:w="2540" w:type="dxa"/>
            <w:vAlign w:val="bottom"/>
            <w:vMerge w:val="restart"/>
          </w:tcPr>
          <w:p>
            <w:pPr>
              <w:jc w:val="center"/>
              <w:spacing w:after="0"/>
              <w:rPr>
                <w:sz w:val="20"/>
                <w:szCs w:val="20"/>
                <w:color w:val="auto"/>
              </w:rPr>
            </w:pPr>
            <w:r>
              <w:rPr>
                <w:rFonts w:ascii="Arial" w:cs="Arial" w:eastAsia="Arial" w:hAnsi="Arial"/>
                <w:sz w:val="28"/>
                <w:szCs w:val="28"/>
                <w:b w:val="1"/>
                <w:bCs w:val="1"/>
                <w:color w:val="BFBFBF"/>
              </w:rPr>
              <w:t>EQUINOX</w:t>
            </w:r>
          </w:p>
        </w:tc>
        <w:tc>
          <w:tcPr>
            <w:tcW w:w="5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560" w:type="dxa"/>
            <w:vAlign w:val="bottom"/>
            <w:vMerge w:val="restart"/>
          </w:tcPr>
          <w:p>
            <w:pPr>
              <w:ind w:left="380"/>
              <w:spacing w:after="0"/>
              <w:rPr>
                <w:sz w:val="20"/>
                <w:szCs w:val="20"/>
                <w:color w:val="auto"/>
              </w:rPr>
            </w:pPr>
            <w:r>
              <w:rPr>
                <w:rFonts w:ascii="Arial" w:cs="Arial" w:eastAsia="Arial" w:hAnsi="Arial"/>
                <w:sz w:val="19"/>
                <w:szCs w:val="19"/>
                <w:color w:val="FFFFFF"/>
              </w:rPr>
              <w:t>Q1 2010 vs Q1 2009</w:t>
            </w:r>
          </w:p>
        </w:tc>
        <w:tc>
          <w:tcPr>
            <w:tcW w:w="2540" w:type="dxa"/>
            <w:vAlign w:val="bottom"/>
            <w:vMerge w:val="continue"/>
          </w:tcPr>
          <w:p>
            <w:pPr>
              <w:spacing w:after="0"/>
              <w:rPr>
                <w:sz w:val="15"/>
                <w:szCs w:val="15"/>
                <w:color w:val="auto"/>
              </w:rPr>
            </w:pPr>
          </w:p>
        </w:tc>
        <w:tc>
          <w:tcPr>
            <w:tcW w:w="5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560" w:type="dxa"/>
            <w:vAlign w:val="bottom"/>
            <w:vMerge w:val="continue"/>
          </w:tcPr>
          <w:p>
            <w:pPr>
              <w:spacing w:after="0"/>
              <w:rPr>
                <w:sz w:val="18"/>
                <w:szCs w:val="18"/>
                <w:color w:val="auto"/>
              </w:rPr>
            </w:pPr>
          </w:p>
        </w:tc>
        <w:tc>
          <w:tcPr>
            <w:tcW w:w="25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720" w:top="1003" w:right="639" w:bottom="1440" w:gutter="0" w:footer="0" w:header="0"/>
        </w:sectPr>
      </w:pPr>
    </w:p>
    <w:bookmarkStart w:id="38" w:name="page39"/>
    <w:bookmarkEnd w:id="38"/>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ind w:left="320"/>
        <w:spacing w:after="0"/>
        <w:rPr>
          <w:sz w:val="20"/>
          <w:szCs w:val="20"/>
          <w:color w:val="auto"/>
        </w:rPr>
      </w:pPr>
      <w:r>
        <w:rPr>
          <w:rFonts w:ascii="Arial" w:cs="Arial" w:eastAsia="Arial" w:hAnsi="Arial"/>
          <w:sz w:val="62"/>
          <w:szCs w:val="62"/>
          <w:b w:val="1"/>
          <w:bCs w:val="1"/>
          <w:color w:val="FFFFFF"/>
        </w:rPr>
        <w:t>U.S. INDUSTRY OUTLOOK</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471"/>
        </w:trPr>
        <w:tc>
          <w:tcPr>
            <w:tcW w:w="3740" w:type="dxa"/>
            <w:vAlign w:val="bottom"/>
          </w:tcPr>
          <w:p>
            <w:pPr>
              <w:jc w:val="center"/>
              <w:ind w:right="1014"/>
              <w:spacing w:after="0"/>
              <w:rPr>
                <w:sz w:val="20"/>
                <w:szCs w:val="20"/>
                <w:color w:val="auto"/>
              </w:rPr>
            </w:pPr>
            <w:r>
              <w:rPr>
                <w:rFonts w:ascii="Arial" w:cs="Arial" w:eastAsia="Arial" w:hAnsi="Arial"/>
                <w:sz w:val="41"/>
                <w:szCs w:val="41"/>
                <w:b w:val="1"/>
                <w:bCs w:val="1"/>
                <w:color w:val="A6A6A6"/>
              </w:rPr>
              <w:t>PROJECTED</w:t>
            </w:r>
          </w:p>
        </w:tc>
        <w:tc>
          <w:tcPr>
            <w:tcW w:w="4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3740" w:type="dxa"/>
            <w:vAlign w:val="bottom"/>
          </w:tcPr>
          <w:p>
            <w:pPr>
              <w:jc w:val="center"/>
              <w:ind w:right="1014"/>
              <w:spacing w:after="0"/>
              <w:rPr>
                <w:sz w:val="20"/>
                <w:szCs w:val="20"/>
                <w:color w:val="auto"/>
              </w:rPr>
            </w:pPr>
            <w:r>
              <w:rPr>
                <w:rFonts w:ascii="Arial" w:cs="Arial" w:eastAsia="Arial" w:hAnsi="Arial"/>
                <w:sz w:val="41"/>
                <w:szCs w:val="41"/>
                <w:b w:val="1"/>
                <w:bCs w:val="1"/>
                <w:color w:val="A6A6A6"/>
              </w:rPr>
              <w:t>GROWTH</w:t>
            </w:r>
          </w:p>
        </w:tc>
        <w:tc>
          <w:tcPr>
            <w:tcW w:w="4020" w:type="dxa"/>
            <w:vAlign w:val="bottom"/>
            <w:vMerge w:val="restart"/>
          </w:tcPr>
          <w:p>
            <w:pPr>
              <w:ind w:left="1220"/>
              <w:spacing w:after="0"/>
              <w:rPr>
                <w:sz w:val="20"/>
                <w:szCs w:val="20"/>
                <w:color w:val="auto"/>
              </w:rPr>
            </w:pPr>
            <w:r>
              <w:rPr>
                <w:rFonts w:ascii="Arial" w:cs="Arial" w:eastAsia="Arial" w:hAnsi="Arial"/>
                <w:sz w:val="34"/>
                <w:szCs w:val="34"/>
                <w:color w:val="BFBFBF"/>
              </w:rPr>
              <w:t>CY 2014 Outlook:</w:t>
            </w:r>
          </w:p>
        </w:tc>
        <w:tc>
          <w:tcPr>
            <w:tcW w:w="1340" w:type="dxa"/>
            <w:vAlign w:val="bottom"/>
            <w:vMerge w:val="restart"/>
          </w:tcPr>
          <w:p>
            <w:pPr>
              <w:ind w:left="120"/>
              <w:spacing w:after="0"/>
              <w:rPr>
                <w:sz w:val="20"/>
                <w:szCs w:val="20"/>
                <w:color w:val="auto"/>
              </w:rPr>
            </w:pPr>
            <w:r>
              <w:rPr>
                <w:rFonts w:ascii="Arial" w:cs="Arial" w:eastAsia="Arial" w:hAnsi="Arial"/>
                <w:sz w:val="44"/>
                <w:szCs w:val="44"/>
                <w:b w:val="1"/>
                <w:bCs w:val="1"/>
                <w:color w:val="FFFFFF"/>
                <w:w w:val="98"/>
              </w:rPr>
              <w:t>17.5M</w:t>
            </w:r>
          </w:p>
        </w:tc>
        <w:tc>
          <w:tcPr>
            <w:tcW w:w="0" w:type="dxa"/>
            <w:vAlign w:val="bottom"/>
          </w:tcPr>
          <w:p>
            <w:pPr>
              <w:spacing w:after="0"/>
              <w:rPr>
                <w:sz w:val="1"/>
                <w:szCs w:val="1"/>
                <w:color w:val="auto"/>
              </w:rPr>
            </w:pPr>
          </w:p>
        </w:tc>
      </w:tr>
      <w:tr>
        <w:trPr>
          <w:trHeight w:val="218"/>
        </w:trPr>
        <w:tc>
          <w:tcPr>
            <w:tcW w:w="3740" w:type="dxa"/>
            <w:vAlign w:val="bottom"/>
          </w:tcPr>
          <w:p>
            <w:pPr>
              <w:spacing w:after="0"/>
              <w:rPr>
                <w:sz w:val="18"/>
                <w:szCs w:val="18"/>
                <w:color w:val="auto"/>
              </w:rPr>
            </w:pPr>
          </w:p>
        </w:tc>
        <w:tc>
          <w:tcPr>
            <w:tcW w:w="402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ind w:left="1320"/>
        <w:spacing w:after="0"/>
        <w:rPr>
          <w:sz w:val="20"/>
          <w:szCs w:val="20"/>
          <w:color w:val="auto"/>
        </w:rPr>
      </w:pPr>
      <w:r>
        <w:rPr>
          <w:rFonts w:ascii="Arial" w:cs="Arial" w:eastAsia="Arial" w:hAnsi="Arial"/>
          <w:sz w:val="91"/>
          <w:szCs w:val="91"/>
          <w:b w:val="1"/>
          <w:bCs w:val="1"/>
          <w:color w:val="FFFFFF"/>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0"/>
        <w:spacing w:after="0"/>
        <w:tabs>
          <w:tab w:leader="none" w:pos="5240" w:val="left"/>
        </w:tabs>
        <w:rPr>
          <w:sz w:val="20"/>
          <w:szCs w:val="20"/>
          <w:color w:val="auto"/>
        </w:rPr>
      </w:pPr>
      <w:r>
        <w:rPr>
          <w:rFonts w:ascii="Arial" w:cs="Arial" w:eastAsia="Arial" w:hAnsi="Arial"/>
          <w:sz w:val="38"/>
          <w:szCs w:val="38"/>
          <w:b w:val="1"/>
          <w:bCs w:val="1"/>
          <w:color w:val="FFFFFF"/>
        </w:rPr>
        <w:t>2010 – 2014</w:t>
      </w:r>
      <w:r>
        <w:rPr>
          <w:sz w:val="20"/>
          <w:szCs w:val="20"/>
          <w:color w:val="auto"/>
        </w:rPr>
        <w:tab/>
      </w:r>
      <w:r>
        <w:rPr>
          <w:rFonts w:ascii="Arial" w:cs="Arial" w:eastAsia="Arial" w:hAnsi="Arial"/>
          <w:sz w:val="34"/>
          <w:szCs w:val="34"/>
          <w:color w:val="BFBFBF"/>
        </w:rPr>
        <w:t xml:space="preserve">CY 2010 Outlook:  </w:t>
      </w:r>
      <w:r>
        <w:rPr>
          <w:rFonts w:ascii="Arial" w:cs="Arial" w:eastAsia="Arial" w:hAnsi="Arial"/>
          <w:sz w:val="43"/>
          <w:szCs w:val="43"/>
          <w:b w:val="1"/>
          <w:bCs w:val="1"/>
          <w:color w:val="FFFFFF"/>
        </w:rPr>
        <w:t>12.0M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FFFFFF"/>
        </w:rPr>
        <w:t>Source: Global Insight</w:t>
      </w:r>
    </w:p>
    <w:p>
      <w:pPr>
        <w:sectPr>
          <w:pgSz w:w="11900" w:h="16838" w:orient="portrait"/>
          <w:cols w:equalWidth="0" w:num="1">
            <w:col w:w="10020"/>
          </w:cols>
          <w:pgMar w:left="720" w:top="1440" w:right="1159" w:bottom="1440" w:gutter="0" w:footer="0" w:header="0"/>
        </w:sectPr>
      </w:pPr>
    </w:p>
    <w:bookmarkStart w:id="39" w:name="page40"/>
    <w:bookmarkEnd w:id="39"/>
    <w:p>
      <w:pPr>
        <w:spacing w:after="0"/>
        <w:rPr>
          <w:sz w:val="20"/>
          <w:szCs w:val="20"/>
          <w:color w:val="auto"/>
        </w:rPr>
      </w:pPr>
      <w:r>
        <w:rPr>
          <w:rFonts w:ascii="Arial" w:cs="Arial" w:eastAsia="Arial" w:hAnsi="Arial"/>
          <w:sz w:val="56"/>
          <w:szCs w:val="56"/>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CONTINUED PRODUCT OFFENSIVE</w:t>
      </w:r>
    </w:p>
    <w:p>
      <w:pPr>
        <w:sectPr>
          <w:pgSz w:w="11900" w:h="16838" w:orient="portrait"/>
          <w:cols w:equalWidth="0" w:num="1">
            <w:col w:w="9680"/>
          </w:cols>
          <w:pgMar w:left="1040" w:top="1003" w:right="1179" w:bottom="1440" w:gutter="0" w:footer="0" w:header="0"/>
        </w:sectPr>
      </w:pPr>
    </w:p>
    <w:bookmarkStart w:id="40" w:name="page41"/>
    <w:bookmarkEnd w:id="40"/>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ind w:left="1800"/>
        <w:spacing w:after="0"/>
        <w:rPr>
          <w:sz w:val="20"/>
          <w:szCs w:val="20"/>
          <w:color w:val="auto"/>
        </w:rPr>
      </w:pPr>
      <w:r>
        <w:rPr>
          <w:rFonts w:ascii="Arial" w:cs="Arial" w:eastAsia="Arial" w:hAnsi="Arial"/>
          <w:sz w:val="62"/>
          <w:szCs w:val="62"/>
          <w:b w:val="1"/>
          <w:bCs w:val="1"/>
          <w:color w:val="FFFFFF"/>
        </w:rPr>
        <w:t>U.S. DEALER STRATEGY</w:t>
      </w:r>
    </w:p>
    <w:p>
      <w:pPr>
        <w:spacing w:after="0" w:line="200" w:lineRule="exact"/>
        <w:rPr>
          <w:sz w:val="20"/>
          <w:szCs w:val="20"/>
          <w:color w:val="auto"/>
        </w:rPr>
      </w:pPr>
    </w:p>
    <w:p>
      <w:pPr>
        <w:spacing w:after="0" w:line="242" w:lineRule="exact"/>
        <w:rPr>
          <w:sz w:val="20"/>
          <w:szCs w:val="20"/>
          <w:color w:val="auto"/>
        </w:rPr>
      </w:pPr>
    </w:p>
    <w:p>
      <w:pPr>
        <w:ind w:left="2560" w:hanging="697"/>
        <w:spacing w:after="0"/>
        <w:tabs>
          <w:tab w:leader="none" w:pos="2560" w:val="left"/>
        </w:tabs>
        <w:numPr>
          <w:ilvl w:val="0"/>
          <w:numId w:val="4"/>
        </w:numPr>
        <w:rPr>
          <w:rFonts w:ascii="Arial" w:cs="Arial" w:eastAsia="Arial" w:hAnsi="Arial"/>
          <w:sz w:val="41"/>
          <w:szCs w:val="41"/>
          <w:color w:val="B2D0FF"/>
        </w:rPr>
      </w:pPr>
      <w:r>
        <w:rPr>
          <w:rFonts w:ascii="Arial" w:cs="Arial" w:eastAsia="Arial" w:hAnsi="Arial"/>
          <w:sz w:val="47"/>
          <w:szCs w:val="47"/>
          <w:color w:val="FFFFFF"/>
        </w:rPr>
        <w:t>Retain strong performers</w:t>
      </w:r>
    </w:p>
    <w:p>
      <w:pPr>
        <w:spacing w:after="0" w:line="270" w:lineRule="exact"/>
        <w:rPr>
          <w:rFonts w:ascii="Arial" w:cs="Arial" w:eastAsia="Arial" w:hAnsi="Arial"/>
          <w:sz w:val="41"/>
          <w:szCs w:val="41"/>
          <w:color w:val="B2D0FF"/>
        </w:rPr>
      </w:pPr>
    </w:p>
    <w:p>
      <w:pPr>
        <w:ind w:left="2560" w:hanging="697"/>
        <w:spacing w:after="0"/>
        <w:tabs>
          <w:tab w:leader="none" w:pos="2560" w:val="left"/>
        </w:tabs>
        <w:numPr>
          <w:ilvl w:val="0"/>
          <w:numId w:val="4"/>
        </w:numPr>
        <w:rPr>
          <w:rFonts w:ascii="Arial" w:cs="Arial" w:eastAsia="Arial" w:hAnsi="Arial"/>
          <w:sz w:val="41"/>
          <w:szCs w:val="41"/>
          <w:color w:val="B2D0FF"/>
        </w:rPr>
      </w:pPr>
      <w:r>
        <w:rPr>
          <w:rFonts w:ascii="Arial" w:cs="Arial" w:eastAsia="Arial" w:hAnsi="Arial"/>
          <w:sz w:val="47"/>
          <w:szCs w:val="47"/>
          <w:color w:val="FFFFFF"/>
        </w:rPr>
        <w:t>Strategically align franchise points</w:t>
      </w:r>
    </w:p>
    <w:p>
      <w:pPr>
        <w:spacing w:after="0" w:line="270" w:lineRule="exact"/>
        <w:rPr>
          <w:rFonts w:ascii="Arial" w:cs="Arial" w:eastAsia="Arial" w:hAnsi="Arial"/>
          <w:sz w:val="41"/>
          <w:szCs w:val="41"/>
          <w:color w:val="B2D0FF"/>
        </w:rPr>
      </w:pPr>
    </w:p>
    <w:p>
      <w:pPr>
        <w:ind w:left="2560" w:hanging="697"/>
        <w:spacing w:after="0"/>
        <w:tabs>
          <w:tab w:leader="none" w:pos="2560" w:val="left"/>
        </w:tabs>
        <w:numPr>
          <w:ilvl w:val="0"/>
          <w:numId w:val="4"/>
        </w:numPr>
        <w:rPr>
          <w:rFonts w:ascii="Arial" w:cs="Arial" w:eastAsia="Arial" w:hAnsi="Arial"/>
          <w:sz w:val="41"/>
          <w:szCs w:val="41"/>
          <w:color w:val="B2D0FF"/>
        </w:rPr>
      </w:pPr>
      <w:r>
        <w:rPr>
          <w:rFonts w:ascii="Arial" w:cs="Arial" w:eastAsia="Arial" w:hAnsi="Arial"/>
          <w:sz w:val="47"/>
          <w:szCs w:val="47"/>
          <w:color w:val="FFFFFF"/>
        </w:rPr>
        <w:t>Support facility improvements</w:t>
      </w:r>
    </w:p>
    <w:p>
      <w:pPr>
        <w:spacing w:after="0" w:line="282" w:lineRule="exact"/>
        <w:rPr>
          <w:rFonts w:ascii="Arial" w:cs="Arial" w:eastAsia="Arial" w:hAnsi="Arial"/>
          <w:sz w:val="41"/>
          <w:szCs w:val="41"/>
          <w:color w:val="B2D0FF"/>
        </w:rPr>
      </w:pPr>
    </w:p>
    <w:p>
      <w:pPr>
        <w:ind w:left="2560" w:right="1580" w:hanging="697"/>
        <w:spacing w:after="0" w:line="263" w:lineRule="auto"/>
        <w:tabs>
          <w:tab w:leader="none" w:pos="2560" w:val="left"/>
        </w:tabs>
        <w:numPr>
          <w:ilvl w:val="0"/>
          <w:numId w:val="4"/>
        </w:numPr>
        <w:rPr>
          <w:rFonts w:ascii="Arial" w:cs="Arial" w:eastAsia="Arial" w:hAnsi="Arial"/>
          <w:sz w:val="41"/>
          <w:szCs w:val="41"/>
          <w:color w:val="B2D0FF"/>
        </w:rPr>
      </w:pPr>
      <w:r>
        <w:rPr>
          <w:rFonts w:ascii="Arial" w:cs="Arial" w:eastAsia="Arial" w:hAnsi="Arial"/>
          <w:sz w:val="47"/>
          <w:szCs w:val="47"/>
          <w:color w:val="FFFFFF"/>
        </w:rPr>
        <w:t>Improved sales, share and profitability</w:t>
      </w:r>
    </w:p>
    <w:p>
      <w:pPr>
        <w:sectPr>
          <w:pgSz w:w="11900" w:h="16838" w:orient="portrait"/>
          <w:cols w:equalWidth="0" w:num="1">
            <w:col w:w="9680"/>
          </w:cols>
          <w:pgMar w:left="1440" w:top="1440" w:right="779" w:bottom="1440" w:gutter="0" w:footer="0" w:header="0"/>
        </w:sectPr>
      </w:pPr>
    </w:p>
    <w:bookmarkStart w:id="41" w:name="page42"/>
    <w:bookmarkEnd w:id="41"/>
    <w:p>
      <w:pPr>
        <w:spacing w:after="0" w:line="263" w:lineRule="auto"/>
        <w:tabs>
          <w:tab w:leader="none" w:pos="25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2019-12-11T05:21:38Z</dcterms:created>
  <dcterms:modified xsi:type="dcterms:W3CDTF">2019-12-11T05:21:38Z</dcterms:modified>
</cp:coreProperties>
</file>