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WENIG DEVIN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482-C23-A68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rPr>
                <w:sz w:val="20"/>
                <w:szCs w:val="20"/>
                <w:color w:val="auto"/>
              </w:rPr>
            </w:pPr>
            <w:r>
              <w:rPr>
                <w:rFonts w:ascii="Arial" w:cs="Arial" w:eastAsia="Arial" w:hAnsi="Arial"/>
                <w:sz w:val="14"/>
                <w:szCs w:val="14"/>
                <w:color w:val="0000FF"/>
              </w:rPr>
              <w:t>5,803</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5,803</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5,803</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rPr>
                <w:sz w:val="20"/>
                <w:szCs w:val="20"/>
                <w:color w:val="auto"/>
              </w:rPr>
            </w:pPr>
            <w:r>
              <w:rPr>
                <w:rFonts w:ascii="Arial" w:cs="Arial" w:eastAsia="Arial" w:hAnsi="Arial"/>
                <w:sz w:val="14"/>
                <w:szCs w:val="14"/>
                <w:color w:val="0000FF"/>
              </w:rPr>
              <w:t>125</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125</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5,928</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pro-rated for a partial year of service and converted to DSUs based on the average closing price of the Companys Common Stock during the period of service, which was $36.84.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Tia Y. Turk, attorney-in-fact </w:t>
      </w:r>
      <w:r>
        <w:rPr>
          <w:rFonts w:ascii="Arial" w:cs="Arial" w:eastAsia="Arial" w:hAnsi="Arial"/>
          <w:sz w:val="35"/>
          <w:szCs w:val="35"/>
          <w:color w:val="0000FF"/>
          <w:vertAlign w:val="subscript"/>
        </w:rPr>
        <w:t>01/03/2019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for Mr.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631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318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98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2019-12-24T07:28:46Z</dcterms:created>
  <dcterms:modified xsi:type="dcterms:W3CDTF">2019-12-24T07:28:46Z</dcterms:modified>
</cp:coreProperties>
</file>