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130810</wp:posOffset>
            </wp:positionH>
            <wp:positionV relativeFrom="page">
              <wp:posOffset>398145</wp:posOffset>
            </wp:positionV>
            <wp:extent cx="729996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960" cy="3937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20549-1004</w:t>
      </w:r>
    </w:p>
    <w:p>
      <w:pPr>
        <w:spacing w:after="0" w:line="11" w:lineRule="exact"/>
        <w:rPr>
          <w:sz w:val="24"/>
          <w:szCs w:val="24"/>
          <w:color w:val="auto"/>
        </w:rPr>
      </w:pPr>
    </w:p>
    <w:p>
      <w:pPr>
        <w:ind w:left="4920"/>
        <w:spacing w:after="0"/>
        <w:rPr>
          <w:sz w:val="20"/>
          <w:szCs w:val="20"/>
          <w:color w:val="auto"/>
        </w:rPr>
      </w:pPr>
      <w:r>
        <w:rPr>
          <w:rFonts w:ascii="Arial" w:cs="Arial" w:eastAsia="Arial" w:hAnsi="Arial"/>
          <w:sz w:val="17"/>
          <w:szCs w:val="17"/>
          <w:color w:val="auto"/>
        </w:rPr>
        <w:t>___________________</w:t>
      </w:r>
    </w:p>
    <w:p>
      <w:pPr>
        <w:spacing w:after="0" w:line="150" w:lineRule="exact"/>
        <w:rPr>
          <w:sz w:val="24"/>
          <w:szCs w:val="24"/>
          <w:color w:val="auto"/>
        </w:rPr>
      </w:pPr>
    </w:p>
    <w:p>
      <w:pPr>
        <w:jc w:val="center"/>
        <w:ind w:right="-259"/>
        <w:spacing w:after="0"/>
        <w:rPr>
          <w:sz w:val="20"/>
          <w:szCs w:val="20"/>
          <w:color w:val="auto"/>
        </w:rPr>
      </w:pPr>
      <w:r>
        <w:rPr>
          <w:rFonts w:ascii="Arial" w:cs="Arial" w:eastAsia="Arial" w:hAnsi="Arial"/>
          <w:sz w:val="26"/>
          <w:szCs w:val="26"/>
          <w:b w:val="1"/>
          <w:bCs w:val="1"/>
          <w:color w:val="auto"/>
        </w:rPr>
        <w:t>FORM 8-K</w:t>
      </w:r>
    </w:p>
    <w:p>
      <w:pPr>
        <w:spacing w:after="0" w:line="34" w:lineRule="exact"/>
        <w:rPr>
          <w:sz w:val="24"/>
          <w:szCs w:val="24"/>
          <w:color w:val="auto"/>
        </w:rPr>
      </w:pPr>
    </w:p>
    <w:p>
      <w:pPr>
        <w:ind w:left="4920"/>
        <w:spacing w:after="0"/>
        <w:rPr>
          <w:sz w:val="20"/>
          <w:szCs w:val="20"/>
          <w:color w:val="auto"/>
        </w:rPr>
      </w:pPr>
      <w:r>
        <w:rPr>
          <w:rFonts w:ascii="Arial" w:cs="Arial" w:eastAsia="Arial" w:hAnsi="Arial"/>
          <w:sz w:val="17"/>
          <w:szCs w:val="17"/>
          <w:color w:val="auto"/>
        </w:rPr>
        <w:t>___________________</w:t>
      </w:r>
    </w:p>
    <w:p>
      <w:pPr>
        <w:spacing w:after="0" w:line="162"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5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Report (Date of earliest event reported) February 5, 2020</w:t>
      </w:r>
    </w:p>
    <w:p>
      <w:pPr>
        <w:spacing w:after="0" w:line="25" w:lineRule="exact"/>
        <w:rPr>
          <w:sz w:val="24"/>
          <w:szCs w:val="24"/>
          <w:color w:val="auto"/>
        </w:rPr>
      </w:pPr>
    </w:p>
    <w:p>
      <w:pPr>
        <w:ind w:left="4920"/>
        <w:spacing w:after="0"/>
        <w:rPr>
          <w:sz w:val="20"/>
          <w:szCs w:val="20"/>
          <w:color w:val="auto"/>
        </w:rPr>
      </w:pPr>
      <w:r>
        <w:rPr>
          <w:rFonts w:ascii="Arial" w:cs="Arial" w:eastAsia="Arial" w:hAnsi="Arial"/>
          <w:sz w:val="17"/>
          <w:szCs w:val="17"/>
          <w:color w:val="auto"/>
        </w:rPr>
        <w:t>___________________</w:t>
      </w:r>
    </w:p>
    <w:p>
      <w:pPr>
        <w:spacing w:after="0" w:line="19" w:lineRule="exact"/>
        <w:rPr>
          <w:sz w:val="24"/>
          <w:szCs w:val="24"/>
          <w:color w:val="auto"/>
        </w:rPr>
      </w:pPr>
    </w:p>
    <w:p>
      <w:pPr>
        <w:jc w:val="center"/>
        <w:ind w:right="-259"/>
        <w:spacing w:after="0"/>
        <w:rPr>
          <w:sz w:val="20"/>
          <w:szCs w:val="20"/>
          <w:color w:val="auto"/>
        </w:rPr>
      </w:pPr>
      <w:r>
        <w:rPr>
          <w:rFonts w:ascii="Arial" w:cs="Arial" w:eastAsia="Arial" w:hAnsi="Arial"/>
          <w:sz w:val="34"/>
          <w:szCs w:val="34"/>
          <w:b w:val="1"/>
          <w:bCs w:val="1"/>
          <w:color w:val="auto"/>
        </w:rPr>
        <w:t>GENERAL MOTORS COMPANY</w:t>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4960"/>
        <w:spacing w:after="0"/>
        <w:rPr>
          <w:sz w:val="20"/>
          <w:szCs w:val="20"/>
          <w:color w:val="auto"/>
        </w:rPr>
      </w:pPr>
      <w:r>
        <w:rPr>
          <w:rFonts w:ascii="Arial" w:cs="Arial" w:eastAsia="Arial" w:hAnsi="Arial"/>
          <w:sz w:val="17"/>
          <w:szCs w:val="17"/>
          <w:color w:val="auto"/>
        </w:rPr>
        <w:t>__________________</w:t>
      </w:r>
    </w:p>
    <w:p>
      <w:pPr>
        <w:sectPr>
          <w:pgSz w:w="11900" w:h="16838" w:orient="portrait"/>
          <w:cols w:equalWidth="0" w:num="1">
            <w:col w:w="11220"/>
          </w:cols>
          <w:pgMar w:left="220" w:top="887" w:right="459" w:bottom="1440" w:gutter="0" w:footer="0" w:header="0"/>
        </w:sectPr>
      </w:pPr>
    </w:p>
    <w:p>
      <w:pPr>
        <w:spacing w:after="0" w:line="125" w:lineRule="exact"/>
        <w:rPr>
          <w:sz w:val="24"/>
          <w:szCs w:val="24"/>
          <w:color w:val="auto"/>
        </w:rPr>
      </w:pPr>
    </w:p>
    <w:p>
      <w:pPr>
        <w:ind w:left="184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2220"/>
        <w:spacing w:after="0"/>
        <w:rPr>
          <w:sz w:val="20"/>
          <w:szCs w:val="20"/>
          <w:color w:val="auto"/>
        </w:rPr>
      </w:pPr>
      <w:r>
        <w:rPr>
          <w:rFonts w:ascii="Arial" w:cs="Arial" w:eastAsia="Arial" w:hAnsi="Arial"/>
          <w:sz w:val="12"/>
          <w:szCs w:val="12"/>
          <w:b w:val="1"/>
          <w:bCs w:val="1"/>
          <w:color w:val="auto"/>
        </w:rPr>
        <w:t>001-34960</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70" w:lineRule="exact"/>
        <w:rPr>
          <w:sz w:val="24"/>
          <w:szCs w:val="24"/>
          <w:color w:val="auto"/>
        </w:rPr>
      </w:pPr>
    </w:p>
    <w:p>
      <w:pPr>
        <w:sectPr>
          <w:pgSz w:w="11900" w:h="16838" w:orient="portrait"/>
          <w:cols w:equalWidth="0" w:num="3">
            <w:col w:w="4940" w:space="720"/>
            <w:col w:w="2840" w:space="720"/>
            <w:col w:w="2000"/>
          </w:cols>
          <w:pgMar w:left="220" w:top="887" w:right="45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70" w:lineRule="exact"/>
        <w:rPr>
          <w:sz w:val="24"/>
          <w:szCs w:val="24"/>
          <w:color w:val="auto"/>
        </w:rPr>
      </w:pPr>
    </w:p>
    <w:p>
      <w:pPr>
        <w:sectPr>
          <w:pgSz w:w="11900" w:h="16838" w:orient="portrait"/>
          <w:cols w:equalWidth="0" w:num="3">
            <w:col w:w="4460" w:space="720"/>
            <w:col w:w="2640" w:space="720"/>
            <w:col w:w="2680"/>
          </w:cols>
          <w:pgMar w:left="220" w:top="887" w:right="4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300 Renaissance Center,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b w:val="1"/>
          <w:bCs w:val="1"/>
          <w:color w:val="auto"/>
        </w:rPr>
        <w:t>Detroit,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48265 -3000</w:t>
      </w:r>
    </w:p>
    <w:p>
      <w:pPr>
        <w:spacing w:after="0" w:line="70" w:lineRule="exact"/>
        <w:rPr>
          <w:sz w:val="24"/>
          <w:szCs w:val="24"/>
          <w:color w:val="auto"/>
        </w:rPr>
      </w:pPr>
    </w:p>
    <w:p>
      <w:pPr>
        <w:sectPr>
          <w:pgSz w:w="11900" w:h="16838" w:orient="portrait"/>
          <w:cols w:equalWidth="0" w:num="4">
            <w:col w:w="3100" w:space="240"/>
            <w:col w:w="480" w:space="240"/>
            <w:col w:w="3880" w:space="720"/>
            <w:col w:w="2560"/>
          </w:cols>
          <w:pgMar w:left="220" w:top="887" w:right="459" w:bottom="1440" w:gutter="0" w:footer="0" w:header="0"/>
          <w:type w:val="continuous"/>
        </w:sectPr>
      </w:pPr>
    </w:p>
    <w:p>
      <w:pPr>
        <w:ind w:left="22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8000" w:space="720"/>
            <w:col w:w="2500"/>
          </w:cols>
          <w:pgMar w:left="220" w:top="887" w:right="459" w:bottom="1440" w:gutter="0" w:footer="0" w:header="0"/>
          <w:type w:val="continuous"/>
        </w:sectPr>
      </w:pPr>
    </w:p>
    <w:p>
      <w:pPr>
        <w:spacing w:after="0" w:line="13"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(313) 667-1500</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(Registrant's telephone number, including area code)</w:t>
      </w:r>
    </w:p>
    <w:p>
      <w:pPr>
        <w:spacing w:after="0" w:line="170"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Not Applicable</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1" w:lineRule="exact"/>
        <w:rPr>
          <w:sz w:val="24"/>
          <w:szCs w:val="24"/>
          <w:color w:val="auto"/>
        </w:rPr>
      </w:pPr>
    </w:p>
    <w:p>
      <w:pPr>
        <w:ind w:left="4960"/>
        <w:spacing w:after="0"/>
        <w:rPr>
          <w:sz w:val="20"/>
          <w:szCs w:val="20"/>
          <w:color w:val="auto"/>
        </w:rPr>
      </w:pPr>
      <w:r>
        <w:rPr>
          <w:rFonts w:ascii="Arial" w:cs="Arial" w:eastAsia="Arial" w:hAnsi="Arial"/>
          <w:sz w:val="17"/>
          <w:szCs w:val="17"/>
          <w:color w:val="auto"/>
        </w:rPr>
        <w:t>__________________</w:t>
      </w:r>
    </w:p>
    <w:p>
      <w:pPr>
        <w:spacing w:after="0" w:line="176"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77" w:lineRule="exact"/>
        <w:rPr>
          <w:sz w:val="24"/>
          <w:szCs w:val="24"/>
          <w:color w:val="auto"/>
        </w:rPr>
      </w:pPr>
    </w:p>
    <w:tbl>
      <w:tblPr>
        <w:tblLayout w:type="fixed"/>
        <w:tblInd w:w="1580" w:type="dxa"/>
        <w:tblCellMar>
          <w:top w:w="0" w:type="dxa"/>
          <w:left w:w="0" w:type="dxa"/>
          <w:bottom w:w="0" w:type="dxa"/>
          <w:right w:w="0" w:type="dxa"/>
        </w:tblCellMar>
      </w:tblPr>
      <w:tr>
        <w:trPr>
          <w:trHeight w:val="163"/>
        </w:trPr>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20" w:type="dxa"/>
            <w:vAlign w:val="bottom"/>
            <w:gridSpan w:val="3"/>
          </w:tcPr>
          <w:p>
            <w:pPr>
              <w:jc w:val="center"/>
              <w:ind w:left="95"/>
              <w:spacing w:after="0"/>
              <w:rPr>
                <w:sz w:val="20"/>
                <w:szCs w:val="20"/>
                <w:color w:val="auto"/>
              </w:rPr>
            </w:pPr>
            <w:r>
              <w:rPr>
                <w:rFonts w:ascii="Arial" w:cs="Arial" w:eastAsia="Arial" w:hAnsi="Arial"/>
                <w:sz w:val="13"/>
                <w:szCs w:val="13"/>
                <w:color w:val="auto"/>
                <w:w w:val="90"/>
              </w:rPr>
              <w:t>Securities registered pursuant to Section 12(b) of the Act:</w:t>
            </w:r>
          </w:p>
        </w:tc>
        <w:tc>
          <w:tcPr>
            <w:tcW w:w="3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53"/>
        </w:trPr>
        <w:tc>
          <w:tcPr>
            <w:tcW w:w="360" w:type="dxa"/>
            <w:vAlign w:val="bottom"/>
          </w:tcPr>
          <w:p>
            <w:pPr>
              <w:spacing w:after="0"/>
              <w:rPr>
                <w:sz w:val="21"/>
                <w:szCs w:val="21"/>
                <w:color w:val="auto"/>
              </w:rPr>
            </w:pPr>
          </w:p>
        </w:tc>
        <w:tc>
          <w:tcPr>
            <w:tcW w:w="1800" w:type="dxa"/>
            <w:vAlign w:val="bottom"/>
            <w:gridSpan w:val="2"/>
          </w:tcPr>
          <w:p>
            <w:pPr>
              <w:jc w:val="center"/>
              <w:ind w:right="860"/>
              <w:spacing w:after="0"/>
              <w:rPr>
                <w:sz w:val="20"/>
                <w:szCs w:val="20"/>
                <w:color w:val="auto"/>
              </w:rPr>
            </w:pPr>
            <w:r>
              <w:rPr>
                <w:rFonts w:ascii="Arial" w:cs="Arial" w:eastAsia="Arial" w:hAnsi="Arial"/>
                <w:sz w:val="13"/>
                <w:szCs w:val="13"/>
                <w:color w:val="auto"/>
                <w:w w:val="90"/>
              </w:rPr>
              <w:t>Title of each class</w:t>
            </w:r>
          </w:p>
        </w:tc>
        <w:tc>
          <w:tcPr>
            <w:tcW w:w="3820" w:type="dxa"/>
            <w:vAlign w:val="bottom"/>
            <w:gridSpan w:val="3"/>
          </w:tcPr>
          <w:p>
            <w:pPr>
              <w:jc w:val="center"/>
              <w:ind w:left="115"/>
              <w:spacing w:after="0"/>
              <w:rPr>
                <w:sz w:val="20"/>
                <w:szCs w:val="20"/>
                <w:color w:val="auto"/>
              </w:rPr>
            </w:pPr>
            <w:r>
              <w:rPr>
                <w:rFonts w:ascii="Arial" w:cs="Arial" w:eastAsia="Arial" w:hAnsi="Arial"/>
                <w:sz w:val="13"/>
                <w:szCs w:val="13"/>
                <w:color w:val="auto"/>
                <w:w w:val="90"/>
              </w:rPr>
              <w:t>Trading Symbol(s)</w:t>
            </w:r>
          </w:p>
        </w:tc>
        <w:tc>
          <w:tcPr>
            <w:tcW w:w="2640" w:type="dxa"/>
            <w:vAlign w:val="bottom"/>
            <w:gridSpan w:val="2"/>
          </w:tcPr>
          <w:p>
            <w:pPr>
              <w:jc w:val="center"/>
              <w:ind w:left="295"/>
              <w:spacing w:after="0"/>
              <w:rPr>
                <w:sz w:val="20"/>
                <w:szCs w:val="20"/>
                <w:color w:val="auto"/>
              </w:rPr>
            </w:pPr>
            <w:r>
              <w:rPr>
                <w:rFonts w:ascii="Arial" w:cs="Arial" w:eastAsia="Arial" w:hAnsi="Arial"/>
                <w:sz w:val="13"/>
                <w:szCs w:val="13"/>
                <w:color w:val="auto"/>
                <w:w w:val="88"/>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212"/>
        </w:trPr>
        <w:tc>
          <w:tcPr>
            <w:tcW w:w="2160" w:type="dxa"/>
            <w:vAlign w:val="bottom"/>
            <w:gridSpan w:val="3"/>
          </w:tcPr>
          <w:p>
            <w:pPr>
              <w:jc w:val="center"/>
              <w:ind w:right="480"/>
              <w:spacing w:after="0"/>
              <w:rPr>
                <w:sz w:val="20"/>
                <w:szCs w:val="20"/>
                <w:color w:val="auto"/>
              </w:rPr>
            </w:pPr>
            <w:r>
              <w:rPr>
                <w:rFonts w:ascii="Arial" w:cs="Arial" w:eastAsia="Arial" w:hAnsi="Arial"/>
                <w:sz w:val="13"/>
                <w:szCs w:val="13"/>
                <w:color w:val="auto"/>
                <w:w w:val="90"/>
              </w:rPr>
              <w:t>Common Stock, $0.01 par value</w:t>
            </w:r>
          </w:p>
        </w:tc>
        <w:tc>
          <w:tcPr>
            <w:tcW w:w="1520" w:type="dxa"/>
            <w:vAlign w:val="bottom"/>
          </w:tcPr>
          <w:p>
            <w:pPr>
              <w:spacing w:after="0"/>
              <w:rPr>
                <w:sz w:val="18"/>
                <w:szCs w:val="18"/>
                <w:color w:val="auto"/>
              </w:rPr>
            </w:pPr>
          </w:p>
        </w:tc>
        <w:tc>
          <w:tcPr>
            <w:tcW w:w="2300" w:type="dxa"/>
            <w:vAlign w:val="bottom"/>
            <w:gridSpan w:val="2"/>
          </w:tcPr>
          <w:p>
            <w:pPr>
              <w:jc w:val="center"/>
              <w:ind w:right="1340"/>
              <w:spacing w:after="0"/>
              <w:rPr>
                <w:sz w:val="20"/>
                <w:szCs w:val="20"/>
                <w:color w:val="auto"/>
              </w:rPr>
            </w:pPr>
            <w:r>
              <w:rPr>
                <w:rFonts w:ascii="Arial" w:cs="Arial" w:eastAsia="Arial" w:hAnsi="Arial"/>
                <w:sz w:val="13"/>
                <w:szCs w:val="13"/>
                <w:color w:val="auto"/>
                <w:w w:val="95"/>
              </w:rPr>
              <w:t>GM</w:t>
            </w:r>
          </w:p>
        </w:tc>
        <w:tc>
          <w:tcPr>
            <w:tcW w:w="3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3"/>
                <w:szCs w:val="13"/>
                <w:color w:val="auto"/>
                <w:w w:val="90"/>
              </w:rPr>
              <w:t>New York Stock Exchange</w:t>
            </w:r>
          </w:p>
        </w:tc>
      </w:tr>
    </w:tbl>
    <w:p>
      <w:pPr>
        <w:spacing w:after="0" w:line="236" w:lineRule="exact"/>
        <w:rPr>
          <w:sz w:val="24"/>
          <w:szCs w:val="24"/>
          <w:color w:val="auto"/>
        </w:rPr>
      </w:pPr>
    </w:p>
    <w:p>
      <w:pPr>
        <w:ind w:right="520"/>
        <w:spacing w:after="0" w:line="164"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7"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22860</wp:posOffset>
            </wp:positionV>
            <wp:extent cx="729996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220"/>
          </w:cols>
          <w:pgMar w:left="220" w:top="887"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188" w:lineRule="exact"/>
        <w:rPr>
          <w:sz w:val="20"/>
          <w:szCs w:val="20"/>
          <w:color w:val="auto"/>
        </w:rPr>
      </w:pPr>
    </w:p>
    <w:p>
      <w:pPr>
        <w:ind w:firstLine="129"/>
        <w:spacing w:after="0" w:line="288" w:lineRule="auto"/>
        <w:rPr>
          <w:sz w:val="20"/>
          <w:szCs w:val="20"/>
          <w:color w:val="auto"/>
        </w:rPr>
      </w:pPr>
      <w:r>
        <w:rPr>
          <w:rFonts w:ascii="Arial" w:cs="Arial" w:eastAsia="Arial" w:hAnsi="Arial"/>
          <w:sz w:val="14"/>
          <w:szCs w:val="14"/>
          <w:color w:val="auto"/>
        </w:rPr>
        <w:t>On February 5, 2020 General Motors Company (GM) issued a news release and supplemental materials on the subject of its 2019 fourth quarter and full year consolidated earnings. The news release and supplemental materials are attached as Exhibit 99.1 and Exhibit 99.2.</w:t>
      </w:r>
    </w:p>
    <w:p>
      <w:pPr>
        <w:spacing w:after="0" w:line="131" w:lineRule="exact"/>
        <w:rPr>
          <w:sz w:val="20"/>
          <w:szCs w:val="20"/>
          <w:color w:val="auto"/>
        </w:rPr>
      </w:pPr>
    </w:p>
    <w:p>
      <w:pPr>
        <w:ind w:firstLine="129"/>
        <w:spacing w:after="0" w:line="288" w:lineRule="auto"/>
        <w:rPr>
          <w:sz w:val="20"/>
          <w:szCs w:val="20"/>
          <w:color w:val="auto"/>
        </w:rPr>
      </w:pPr>
      <w:r>
        <w:rPr>
          <w:rFonts w:ascii="Arial" w:cs="Arial" w:eastAsia="Arial" w:hAnsi="Arial"/>
          <w:sz w:val="14"/>
          <w:szCs w:val="14"/>
          <w:color w:val="auto"/>
        </w:rPr>
        <w:t>Charts furnished to securities analysts in connection with GM's 2019 fourth quarter and full year consolidated earnings release are available on GM's website at www.gm.com/investors/earnings-releases.html.</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r>
      <w:tr>
        <w:trPr>
          <w:trHeight w:val="454"/>
        </w:trPr>
        <w:tc>
          <w:tcPr>
            <w:tcW w:w="440" w:type="dxa"/>
            <w:vAlign w:val="bottom"/>
          </w:tcPr>
          <w:p>
            <w:pPr>
              <w:spacing w:after="0"/>
              <w:rPr>
                <w:sz w:val="20"/>
                <w:szCs w:val="20"/>
                <w:color w:val="auto"/>
              </w:rPr>
            </w:pPr>
            <w:r>
              <w:rPr>
                <w:rFonts w:ascii="Arial" w:cs="Arial" w:eastAsia="Arial" w:hAnsi="Arial"/>
                <w:sz w:val="14"/>
                <w:szCs w:val="14"/>
                <w:color w:val="auto"/>
                <w:w w:val="99"/>
              </w:rPr>
              <w:t>Exhibit</w:t>
            </w:r>
          </w:p>
        </w:tc>
        <w:tc>
          <w:tcPr>
            <w:tcW w:w="244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Arial" w:cs="Arial" w:eastAsia="Arial" w:hAnsi="Arial"/>
                <w:sz w:val="14"/>
                <w:szCs w:val="14"/>
                <w:color w:val="auto"/>
              </w:rPr>
              <w:t>Description</w:t>
            </w:r>
          </w:p>
        </w:tc>
        <w:tc>
          <w:tcPr>
            <w:tcW w:w="620" w:type="dxa"/>
            <w:vAlign w:val="bottom"/>
            <w:tcBorders>
              <w:top w:val="single" w:sz="8" w:color="auto"/>
            </w:tcBorders>
            <w:gridSpan w:val="2"/>
          </w:tcPr>
          <w:p>
            <w:pPr>
              <w:spacing w:after="0"/>
              <w:rPr>
                <w:sz w:val="24"/>
                <w:szCs w:val="24"/>
                <w:color w:val="auto"/>
              </w:rPr>
            </w:pPr>
          </w:p>
        </w:tc>
        <w:tc>
          <w:tcPr>
            <w:tcW w:w="1460" w:type="dxa"/>
            <w:vAlign w:val="bottom"/>
          </w:tcPr>
          <w:p>
            <w:pPr>
              <w:spacing w:after="0"/>
              <w:rPr>
                <w:sz w:val="24"/>
                <w:szCs w:val="24"/>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r>
      <w:tr>
        <w:trPr>
          <w:trHeight w:val="454"/>
        </w:trPr>
        <w:tc>
          <w:tcPr>
            <w:tcW w:w="288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4600" w:type="dxa"/>
            <w:vAlign w:val="bottom"/>
            <w:gridSpan w:val="6"/>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News Release Dated February 5, 2020</w:t>
              </w:r>
            </w:hyperlink>
          </w:p>
        </w:tc>
      </w:tr>
      <w:tr>
        <w:trPr>
          <w:trHeight w:val="20"/>
        </w:trPr>
        <w:tc>
          <w:tcPr>
            <w:tcW w:w="2880" w:type="dxa"/>
            <w:vAlign w:val="bottom"/>
            <w:gridSpan w:val="2"/>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r>
      <w:tr>
        <w:trPr>
          <w:trHeight w:val="196"/>
        </w:trPr>
        <w:tc>
          <w:tcPr>
            <w:tcW w:w="288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2580" w:type="dxa"/>
            <w:vAlign w:val="bottom"/>
            <w:tcBorders>
              <w:bottom w:val="single" w:sz="8" w:color="0000FF"/>
            </w:tcBorders>
            <w:gridSpan w:val="4"/>
          </w:tcPr>
          <w:p>
            <w:pPr>
              <w:spacing w:after="0"/>
              <w:rPr>
                <w:rFonts w:ascii="Arial" w:cs="Arial" w:eastAsia="Arial" w:hAnsi="Arial"/>
                <w:sz w:val="14"/>
                <w:szCs w:val="14"/>
                <w:color w:val="0000FF"/>
                <w:w w:val="93"/>
              </w:rPr>
            </w:pPr>
            <w:hyperlink w:anchor="page8">
              <w:r>
                <w:rPr>
                  <w:rFonts w:ascii="Arial" w:cs="Arial" w:eastAsia="Arial" w:hAnsi="Arial"/>
                  <w:sz w:val="14"/>
                  <w:szCs w:val="14"/>
                  <w:color w:val="0000FF"/>
                  <w:w w:val="93"/>
                </w:rPr>
                <w:t>Financial Highlights Dated February 5, 2020</w:t>
              </w:r>
            </w:hyperlink>
          </w:p>
        </w:tc>
        <w:tc>
          <w:tcPr>
            <w:tcW w:w="2020" w:type="dxa"/>
            <w:vAlign w:val="bottom"/>
            <w:gridSpan w:val="2"/>
          </w:tcPr>
          <w:p>
            <w:pPr>
              <w:spacing w:after="0"/>
              <w:rPr>
                <w:sz w:val="17"/>
                <w:szCs w:val="17"/>
                <w:color w:val="auto"/>
              </w:rPr>
            </w:pPr>
          </w:p>
        </w:tc>
      </w:tr>
      <w:tr>
        <w:trPr>
          <w:trHeight w:val="227"/>
        </w:trPr>
        <w:tc>
          <w:tcPr>
            <w:tcW w:w="2880" w:type="dxa"/>
            <w:vAlign w:val="bottom"/>
            <w:gridSpan w:val="2"/>
          </w:tcPr>
          <w:p>
            <w:pPr>
              <w:spacing w:after="0"/>
              <w:rPr>
                <w:sz w:val="20"/>
                <w:szCs w:val="20"/>
                <w:color w:val="auto"/>
              </w:rPr>
            </w:pPr>
            <w:r>
              <w:rPr>
                <w:rFonts w:ascii="Arial" w:cs="Arial" w:eastAsia="Arial" w:hAnsi="Arial"/>
                <w:sz w:val="14"/>
                <w:szCs w:val="14"/>
                <w:color w:val="auto"/>
              </w:rPr>
              <w:t>Exhibit 104</w:t>
            </w:r>
          </w:p>
        </w:tc>
        <w:tc>
          <w:tcPr>
            <w:tcW w:w="4600" w:type="dxa"/>
            <w:vAlign w:val="bottom"/>
            <w:gridSpan w:val="6"/>
          </w:tcPr>
          <w:p>
            <w:pPr>
              <w:spacing w:after="0"/>
              <w:rPr>
                <w:sz w:val="20"/>
                <w:szCs w:val="20"/>
                <w:color w:val="auto"/>
              </w:rPr>
            </w:pPr>
            <w:r>
              <w:rPr>
                <w:rFonts w:ascii="Arial" w:cs="Arial" w:eastAsia="Arial" w:hAnsi="Arial"/>
                <w:sz w:val="14"/>
                <w:szCs w:val="14"/>
                <w:color w:val="auto"/>
                <w:w w:val="93"/>
              </w:rPr>
              <w:t>Cover Page Interactive Data File (embedded within the Inline XBRL document)</w:t>
            </w:r>
          </w:p>
        </w:tc>
      </w:tr>
    </w:tbl>
    <w:p>
      <w:pPr>
        <w:sectPr>
          <w:pgSz w:w="11900" w:h="16838" w:orient="portrait"/>
          <w:cols w:equalWidth="0" w:num="1">
            <w:col w:w="11460"/>
          </w:cols>
          <w:pgMar w:left="220" w:top="470"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8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c>
          <w:tcPr>
            <w:tcW w:w="0" w:type="dxa"/>
            <w:vAlign w:val="bottom"/>
          </w:tcPr>
          <w:p>
            <w:pPr>
              <w:spacing w:after="0"/>
              <w:rPr>
                <w:sz w:val="1"/>
                <w:szCs w:val="1"/>
                <w:color w:val="auto"/>
              </w:rPr>
            </w:pPr>
          </w:p>
        </w:tc>
      </w:tr>
      <w:tr>
        <w:trPr>
          <w:trHeight w:val="560"/>
        </w:trPr>
        <w:tc>
          <w:tcPr>
            <w:tcW w:w="6180" w:type="dxa"/>
            <w:vAlign w:val="bottom"/>
          </w:tcPr>
          <w:p>
            <w:pPr>
              <w:ind w:left="5520"/>
              <w:spacing w:after="0"/>
              <w:rPr>
                <w:sz w:val="20"/>
                <w:szCs w:val="20"/>
                <w:color w:val="auto"/>
              </w:rPr>
            </w:pPr>
            <w:r>
              <w:rPr>
                <w:rFonts w:ascii="Arial" w:cs="Arial" w:eastAsia="Arial" w:hAnsi="Arial"/>
                <w:sz w:val="14"/>
                <w:szCs w:val="14"/>
                <w:color w:val="auto"/>
              </w:rPr>
              <w:t>By:</w:t>
            </w:r>
          </w:p>
        </w:tc>
        <w:tc>
          <w:tcPr>
            <w:tcW w:w="5260" w:type="dxa"/>
            <w:vAlign w:val="bottom"/>
          </w:tcPr>
          <w:p>
            <w:pPr>
              <w:ind w:left="20"/>
              <w:spacing w:after="0"/>
              <w:rPr>
                <w:sz w:val="20"/>
                <w:szCs w:val="20"/>
                <w:color w:val="auto"/>
              </w:rPr>
            </w:pPr>
            <w:r>
              <w:rPr>
                <w:rFonts w:ascii="Arial" w:cs="Arial" w:eastAsia="Arial" w:hAnsi="Arial"/>
                <w:sz w:val="14"/>
                <w:szCs w:val="14"/>
                <w:color w:val="auto"/>
              </w:rPr>
              <w:t>/s/ CHRISTOPHER T. HATTO</w:t>
            </w:r>
          </w:p>
        </w:tc>
        <w:tc>
          <w:tcPr>
            <w:tcW w:w="0" w:type="dxa"/>
            <w:vAlign w:val="bottom"/>
          </w:tcPr>
          <w:p>
            <w:pPr>
              <w:spacing w:after="0"/>
              <w:rPr>
                <w:sz w:val="1"/>
                <w:szCs w:val="1"/>
                <w:color w:val="auto"/>
              </w:rPr>
            </w:pPr>
          </w:p>
        </w:tc>
      </w:tr>
      <w:tr>
        <w:trPr>
          <w:trHeight w:val="23"/>
        </w:trPr>
        <w:tc>
          <w:tcPr>
            <w:tcW w:w="6180" w:type="dxa"/>
            <w:vAlign w:val="bottom"/>
            <w:vMerge w:val="restart"/>
          </w:tcPr>
          <w:p>
            <w:pPr>
              <w:spacing w:after="0"/>
              <w:rPr>
                <w:sz w:val="20"/>
                <w:szCs w:val="20"/>
                <w:color w:val="auto"/>
              </w:rPr>
            </w:pPr>
            <w:r>
              <w:rPr>
                <w:rFonts w:ascii="Arial" w:cs="Arial" w:eastAsia="Arial" w:hAnsi="Arial"/>
                <w:sz w:val="14"/>
                <w:szCs w:val="14"/>
                <w:color w:val="auto"/>
              </w:rPr>
              <w:t>Date: February 5, 2020</w:t>
            </w:r>
          </w:p>
        </w:tc>
        <w:tc>
          <w:tcPr>
            <w:tcW w:w="5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180" w:type="dxa"/>
            <w:vAlign w:val="bottom"/>
            <w:vMerge w:val="continue"/>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4"/>
                <w:szCs w:val="14"/>
                <w:color w:val="auto"/>
                <w:w w:val="98"/>
              </w:rPr>
              <w:t>Christopher T. Hatto, Vice President, Global Business Solutions and Chief Accounting</w:t>
            </w:r>
          </w:p>
        </w:tc>
        <w:tc>
          <w:tcPr>
            <w:tcW w:w="0" w:type="dxa"/>
            <w:vAlign w:val="bottom"/>
          </w:tcPr>
          <w:p>
            <w:pPr>
              <w:spacing w:after="0"/>
              <w:rPr>
                <w:sz w:val="1"/>
                <w:szCs w:val="1"/>
                <w:color w:val="auto"/>
              </w:rPr>
            </w:pPr>
          </w:p>
        </w:tc>
      </w:tr>
      <w:tr>
        <w:trPr>
          <w:trHeight w:val="182"/>
        </w:trPr>
        <w:tc>
          <w:tcPr>
            <w:tcW w:w="618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4"/>
                <w:szCs w:val="14"/>
                <w:color w:val="auto"/>
              </w:rPr>
              <w:t>Officer</w:t>
            </w:r>
          </w:p>
        </w:tc>
        <w:tc>
          <w:tcPr>
            <w:tcW w:w="0" w:type="dxa"/>
            <w:vAlign w:val="bottom"/>
          </w:tcPr>
          <w:p>
            <w:pPr>
              <w:spacing w:after="0"/>
              <w:rPr>
                <w:sz w:val="1"/>
                <w:szCs w:val="1"/>
                <w:color w:val="auto"/>
              </w:rPr>
            </w:pPr>
          </w:p>
        </w:tc>
      </w:tr>
    </w:tbl>
    <w:p>
      <w:pPr>
        <w:sectPr>
          <w:pgSz w:w="11900" w:h="16838" w:orient="portrait"/>
          <w:cols w:equalWidth="0" w:num="1">
            <w:col w:w="11440"/>
          </w:cols>
          <w:pgMar w:left="240" w:top="642"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7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4" w:lineRule="exact"/>
        <w:rPr>
          <w:sz w:val="20"/>
          <w:szCs w:val="20"/>
          <w:color w:val="auto"/>
        </w:rPr>
      </w:pPr>
    </w:p>
    <w:p>
      <w:pPr>
        <w:jc w:val="both"/>
        <w:ind w:firstLine="129"/>
        <w:spacing w:after="0" w:line="244" w:lineRule="auto"/>
        <w:rPr>
          <w:sz w:val="20"/>
          <w:szCs w:val="20"/>
          <w:color w:val="auto"/>
        </w:rPr>
      </w:pPr>
      <w:r>
        <w:rPr>
          <w:rFonts w:ascii="Arial" w:cs="Arial" w:eastAsia="Arial" w:hAnsi="Arial"/>
          <w:sz w:val="13"/>
          <w:szCs w:val="13"/>
          <w:color w:val="auto"/>
        </w:rPr>
        <w:t>Unless otherwise indicated, General Motors Company's (GM) non-GAAP measures are related to our continuing operations and not our discontinued operations. GM's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45" w:lineRule="exact"/>
        <w:rPr>
          <w:sz w:val="20"/>
          <w:szCs w:val="20"/>
          <w:color w:val="auto"/>
        </w:rPr>
      </w:pPr>
    </w:p>
    <w:p>
      <w:pPr>
        <w:jc w:val="both"/>
        <w:ind w:firstLine="129"/>
        <w:spacing w:after="0" w:line="243"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32" w:lineRule="exact"/>
        <w:rPr>
          <w:sz w:val="20"/>
          <w:szCs w:val="20"/>
          <w:color w:val="auto"/>
        </w:rPr>
      </w:pPr>
    </w:p>
    <w:p>
      <w:pPr>
        <w:jc w:val="both"/>
        <w:ind w:firstLine="129"/>
        <w:spacing w:after="0" w:line="249"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w:t>
      </w:r>
    </w:p>
    <w:p>
      <w:pPr>
        <w:spacing w:after="0" w:line="126" w:lineRule="exact"/>
        <w:rPr>
          <w:sz w:val="20"/>
          <w:szCs w:val="20"/>
          <w:color w:val="auto"/>
        </w:rPr>
      </w:pPr>
    </w:p>
    <w:p>
      <w:pPr>
        <w:jc w:val="both"/>
        <w:ind w:firstLine="129"/>
        <w:spacing w:after="0" w:line="253"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24" w:lineRule="exact"/>
        <w:rPr>
          <w:sz w:val="20"/>
          <w:szCs w:val="20"/>
          <w:color w:val="auto"/>
        </w:rPr>
      </w:pPr>
    </w:p>
    <w:p>
      <w:pPr>
        <w:jc w:val="both"/>
        <w:ind w:firstLine="129"/>
        <w:spacing w:after="0" w:line="253"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24" w:lineRule="exact"/>
        <w:rPr>
          <w:sz w:val="20"/>
          <w:szCs w:val="20"/>
          <w:color w:val="auto"/>
        </w:rPr>
      </w:pPr>
    </w:p>
    <w:p>
      <w:pPr>
        <w:jc w:val="both"/>
        <w:ind w:firstLine="129"/>
        <w:spacing w:after="0" w:line="253"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 Adjustments to the average equity balances exclude assets and liabilities classified as either assets held for sale or liabilities held for sale.</w:t>
      </w:r>
    </w:p>
    <w:p>
      <w:pPr>
        <w:spacing w:after="0" w:line="124" w:lineRule="exact"/>
        <w:rPr>
          <w:sz w:val="20"/>
          <w:szCs w:val="20"/>
          <w:color w:val="auto"/>
        </w:rPr>
      </w:pPr>
    </w:p>
    <w:p>
      <w:pPr>
        <w:jc w:val="both"/>
        <w:ind w:firstLine="129"/>
        <w:spacing w:after="0" w:line="253"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60"/>
          </w:cols>
          <w:pgMar w:left="220" w:top="118"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segment profit (loss) to Net income (loss) attributable to stockholders under U.S. GAAP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0"/>
                <w:szCs w:val="10"/>
                <w:b w:val="1"/>
                <w:bCs w:val="1"/>
                <w:color w:val="auto"/>
              </w:rPr>
              <w:t>Years Ended</w:t>
            </w:r>
          </w:p>
        </w:tc>
        <w:tc>
          <w:tcPr>
            <w:tcW w:w="0" w:type="dxa"/>
            <w:vAlign w:val="bottom"/>
          </w:tcPr>
          <w:p>
            <w:pPr>
              <w:spacing w:after="0"/>
              <w:rPr>
                <w:sz w:val="1"/>
                <w:szCs w:val="1"/>
                <w:color w:val="auto"/>
              </w:rPr>
            </w:pPr>
          </w:p>
        </w:tc>
      </w:tr>
      <w:tr>
        <w:trPr>
          <w:trHeight w:val="204"/>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2019</w:t>
            </w:r>
          </w:p>
        </w:tc>
        <w:tc>
          <w:tcPr>
            <w:tcW w:w="16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2018</w:t>
            </w:r>
          </w:p>
        </w:tc>
        <w:tc>
          <w:tcPr>
            <w:tcW w:w="16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2019</w:t>
            </w:r>
          </w:p>
        </w:tc>
        <w:tc>
          <w:tcPr>
            <w:tcW w:w="160" w:type="dxa"/>
            <w:vAlign w:val="bottom"/>
          </w:tcPr>
          <w:p>
            <w:pPr>
              <w:spacing w:after="0"/>
              <w:rPr>
                <w:sz w:val="17"/>
                <w:szCs w:val="17"/>
                <w:color w:val="auto"/>
              </w:rPr>
            </w:pPr>
          </w:p>
        </w:tc>
        <w:tc>
          <w:tcPr>
            <w:tcW w:w="1180" w:type="dxa"/>
            <w:vAlign w:val="bottom"/>
          </w:tcPr>
          <w:p>
            <w:pPr>
              <w:jc w:val="right"/>
              <w:ind w:right="156"/>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208"/>
        </w:trPr>
        <w:tc>
          <w:tcPr>
            <w:tcW w:w="5620" w:type="dxa"/>
            <w:vAlign w:val="bottom"/>
          </w:tcPr>
          <w:p>
            <w:pPr>
              <w:ind w:left="20"/>
              <w:spacing w:after="0"/>
              <w:rPr>
                <w:sz w:val="20"/>
                <w:szCs w:val="20"/>
                <w:color w:val="auto"/>
              </w:rPr>
            </w:pPr>
            <w:r>
              <w:rPr>
                <w:rFonts w:ascii="Arial" w:cs="Arial" w:eastAsia="Arial" w:hAnsi="Arial"/>
                <w:sz w:val="13"/>
                <w:szCs w:val="13"/>
                <w:color w:val="auto"/>
              </w:rPr>
              <w:t>Operating segments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North America (GMNA)</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10,769</w:t>
            </w:r>
          </w:p>
        </w:tc>
        <w:tc>
          <w:tcPr>
            <w:tcW w:w="0" w:type="dxa"/>
            <w:vAlign w:val="bottom"/>
          </w:tcPr>
          <w:p>
            <w:pPr>
              <w:spacing w:after="0"/>
              <w:rPr>
                <w:sz w:val="1"/>
                <w:szCs w:val="1"/>
                <w:color w:val="auto"/>
              </w:rPr>
            </w:pPr>
          </w:p>
        </w:tc>
      </w:tr>
      <w:tr>
        <w:trPr>
          <w:trHeight w:val="208"/>
        </w:trPr>
        <w:tc>
          <w:tcPr>
            <w:tcW w:w="5620" w:type="dxa"/>
            <w:vAlign w:val="bottom"/>
          </w:tcPr>
          <w:p>
            <w:pPr>
              <w:ind w:left="140"/>
              <w:spacing w:after="0"/>
              <w:rPr>
                <w:sz w:val="20"/>
                <w:szCs w:val="20"/>
                <w:color w:val="auto"/>
              </w:rPr>
            </w:pPr>
            <w:r>
              <w:rPr>
                <w:rFonts w:ascii="Arial" w:cs="Arial" w:eastAsia="Arial" w:hAnsi="Arial"/>
                <w:sz w:val="13"/>
                <w:szCs w:val="13"/>
                <w:color w:val="auto"/>
              </w:rPr>
              <w:t>GM International (GMI)</w:t>
            </w:r>
          </w:p>
        </w:tc>
        <w:tc>
          <w:tcPr>
            <w:tcW w:w="16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Cruise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208"/>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GM Financial(a)</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416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2,104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1,893</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3,215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12,357</w:t>
            </w:r>
          </w:p>
        </w:tc>
        <w:tc>
          <w:tcPr>
            <w:tcW w:w="0" w:type="dxa"/>
            <w:vAlign w:val="bottom"/>
          </w:tcPr>
          <w:p>
            <w:pPr>
              <w:spacing w:after="0"/>
              <w:rPr>
                <w:sz w:val="1"/>
                <w:szCs w:val="1"/>
                <w:color w:val="auto"/>
              </w:rPr>
            </w:pPr>
          </w:p>
        </w:tc>
      </w:tr>
      <w:tr>
        <w:trPr>
          <w:trHeight w:val="208"/>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eliminations(b)</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11,783</w:t>
            </w:r>
          </w:p>
        </w:tc>
        <w:tc>
          <w:tcPr>
            <w:tcW w:w="0" w:type="dxa"/>
            <w:vAlign w:val="bottom"/>
          </w:tcPr>
          <w:p>
            <w:pPr>
              <w:spacing w:after="0"/>
              <w:rPr>
                <w:sz w:val="1"/>
                <w:szCs w:val="1"/>
                <w:color w:val="auto"/>
              </w:rPr>
            </w:pPr>
          </w:p>
        </w:tc>
      </w:tr>
      <w:tr>
        <w:trPr>
          <w:trHeight w:val="208"/>
        </w:trPr>
        <w:tc>
          <w:tcPr>
            <w:tcW w:w="562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Transformation activities(c)</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0" w:type="dxa"/>
            <w:vAlign w:val="bottom"/>
          </w:tcPr>
          <w:p>
            <w:pPr>
              <w:spacing w:after="0"/>
              <w:rPr>
                <w:sz w:val="1"/>
                <w:szCs w:val="1"/>
                <w:color w:val="auto"/>
              </w:rPr>
            </w:pPr>
          </w:p>
        </w:tc>
      </w:tr>
      <w:tr>
        <w:trPr>
          <w:trHeight w:val="208"/>
        </w:trPr>
        <w:tc>
          <w:tcPr>
            <w:tcW w:w="5620" w:type="dxa"/>
            <w:vAlign w:val="bottom"/>
          </w:tcPr>
          <w:p>
            <w:pPr>
              <w:ind w:left="140"/>
              <w:spacing w:after="0"/>
              <w:rPr>
                <w:sz w:val="20"/>
                <w:szCs w:val="20"/>
                <w:color w:val="auto"/>
              </w:rPr>
            </w:pPr>
            <w:r>
              <w:rPr>
                <w:rFonts w:ascii="Arial" w:cs="Arial" w:eastAsia="Arial" w:hAnsi="Arial"/>
                <w:sz w:val="13"/>
                <w:szCs w:val="13"/>
                <w:color w:val="auto"/>
              </w:rPr>
              <w:t>GM Brazil indirect tax recoveries(d)</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1,360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FAW-GM divestiture(e)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8"/>
        </w:trPr>
        <w:tc>
          <w:tcPr>
            <w:tcW w:w="5620" w:type="dxa"/>
            <w:vAlign w:val="bottom"/>
          </w:tcPr>
          <w:p>
            <w:pPr>
              <w:ind w:left="140"/>
              <w:spacing w:after="0"/>
              <w:rPr>
                <w:sz w:val="20"/>
                <w:szCs w:val="20"/>
                <w:color w:val="auto"/>
              </w:rPr>
            </w:pPr>
            <w:r>
              <w:rPr>
                <w:rFonts w:ascii="Arial" w:cs="Arial" w:eastAsia="Arial" w:hAnsi="Arial"/>
                <w:sz w:val="13"/>
                <w:szCs w:val="13"/>
                <w:color w:val="auto"/>
              </w:rPr>
              <w:t>GMI restructuring(f)</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(1,138)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Ignition switch recall and related legal matters(g)</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(358)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(2,905)</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income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208"/>
        </w:trPr>
        <w:tc>
          <w:tcPr>
            <w:tcW w:w="562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16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(655)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benefit(h)</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Arial" w:cs="Arial" w:eastAsia="Arial" w:hAnsi="Arial"/>
                <w:sz w:val="13"/>
                <w:szCs w:val="13"/>
                <w:color w:val="auto"/>
              </w:rPr>
              <w:t>Income (loss) from continuing operations(i)</w:t>
            </w:r>
          </w:p>
        </w:tc>
        <w:tc>
          <w:tcPr>
            <w:tcW w:w="160" w:type="dxa"/>
            <w:vAlign w:val="bottom"/>
          </w:tcPr>
          <w:p>
            <w:pPr>
              <w:spacing w:after="0"/>
              <w:rPr>
                <w:sz w:val="17"/>
                <w:szCs w:val="17"/>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2,044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6,732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8,084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discontinued operations, net of tax(j)</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88"/>
        </w:trPr>
        <w:tc>
          <w:tcPr>
            <w:tcW w:w="5620" w:type="dxa"/>
            <w:vAlign w:val="bottom"/>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2,044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6,732</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8,014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1"/>
                <w:szCs w:val="11"/>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spacing w:after="0" w:line="2" w:lineRule="exact"/>
        <w:rPr>
          <w:rFonts w:ascii="Arial" w:cs="Arial" w:eastAsia="Arial" w:hAnsi="Arial"/>
          <w:sz w:val="11"/>
          <w:szCs w:val="11"/>
          <w:color w:val="auto"/>
        </w:rPr>
      </w:pPr>
    </w:p>
    <w:p>
      <w:pPr>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Maven, legacy costs from the Opel and Vauxhall businesses and certain other assets in Europe (the Opel/Vauxhall Business), which are primarily pension costs, corporate expenditures and certain nonsegment specific revenues and expenses are recorded centrally in Corporate.</w:t>
      </w:r>
    </w:p>
    <w:p>
      <w:pPr>
        <w:jc w:val="both"/>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supplier-related charges, pension and other curtailment charges and employee-related separation charges in the year ended December 31, 2019 and primarily employee separation charges and accelerated depreciation in the year ended December 31, 2018.</w:t>
      </w: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decisions rendered by the Superior Judicial Court of Brazil resulting in retrospective recoveries of indirect taxes.</w:t>
      </w:r>
    </w:p>
    <w:p>
      <w:pPr>
        <w:spacing w:after="0" w:line="2" w:lineRule="exact"/>
        <w:rPr>
          <w:rFonts w:ascii="Arial" w:cs="Arial" w:eastAsia="Arial" w:hAnsi="Arial"/>
          <w:sz w:val="11"/>
          <w:szCs w:val="11"/>
          <w:color w:val="auto"/>
        </w:rPr>
      </w:pPr>
    </w:p>
    <w:p>
      <w:pPr>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asset impairments and supplier claims in the year ended December 31, 2018, all in Korea.</w:t>
      </w: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 which included various investigations, inquiries and complaints from constituents.</w:t>
      </w:r>
    </w:p>
    <w:p>
      <w:pPr>
        <w:spacing w:after="0" w:line="2" w:lineRule="exact"/>
        <w:rPr>
          <w:rFonts w:ascii="Arial" w:cs="Arial" w:eastAsia="Arial" w:hAnsi="Arial"/>
          <w:sz w:val="11"/>
          <w:szCs w:val="11"/>
          <w:color w:val="auto"/>
        </w:rPr>
      </w:pPr>
    </w:p>
    <w:p>
      <w:pPr>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Income tax (expense) benefit includes an adjustment of $1.1 billion in the year ended December 31, 2018 consisting of (1) a non-recurring tax benefit related to foreign earnings recorded in the three months ended December 31, 2018; and (2) tax effects related to U.S. tax reform legislation.</w:t>
      </w: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(income) loss attributable to noncontrolling interests.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Represents the results of the Opel/Vauxhall Business and our European financing subsidiaries and branches (the Fincos, and together with the Opel/Vauxhall Business, the European Business).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0"/>
          </w:cols>
          <w:pgMar w:left="220" w:top="470"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diluted earnings (loss) per common share under U.S. GAAP to EPS-diluted-adjusted (dollars in millions, except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tcPr>
          <w:p>
            <w:pPr>
              <w:ind w:left="340"/>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5"/>
          </w:tcPr>
          <w:p>
            <w:pPr>
              <w:ind w:left="500"/>
              <w:spacing w:after="0"/>
              <w:rPr>
                <w:sz w:val="20"/>
                <w:szCs w:val="20"/>
                <w:color w:val="auto"/>
              </w:rPr>
            </w:pPr>
            <w:r>
              <w:rPr>
                <w:rFonts w:ascii="Arial" w:cs="Arial" w:eastAsia="Arial" w:hAnsi="Arial"/>
                <w:sz w:val="10"/>
                <w:szCs w:val="10"/>
                <w:b w:val="1"/>
                <w:bCs w:val="1"/>
                <w:color w:val="auto"/>
              </w:rPr>
              <w:t>Years Ended</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0"/>
                <w:szCs w:val="10"/>
                <w:b w:val="1"/>
                <w:bCs w:val="1"/>
                <w:color w:val="auto"/>
              </w:rPr>
              <w:t>December 31, 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0"/>
                <w:szCs w:val="10"/>
                <w:b w:val="1"/>
                <w:bCs w:val="1"/>
                <w:color w:val="auto"/>
              </w:rPr>
              <w:t>December 31, 2018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0"/>
                <w:szCs w:val="10"/>
                <w:b w:val="1"/>
                <w:bCs w:val="1"/>
                <w:color w:val="auto"/>
              </w:rPr>
              <w:t>December 31, 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0"/>
                <w:szCs w:val="10"/>
                <w:b w:val="1"/>
                <w:bCs w:val="1"/>
                <w:color w:val="auto"/>
              </w:rPr>
              <w:t>Per Share</w:t>
            </w:r>
          </w:p>
        </w:tc>
        <w:tc>
          <w:tcPr>
            <w:tcW w:w="14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Per Share</w:t>
            </w:r>
          </w:p>
        </w:tc>
        <w:tc>
          <w:tcPr>
            <w:tcW w:w="14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0"/>
                <w:szCs w:val="10"/>
                <w:b w:val="1"/>
                <w:bCs w:val="1"/>
                <w:color w:val="auto"/>
              </w:rPr>
              <w:t>Per Share</w:t>
            </w:r>
          </w:p>
        </w:tc>
        <w:tc>
          <w:tcPr>
            <w:tcW w:w="14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17"/>
                <w:szCs w:val="17"/>
                <w:color w:val="auto"/>
              </w:rPr>
            </w:pPr>
          </w:p>
        </w:tc>
        <w:tc>
          <w:tcPr>
            <w:tcW w:w="740" w:type="dxa"/>
            <w:vAlign w:val="bottom"/>
          </w:tcPr>
          <w:p>
            <w:pPr>
              <w:jc w:val="right"/>
              <w:ind w:right="157"/>
              <w:spacing w:after="0"/>
              <w:rPr>
                <w:sz w:val="20"/>
                <w:szCs w:val="20"/>
                <w:color w:val="auto"/>
              </w:rPr>
            </w:pPr>
            <w:r>
              <w:rPr>
                <w:rFonts w:ascii="Arial" w:cs="Arial" w:eastAsia="Arial" w:hAnsi="Arial"/>
                <w:sz w:val="10"/>
                <w:szCs w:val="10"/>
                <w:b w:val="1"/>
                <w:bCs w:val="1"/>
                <w:color w:val="auto"/>
              </w:rPr>
              <w:t>Per Share</w:t>
            </w:r>
          </w:p>
        </w:tc>
        <w:tc>
          <w:tcPr>
            <w:tcW w:w="0" w:type="dxa"/>
            <w:vAlign w:val="bottom"/>
          </w:tcPr>
          <w:p>
            <w:pPr>
              <w:spacing w:after="0"/>
              <w:rPr>
                <w:sz w:val="1"/>
                <w:szCs w:val="1"/>
                <w:color w:val="auto"/>
              </w:rPr>
            </w:pPr>
          </w:p>
        </w:tc>
      </w:tr>
      <w:tr>
        <w:trPr>
          <w:trHeight w:val="20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(loss) per common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(0.16)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2,006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6,581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4.57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7,916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208"/>
        </w:trPr>
        <w:tc>
          <w:tcPr>
            <w:tcW w:w="3780" w:type="dxa"/>
            <w:vAlign w:val="bottom"/>
          </w:tcPr>
          <w:p>
            <w:pPr>
              <w:ind w:left="20"/>
              <w:spacing w:after="0"/>
              <w:rPr>
                <w:sz w:val="20"/>
                <w:szCs w:val="20"/>
                <w:color w:val="auto"/>
              </w:rPr>
            </w:pPr>
            <w:r>
              <w:rPr>
                <w:rFonts w:ascii="Arial" w:cs="Arial" w:eastAsia="Arial" w:hAnsi="Arial"/>
                <w:sz w:val="13"/>
                <w:szCs w:val="13"/>
                <w:color w:val="auto"/>
              </w:rPr>
              <w:t>Impact of including dilutive securities(a)</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loss per common share – discontinued operations</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3"/>
                <w:szCs w:val="13"/>
                <w:color w:val="auto"/>
              </w:rPr>
              <w:t>Adjustments(b)</w:t>
            </w:r>
          </w:p>
        </w:tc>
        <w:tc>
          <w:tcPr>
            <w:tcW w:w="160" w:type="dxa"/>
            <w:vAlign w:val="bottom"/>
          </w:tcPr>
          <w:p>
            <w:pPr>
              <w:spacing w:after="0"/>
              <w:rPr>
                <w:sz w:val="16"/>
                <w:szCs w:val="16"/>
                <w:color w:val="auto"/>
              </w:rPr>
            </w:pPr>
          </w:p>
        </w:tc>
        <w:tc>
          <w:tcPr>
            <w:tcW w:w="660" w:type="dxa"/>
            <w:vAlign w:val="bottom"/>
          </w:tcPr>
          <w:p>
            <w:pPr>
              <w:jc w:val="right"/>
              <w:ind w:right="59"/>
              <w:spacing w:after="0"/>
              <w:rPr>
                <w:sz w:val="20"/>
                <w:szCs w:val="20"/>
                <w:color w:val="auto"/>
              </w:rPr>
            </w:pPr>
            <w:r>
              <w:rPr>
                <w:rFonts w:ascii="Arial" w:cs="Arial" w:eastAsia="Arial" w:hAnsi="Arial"/>
                <w:sz w:val="13"/>
                <w:szCs w:val="13"/>
                <w:color w:val="auto"/>
              </w:rPr>
              <w:t>358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Arial" w:cs="Arial" w:eastAsia="Arial" w:hAnsi="Arial"/>
                <w:sz w:val="13"/>
                <w:szCs w:val="13"/>
                <w:color w:val="auto"/>
              </w:rPr>
              <w:t>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1,327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0.93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539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3"/>
                <w:szCs w:val="13"/>
                <w:color w:val="auto"/>
              </w:rPr>
              <w:t>0.38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3"/>
                <w:szCs w:val="13"/>
                <w:color w:val="auto"/>
              </w:rPr>
              <w:t>2,905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 on adjustments(c)</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(0.04)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3"/>
                <w:szCs w:val="13"/>
                <w:color w:val="auto"/>
              </w:rPr>
              <w:t>Tax adjustments(d)</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3"/>
                <w:szCs w:val="13"/>
                <w:color w:val="auto"/>
              </w:rPr>
              <w:t>(954)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(0.67)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(0.78)</w:t>
            </w:r>
          </w:p>
        </w:tc>
        <w:tc>
          <w:tcPr>
            <w:tcW w:w="0" w:type="dxa"/>
            <w:vAlign w:val="bottom"/>
          </w:tcPr>
          <w:p>
            <w:pPr>
              <w:spacing w:after="0"/>
              <w:rPr>
                <w:sz w:val="1"/>
                <w:szCs w:val="1"/>
                <w:color w:val="auto"/>
              </w:rPr>
            </w:pPr>
          </w:p>
        </w:tc>
      </w:tr>
      <w:tr>
        <w:trPr>
          <w:trHeight w:val="190"/>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EPS-diluted-adjusted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72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0.05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2,052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6,932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4.82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9,364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4"/>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dilutive effect of awards under stock incentive plans. Refer to the table below for the effect on weighted-average common shares outstanding – diluted-adjusted.</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(loss) attributable to stockholders under U.S. GAAP for adjustment details.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spacing w:after="0" w:line="2" w:lineRule="exact"/>
        <w:rPr>
          <w:rFonts w:ascii="Arial" w:cs="Arial" w:eastAsia="Arial" w:hAnsi="Arial"/>
          <w:sz w:val="11"/>
          <w:szCs w:val="11"/>
          <w:color w:val="auto"/>
        </w:rPr>
      </w:pPr>
    </w:p>
    <w:p>
      <w:pPr>
        <w:ind w:left="260" w:hanging="254"/>
        <w:spacing w:after="0" w:line="267"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 the year ended December 31, 2018 the adjustment consists of: (1) a non-recurring tax benefit related to foreign earnings recorded in the three months ended December 31, 2018; and (2) tax effects related to U.S. tax reform legislation. These adjustments were excluded because impacts of tax legislation and valuation allowances are not considered part of our core operations.</w:t>
      </w:r>
    </w:p>
    <w:p>
      <w:pPr>
        <w:spacing w:after="0" w:line="126" w:lineRule="exact"/>
        <w:rPr>
          <w:sz w:val="20"/>
          <w:szCs w:val="20"/>
          <w:color w:val="auto"/>
        </w:rPr>
      </w:pPr>
    </w:p>
    <w:p>
      <w:pPr>
        <w:ind w:right="80" w:firstLine="129"/>
        <w:spacing w:after="0" w:line="251" w:lineRule="auto"/>
        <w:rPr>
          <w:sz w:val="20"/>
          <w:szCs w:val="20"/>
          <w:color w:val="auto"/>
        </w:rPr>
      </w:pPr>
      <w:r>
        <w:rPr>
          <w:rFonts w:ascii="Arial" w:cs="Arial" w:eastAsia="Arial" w:hAnsi="Arial"/>
          <w:sz w:val="13"/>
          <w:szCs w:val="13"/>
          <w:color w:val="auto"/>
        </w:rPr>
        <w:t>The following table reconciles weighted-average common shares outstanding – diluted under U.S. GAAP to weighted-average common shares outstanding – diluted-adjusted used in the calculation of EPS-diluted-adjusted (shares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620" w:type="dxa"/>
            <w:vAlign w:val="bottom"/>
          </w:tcPr>
          <w:p>
            <w:pPr>
              <w:spacing w:after="0"/>
              <w:rPr>
                <w:sz w:val="12"/>
                <w:szCs w:val="12"/>
                <w:color w:val="auto"/>
              </w:rPr>
            </w:pPr>
          </w:p>
        </w:tc>
        <w:tc>
          <w:tcPr>
            <w:tcW w:w="28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284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0"/>
                <w:szCs w:val="10"/>
                <w:b w:val="1"/>
                <w:bCs w:val="1"/>
                <w:color w:val="auto"/>
              </w:rPr>
              <w:t>Years Ended</w:t>
            </w:r>
          </w:p>
        </w:tc>
      </w:tr>
      <w:tr>
        <w:trPr>
          <w:trHeight w:val="196"/>
        </w:trPr>
        <w:tc>
          <w:tcPr>
            <w:tcW w:w="5620" w:type="dxa"/>
            <w:vAlign w:val="bottom"/>
          </w:tcPr>
          <w:p>
            <w:pPr>
              <w:spacing w:after="0"/>
              <w:rPr>
                <w:sz w:val="17"/>
                <w:szCs w:val="17"/>
                <w:color w:val="auto"/>
              </w:rPr>
            </w:pPr>
          </w:p>
        </w:tc>
        <w:tc>
          <w:tcPr>
            <w:tcW w:w="1500" w:type="dxa"/>
            <w:vAlign w:val="bottom"/>
            <w:gridSpan w:val="2"/>
          </w:tcPr>
          <w:p>
            <w:pPr>
              <w:ind w:left="240"/>
              <w:spacing w:after="0"/>
              <w:rPr>
                <w:sz w:val="20"/>
                <w:szCs w:val="20"/>
                <w:color w:val="auto"/>
              </w:rPr>
            </w:pPr>
            <w:r>
              <w:rPr>
                <w:rFonts w:ascii="Arial" w:cs="Arial" w:eastAsia="Arial" w:hAnsi="Arial"/>
                <w:sz w:val="10"/>
                <w:szCs w:val="10"/>
                <w:b w:val="1"/>
                <w:bCs w:val="1"/>
                <w:color w:val="auto"/>
              </w:rPr>
              <w:t>December 31, 2019</w:t>
            </w:r>
          </w:p>
        </w:tc>
        <w:tc>
          <w:tcPr>
            <w:tcW w:w="1500" w:type="dxa"/>
            <w:vAlign w:val="bottom"/>
            <w:gridSpan w:val="2"/>
          </w:tcPr>
          <w:p>
            <w:pPr>
              <w:ind w:left="240"/>
              <w:spacing w:after="0"/>
              <w:rPr>
                <w:sz w:val="20"/>
                <w:szCs w:val="20"/>
                <w:color w:val="auto"/>
              </w:rPr>
            </w:pPr>
            <w:r>
              <w:rPr>
                <w:rFonts w:ascii="Arial" w:cs="Arial" w:eastAsia="Arial" w:hAnsi="Arial"/>
                <w:sz w:val="10"/>
                <w:szCs w:val="10"/>
                <w:b w:val="1"/>
                <w:bCs w:val="1"/>
                <w:color w:val="auto"/>
              </w:rPr>
              <w:t>December 31, 2018</w:t>
            </w:r>
          </w:p>
        </w:tc>
        <w:tc>
          <w:tcPr>
            <w:tcW w:w="1480" w:type="dxa"/>
            <w:vAlign w:val="bottom"/>
            <w:gridSpan w:val="2"/>
          </w:tcPr>
          <w:p>
            <w:pPr>
              <w:ind w:left="240"/>
              <w:spacing w:after="0"/>
              <w:rPr>
                <w:sz w:val="20"/>
                <w:szCs w:val="20"/>
                <w:color w:val="auto"/>
              </w:rPr>
            </w:pPr>
            <w:r>
              <w:rPr>
                <w:rFonts w:ascii="Arial" w:cs="Arial" w:eastAsia="Arial" w:hAnsi="Arial"/>
                <w:sz w:val="10"/>
                <w:szCs w:val="10"/>
                <w:b w:val="1"/>
                <w:bCs w:val="1"/>
                <w:color w:val="auto"/>
              </w:rPr>
              <w:t>December 31, 2019</w:t>
            </w:r>
          </w:p>
        </w:tc>
        <w:tc>
          <w:tcPr>
            <w:tcW w:w="1360" w:type="dxa"/>
            <w:vAlign w:val="bottom"/>
          </w:tcPr>
          <w:p>
            <w:pPr>
              <w:jc w:val="right"/>
              <w:ind w:right="159"/>
              <w:spacing w:after="0"/>
              <w:rPr>
                <w:sz w:val="20"/>
                <w:szCs w:val="20"/>
                <w:color w:val="auto"/>
              </w:rPr>
            </w:pPr>
            <w:r>
              <w:rPr>
                <w:rFonts w:ascii="Arial" w:cs="Arial" w:eastAsia="Arial" w:hAnsi="Arial"/>
                <w:sz w:val="10"/>
                <w:szCs w:val="10"/>
                <w:b w:val="1"/>
                <w:bCs w:val="1"/>
                <w:color w:val="auto"/>
              </w:rPr>
              <w:t>December 31, 2018</w:t>
            </w:r>
          </w:p>
        </w:tc>
      </w:tr>
      <w:tr>
        <w:trPr>
          <w:trHeight w:val="191"/>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common shares outstanding – diluted</w:t>
            </w:r>
          </w:p>
        </w:tc>
        <w:tc>
          <w:tcPr>
            <w:tcW w:w="13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1,429</w:t>
            </w:r>
          </w:p>
        </w:tc>
        <w:tc>
          <w:tcPr>
            <w:tcW w:w="1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1,432</w:t>
            </w:r>
          </w:p>
        </w:tc>
        <w:tc>
          <w:tcPr>
            <w:tcW w:w="1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1,439</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1,431</w:t>
            </w:r>
          </w:p>
        </w:tc>
      </w:tr>
      <w:tr>
        <w:trPr>
          <w:trHeight w:val="186"/>
        </w:trPr>
        <w:tc>
          <w:tcPr>
            <w:tcW w:w="5620" w:type="dxa"/>
            <w:vAlign w:val="bottom"/>
          </w:tcPr>
          <w:p>
            <w:pPr>
              <w:ind w:left="20"/>
              <w:spacing w:after="0"/>
              <w:rPr>
                <w:sz w:val="20"/>
                <w:szCs w:val="20"/>
                <w:color w:val="auto"/>
              </w:rPr>
            </w:pPr>
            <w:r>
              <w:rPr>
                <w:rFonts w:ascii="Arial" w:cs="Arial" w:eastAsia="Arial" w:hAnsi="Arial"/>
                <w:sz w:val="13"/>
                <w:szCs w:val="13"/>
                <w:color w:val="auto"/>
              </w:rPr>
              <w:t>Dilutive effect of awards under stock incentive plans</w:t>
            </w:r>
          </w:p>
        </w:tc>
        <w:tc>
          <w:tcPr>
            <w:tcW w:w="1380" w:type="dxa"/>
            <w:vAlign w:val="bottom"/>
          </w:tcPr>
          <w:p>
            <w:pPr>
              <w:jc w:val="right"/>
              <w:ind w:right="6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9"/>
              <w:spacing w:after="0"/>
              <w:rPr>
                <w:sz w:val="20"/>
                <w:szCs w:val="20"/>
                <w:color w:val="auto"/>
              </w:rPr>
            </w:pPr>
            <w:r>
              <w:rPr>
                <w:rFonts w:ascii="Arial" w:cs="Arial" w:eastAsia="Arial" w:hAnsi="Arial"/>
                <w:sz w:val="13"/>
                <w:szCs w:val="13"/>
                <w:color w:val="auto"/>
              </w:rPr>
              <w:t>—</w:t>
            </w:r>
          </w:p>
        </w:tc>
      </w:tr>
      <w:tr>
        <w:trPr>
          <w:trHeight w:val="190"/>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common shares outstanding – diluted-adjusted</w:t>
            </w:r>
          </w:p>
        </w:tc>
        <w:tc>
          <w:tcPr>
            <w:tcW w:w="13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1,442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1,432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1,439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1,431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33"/>
        </w:trPr>
        <w:tc>
          <w:tcPr>
            <w:tcW w:w="5620" w:type="dxa"/>
            <w:vAlign w:val="bottom"/>
          </w:tcPr>
          <w:p>
            <w:pPr>
              <w:spacing w:after="0"/>
              <w:rPr>
                <w:sz w:val="24"/>
                <w:szCs w:val="24"/>
                <w:color w:val="auto"/>
              </w:rPr>
            </w:pPr>
          </w:p>
        </w:tc>
        <w:tc>
          <w:tcPr>
            <w:tcW w:w="1380" w:type="dxa"/>
            <w:vAlign w:val="bottom"/>
          </w:tcPr>
          <w:p>
            <w:pPr>
              <w:jc w:val="right"/>
              <w:ind w:right="118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60"/>
          </w:cols>
          <w:pgMar w:left="220" w:top="470"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5"/>
          </w:tcPr>
          <w:p>
            <w:pPr>
              <w:ind w:left="220"/>
              <w:spacing w:after="0"/>
              <w:rPr>
                <w:sz w:val="20"/>
                <w:szCs w:val="20"/>
                <w:color w:val="auto"/>
              </w:rPr>
            </w:pPr>
            <w:r>
              <w:rPr>
                <w:rFonts w:ascii="Arial" w:cs="Arial" w:eastAsia="Arial" w:hAnsi="Arial"/>
                <w:sz w:val="10"/>
                <w:szCs w:val="10"/>
                <w:b w:val="1"/>
                <w:bCs w:val="1"/>
                <w:color w:val="auto"/>
              </w:rPr>
              <w:t>Years Ended December 31,</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9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w w:val="98"/>
              </w:rPr>
              <w:t>2019</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w w:val="98"/>
              </w:rPr>
              <w:t>2018</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Income before income</w:t>
            </w:r>
          </w:p>
        </w:tc>
        <w:tc>
          <w:tcPr>
            <w:tcW w:w="100" w:type="dxa"/>
            <w:vAlign w:val="bottom"/>
          </w:tcPr>
          <w:p>
            <w:pPr>
              <w:spacing w:after="0"/>
              <w:rPr>
                <w:sz w:val="9"/>
                <w:szCs w:val="9"/>
                <w:color w:val="auto"/>
              </w:rPr>
            </w:pPr>
          </w:p>
        </w:tc>
        <w:tc>
          <w:tcPr>
            <w:tcW w:w="820" w:type="dxa"/>
            <w:vAlign w:val="bottom"/>
          </w:tcPr>
          <w:p>
            <w:pPr>
              <w:jc w:val="right"/>
              <w:ind w:right="142"/>
              <w:spacing w:after="0" w:line="110" w:lineRule="exact"/>
              <w:rPr>
                <w:sz w:val="20"/>
                <w:szCs w:val="20"/>
                <w:color w:val="auto"/>
              </w:rPr>
            </w:pPr>
            <w:r>
              <w:rPr>
                <w:rFonts w:ascii="Arial" w:cs="Arial" w:eastAsia="Arial" w:hAnsi="Arial"/>
                <w:sz w:val="10"/>
                <w:szCs w:val="10"/>
                <w:b w:val="1"/>
                <w:bCs w:val="1"/>
                <w:color w:val="auto"/>
              </w:rPr>
              <w:t>Income tax</w:t>
            </w:r>
          </w:p>
        </w:tc>
        <w:tc>
          <w:tcPr>
            <w:tcW w:w="100" w:type="dxa"/>
            <w:vAlign w:val="bottom"/>
          </w:tcPr>
          <w:p>
            <w:pPr>
              <w:spacing w:after="0"/>
              <w:rPr>
                <w:sz w:val="9"/>
                <w:szCs w:val="9"/>
                <w:color w:val="auto"/>
              </w:rPr>
            </w:pPr>
          </w:p>
        </w:tc>
        <w:tc>
          <w:tcPr>
            <w:tcW w:w="940" w:type="dxa"/>
            <w:vAlign w:val="bottom"/>
            <w:gridSpan w:val="2"/>
          </w:tcPr>
          <w:p>
            <w:pPr>
              <w:ind w:left="120"/>
              <w:spacing w:after="0" w:line="110" w:lineRule="exact"/>
              <w:rPr>
                <w:sz w:val="20"/>
                <w:szCs w:val="20"/>
                <w:color w:val="auto"/>
              </w:rPr>
            </w:pPr>
            <w:r>
              <w:rPr>
                <w:rFonts w:ascii="Arial" w:cs="Arial" w:eastAsia="Arial" w:hAnsi="Arial"/>
                <w:sz w:val="10"/>
                <w:szCs w:val="10"/>
                <w:b w:val="1"/>
                <w:bCs w:val="1"/>
                <w:color w:val="auto"/>
              </w:rPr>
              <w:t>Effective tax</w:t>
            </w:r>
          </w:p>
        </w:tc>
        <w:tc>
          <w:tcPr>
            <w:tcW w:w="134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Income before income</w:t>
            </w:r>
          </w:p>
        </w:tc>
        <w:tc>
          <w:tcPr>
            <w:tcW w:w="120" w:type="dxa"/>
            <w:vAlign w:val="bottom"/>
          </w:tcPr>
          <w:p>
            <w:pPr>
              <w:spacing w:after="0"/>
              <w:rPr>
                <w:sz w:val="9"/>
                <w:szCs w:val="9"/>
                <w:color w:val="auto"/>
              </w:rPr>
            </w:pPr>
          </w:p>
        </w:tc>
        <w:tc>
          <w:tcPr>
            <w:tcW w:w="780" w:type="dxa"/>
            <w:vAlign w:val="bottom"/>
          </w:tcPr>
          <w:p>
            <w:pPr>
              <w:jc w:val="right"/>
              <w:ind w:right="122"/>
              <w:spacing w:after="0" w:line="110" w:lineRule="exact"/>
              <w:rPr>
                <w:sz w:val="20"/>
                <w:szCs w:val="20"/>
                <w:color w:val="auto"/>
              </w:rPr>
            </w:pPr>
            <w:r>
              <w:rPr>
                <w:rFonts w:ascii="Arial" w:cs="Arial" w:eastAsia="Arial" w:hAnsi="Arial"/>
                <w:sz w:val="10"/>
                <w:szCs w:val="10"/>
                <w:b w:val="1"/>
                <w:bCs w:val="1"/>
                <w:color w:val="auto"/>
              </w:rPr>
              <w:t>Income tax</w:t>
            </w:r>
          </w:p>
        </w:tc>
        <w:tc>
          <w:tcPr>
            <w:tcW w:w="100" w:type="dxa"/>
            <w:vAlign w:val="bottom"/>
          </w:tcPr>
          <w:p>
            <w:pPr>
              <w:spacing w:after="0"/>
              <w:rPr>
                <w:sz w:val="9"/>
                <w:szCs w:val="9"/>
                <w:color w:val="auto"/>
              </w:rPr>
            </w:pPr>
          </w:p>
        </w:tc>
        <w:tc>
          <w:tcPr>
            <w:tcW w:w="820" w:type="dxa"/>
            <w:vAlign w:val="bottom"/>
          </w:tcPr>
          <w:p>
            <w:pPr>
              <w:jc w:val="right"/>
              <w:ind w:right="70"/>
              <w:spacing w:after="0" w:line="110" w:lineRule="exact"/>
              <w:rPr>
                <w:sz w:val="20"/>
                <w:szCs w:val="20"/>
                <w:color w:val="auto"/>
              </w:rPr>
            </w:pPr>
            <w:r>
              <w:rPr>
                <w:rFonts w:ascii="Arial" w:cs="Arial" w:eastAsia="Arial" w:hAnsi="Arial"/>
                <w:sz w:val="10"/>
                <w:szCs w:val="10"/>
                <w:b w:val="1"/>
                <w:bCs w:val="1"/>
                <w:color w:val="auto"/>
              </w:rPr>
              <w:t>Effective tax</w:t>
            </w:r>
          </w:p>
        </w:tc>
        <w:tc>
          <w:tcPr>
            <w:tcW w:w="0" w:type="dxa"/>
            <w:vAlign w:val="bottom"/>
          </w:tcPr>
          <w:p>
            <w:pPr>
              <w:spacing w:after="0"/>
              <w:rPr>
                <w:sz w:val="1"/>
                <w:szCs w:val="1"/>
                <w:color w:val="auto"/>
              </w:rPr>
            </w:pPr>
          </w:p>
        </w:tc>
      </w:tr>
      <w:tr>
        <w:trPr>
          <w:trHeight w:val="140"/>
        </w:trPr>
        <w:tc>
          <w:tcPr>
            <w:tcW w:w="4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taxes</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expense</w:t>
            </w: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b w:val="1"/>
                <w:bCs w:val="1"/>
                <w:color w:val="auto"/>
              </w:rPr>
              <w:t>rate</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0"/>
                <w:szCs w:val="10"/>
                <w:b w:val="1"/>
                <w:bCs w:val="1"/>
                <w:color w:val="auto"/>
              </w:rPr>
              <w:t>taxes</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expense</w:t>
            </w: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b w:val="1"/>
                <w:bCs w:val="1"/>
                <w:color w:val="auto"/>
              </w:rPr>
              <w:t>rate</w:t>
            </w:r>
          </w:p>
        </w:tc>
        <w:tc>
          <w:tcPr>
            <w:tcW w:w="0" w:type="dxa"/>
            <w:vAlign w:val="bottom"/>
          </w:tcPr>
          <w:p>
            <w:pPr>
              <w:spacing w:after="0"/>
              <w:rPr>
                <w:sz w:val="1"/>
                <w:szCs w:val="1"/>
                <w:color w:val="auto"/>
              </w:rPr>
            </w:pPr>
          </w:p>
        </w:tc>
      </w:tr>
      <w:tr>
        <w:trPr>
          <w:trHeight w:val="19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7,436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769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8,549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474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8"/>
        </w:trPr>
        <w:tc>
          <w:tcPr>
            <w:tcW w:w="494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00" w:type="dxa"/>
            <w:vAlign w:val="bottom"/>
          </w:tcPr>
          <w:p>
            <w:pPr>
              <w:spacing w:after="0"/>
              <w:rPr>
                <w:sz w:val="18"/>
                <w:szCs w:val="18"/>
                <w:color w:val="auto"/>
              </w:rPr>
            </w:pPr>
          </w:p>
        </w:tc>
        <w:tc>
          <w:tcPr>
            <w:tcW w:w="1180" w:type="dxa"/>
            <w:vAlign w:val="bottom"/>
          </w:tcPr>
          <w:p>
            <w:pPr>
              <w:jc w:val="right"/>
              <w:ind w:right="61"/>
              <w:spacing w:after="0"/>
              <w:rPr>
                <w:sz w:val="20"/>
                <w:szCs w:val="20"/>
                <w:color w:val="auto"/>
              </w:rPr>
            </w:pPr>
            <w:r>
              <w:rPr>
                <w:rFonts w:ascii="Arial" w:cs="Arial" w:eastAsia="Arial" w:hAnsi="Arial"/>
                <w:sz w:val="13"/>
                <w:szCs w:val="13"/>
                <w:color w:val="auto"/>
              </w:rPr>
              <w:t>545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62"/>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3"/>
                <w:szCs w:val="13"/>
                <w:color w:val="auto"/>
              </w:rPr>
              <w:t>2,946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2"/>
              <w:spacing w:after="0"/>
              <w:rPr>
                <w:sz w:val="20"/>
                <w:szCs w:val="20"/>
                <w:color w:val="auto"/>
              </w:rPr>
            </w:pPr>
            <w:r>
              <w:rPr>
                <w:rFonts w:ascii="Arial" w:cs="Arial" w:eastAsia="Arial" w:hAnsi="Arial"/>
                <w:sz w:val="13"/>
                <w:szCs w:val="13"/>
                <w:color w:val="auto"/>
              </w:rPr>
              <w:t>416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adjustments(b)</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3"/>
                <w:szCs w:val="13"/>
                <w:color w:val="auto"/>
              </w:rPr>
              <w:t>1,111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94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7,981</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color w:val="auto"/>
              </w:rPr>
              <w:t>957</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11,495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color w:val="auto"/>
              </w:rPr>
              <w:t>2,001</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4"/>
        <w:spacing w:after="0" w:line="245" w:lineRule="auto"/>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(loss) attributable to stockholders under U.S. GAAP for adjustment details. Net income attributable to noncontrolling interests for these adjustments is included in the years ended December 31, 2019 and 2018. The tax effect of each adjustment is determined based on the tax laws and valuation allowance status of the jurisdiction to which the adjustment relates.</w:t>
      </w:r>
    </w:p>
    <w:p>
      <w:pPr>
        <w:ind w:left="260" w:hanging="254"/>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diluted earnings (loss) per common share under U.S. GAAP to EPS-diluted-adjusted within the previous section for adjustment details.</w:t>
      </w:r>
    </w:p>
    <w:p>
      <w:pPr>
        <w:spacing w:after="0" w:line="151" w:lineRule="exact"/>
        <w:rPr>
          <w:sz w:val="20"/>
          <w:szCs w:val="20"/>
          <w:color w:val="auto"/>
        </w:rPr>
      </w:pPr>
    </w:p>
    <w:p>
      <w:pPr>
        <w:ind w:firstLine="129"/>
        <w:spacing w:after="0" w:line="251"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820" w:type="dxa"/>
            <w:vAlign w:val="bottom"/>
          </w:tcPr>
          <w:p>
            <w:pPr>
              <w:spacing w:after="0"/>
              <w:rPr>
                <w:sz w:val="12"/>
                <w:szCs w:val="12"/>
                <w:color w:val="auto"/>
              </w:rPr>
            </w:pPr>
          </w:p>
        </w:tc>
        <w:tc>
          <w:tcPr>
            <w:tcW w:w="21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Years Ended December 31,</w:t>
            </w:r>
          </w:p>
        </w:tc>
        <w:tc>
          <w:tcPr>
            <w:tcW w:w="460" w:type="dxa"/>
            <w:vAlign w:val="bottom"/>
            <w:tcBorders>
              <w:bottom w:val="single" w:sz="8" w:color="auto"/>
            </w:tcBorders>
          </w:tcPr>
          <w:p>
            <w:pPr>
              <w:spacing w:after="0"/>
              <w:rPr>
                <w:sz w:val="12"/>
                <w:szCs w:val="12"/>
                <w:color w:val="auto"/>
              </w:rPr>
            </w:pPr>
          </w:p>
        </w:tc>
      </w:tr>
      <w:tr>
        <w:trPr>
          <w:trHeight w:val="206"/>
        </w:trPr>
        <w:tc>
          <w:tcPr>
            <w:tcW w:w="88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460" w:type="dxa"/>
            <w:vAlign w:val="bottom"/>
            <w:tcBorders>
              <w:bottom w:val="single" w:sz="8" w:color="auto"/>
            </w:tcBorders>
          </w:tcPr>
          <w:p>
            <w:pPr>
              <w:spacing w:after="0"/>
              <w:rPr>
                <w:sz w:val="17"/>
                <w:szCs w:val="17"/>
                <w:color w:val="auto"/>
              </w:rPr>
            </w:pPr>
          </w:p>
        </w:tc>
      </w:tr>
      <w:tr>
        <w:trPr>
          <w:trHeight w:val="191"/>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800" w:type="dxa"/>
            <w:vAlign w:val="bottom"/>
            <w:shd w:val="clear" w:color="auto" w:fill="CCEEFF"/>
          </w:tcPr>
          <w:p>
            <w:pPr>
              <w:jc w:val="right"/>
              <w:ind w:right="663"/>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8.0</w:t>
            </w:r>
          </w:p>
        </w:tc>
      </w:tr>
      <w:tr>
        <w:trPr>
          <w:trHeight w:val="186"/>
        </w:trPr>
        <w:tc>
          <w:tcPr>
            <w:tcW w:w="882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800" w:type="dxa"/>
            <w:vAlign w:val="bottom"/>
          </w:tcPr>
          <w:p>
            <w:pPr>
              <w:jc w:val="right"/>
              <w:ind w:right="663"/>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75"/>
              <w:spacing w:after="0"/>
              <w:rPr>
                <w:sz w:val="20"/>
                <w:szCs w:val="20"/>
                <w:color w:val="auto"/>
              </w:rPr>
            </w:pPr>
            <w:r>
              <w:rPr>
                <w:rFonts w:ascii="Arial" w:cs="Arial" w:eastAsia="Arial" w:hAnsi="Arial"/>
                <w:sz w:val="13"/>
                <w:szCs w:val="13"/>
                <w:color w:val="auto"/>
              </w:rPr>
              <w:t>43.7</w:t>
            </w:r>
          </w:p>
        </w:tc>
        <w:tc>
          <w:tcPr>
            <w:tcW w:w="120" w:type="dxa"/>
            <w:vAlign w:val="bottom"/>
          </w:tcPr>
          <w:p>
            <w:pPr>
              <w:spacing w:after="0"/>
              <w:rPr>
                <w:sz w:val="16"/>
                <w:szCs w:val="16"/>
                <w:color w:val="auto"/>
              </w:rPr>
            </w:pPr>
          </w:p>
        </w:tc>
        <w:tc>
          <w:tcPr>
            <w:tcW w:w="800" w:type="dxa"/>
            <w:vAlign w:val="bottom"/>
          </w:tcPr>
          <w:p>
            <w:pPr>
              <w:jc w:val="right"/>
              <w:ind w:right="66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75"/>
              <w:spacing w:after="0"/>
              <w:rPr>
                <w:sz w:val="20"/>
                <w:szCs w:val="20"/>
                <w:color w:val="auto"/>
              </w:rPr>
            </w:pPr>
            <w:r>
              <w:rPr>
                <w:rFonts w:ascii="Arial" w:cs="Arial" w:eastAsia="Arial" w:hAnsi="Arial"/>
                <w:sz w:val="13"/>
                <w:szCs w:val="13"/>
                <w:color w:val="auto"/>
              </w:rPr>
              <w:t>37.4</w:t>
            </w:r>
          </w:p>
        </w:tc>
      </w:tr>
      <w:tr>
        <w:trPr>
          <w:trHeight w:val="202"/>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r>
      <w:tr>
        <w:trPr>
          <w:trHeight w:val="133"/>
        </w:trPr>
        <w:tc>
          <w:tcPr>
            <w:tcW w:w="8820" w:type="dxa"/>
            <w:vAlign w:val="bottom"/>
          </w:tcPr>
          <w:p>
            <w:pPr>
              <w:jc w:val="right"/>
              <w:ind w:right="8237"/>
              <w:spacing w:after="0"/>
              <w:rPr>
                <w:sz w:val="20"/>
                <w:szCs w:val="20"/>
                <w:color w:val="auto"/>
              </w:rPr>
            </w:pPr>
            <w:r>
              <w:rPr>
                <w:rFonts w:ascii="Arial" w:cs="Arial" w:eastAsia="Arial" w:hAnsi="Arial"/>
                <w:sz w:val="11"/>
                <w:szCs w:val="11"/>
                <w:color w:val="auto"/>
              </w:rPr>
              <w:t>________</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r>
    </w:tbl>
    <w:p>
      <w:pPr>
        <w:ind w:left="260" w:hanging="254"/>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Net income (loss) attributable to stockholders.</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820" w:type="dxa"/>
            <w:vAlign w:val="bottom"/>
          </w:tcPr>
          <w:p>
            <w:pPr>
              <w:spacing w:after="0"/>
              <w:rPr>
                <w:sz w:val="12"/>
                <w:szCs w:val="12"/>
                <w:color w:val="auto"/>
              </w:rPr>
            </w:pPr>
          </w:p>
        </w:tc>
        <w:tc>
          <w:tcPr>
            <w:tcW w:w="21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0"/>
                <w:szCs w:val="10"/>
                <w:b w:val="1"/>
                <w:bCs w:val="1"/>
                <w:color w:val="auto"/>
              </w:rPr>
              <w:t>Years Ended December 31,</w:t>
            </w:r>
          </w:p>
        </w:tc>
        <w:tc>
          <w:tcPr>
            <w:tcW w:w="480" w:type="dxa"/>
            <w:vAlign w:val="bottom"/>
            <w:tcBorders>
              <w:bottom w:val="single" w:sz="8" w:color="auto"/>
            </w:tcBorders>
          </w:tcPr>
          <w:p>
            <w:pPr>
              <w:spacing w:after="0"/>
              <w:rPr>
                <w:sz w:val="12"/>
                <w:szCs w:val="12"/>
                <w:color w:val="auto"/>
              </w:rPr>
            </w:pPr>
          </w:p>
        </w:tc>
      </w:tr>
      <w:tr>
        <w:trPr>
          <w:trHeight w:val="206"/>
        </w:trPr>
        <w:tc>
          <w:tcPr>
            <w:tcW w:w="88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480" w:type="dxa"/>
            <w:vAlign w:val="bottom"/>
            <w:tcBorders>
              <w:bottom w:val="single" w:sz="8" w:color="auto"/>
            </w:tcBorders>
          </w:tcPr>
          <w:p>
            <w:pPr>
              <w:spacing w:after="0"/>
              <w:rPr>
                <w:sz w:val="17"/>
                <w:szCs w:val="17"/>
                <w:color w:val="auto"/>
              </w:rPr>
            </w:pPr>
          </w:p>
        </w:tc>
      </w:tr>
      <w:tr>
        <w:trPr>
          <w:trHeight w:val="191"/>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EBIT-adjusted(a)</w:t>
            </w:r>
          </w:p>
        </w:tc>
        <w:tc>
          <w:tcPr>
            <w:tcW w:w="780" w:type="dxa"/>
            <w:vAlign w:val="bottom"/>
            <w:shd w:val="clear" w:color="auto" w:fill="CCEEFF"/>
          </w:tcPr>
          <w:p>
            <w:pPr>
              <w:jc w:val="right"/>
              <w:ind w:right="641"/>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11.8</w:t>
            </w:r>
          </w:p>
        </w:tc>
      </w:tr>
      <w:tr>
        <w:trPr>
          <w:trHeight w:val="186"/>
        </w:trPr>
        <w:tc>
          <w:tcPr>
            <w:tcW w:w="882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780" w:type="dxa"/>
            <w:vAlign w:val="bottom"/>
          </w:tcPr>
          <w:p>
            <w:pPr>
              <w:jc w:val="right"/>
              <w:ind w:right="641"/>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75"/>
              <w:spacing w:after="0"/>
              <w:rPr>
                <w:sz w:val="20"/>
                <w:szCs w:val="20"/>
                <w:color w:val="auto"/>
              </w:rPr>
            </w:pPr>
            <w:r>
              <w:rPr>
                <w:rFonts w:ascii="Arial" w:cs="Arial" w:eastAsia="Arial" w:hAnsi="Arial"/>
                <w:sz w:val="13"/>
                <w:szCs w:val="13"/>
                <w:color w:val="auto"/>
              </w:rPr>
              <w:t>43.7</w:t>
            </w:r>
          </w:p>
        </w:tc>
        <w:tc>
          <w:tcPr>
            <w:tcW w:w="120" w:type="dxa"/>
            <w:vAlign w:val="bottom"/>
          </w:tcPr>
          <w:p>
            <w:pPr>
              <w:spacing w:after="0"/>
              <w:rPr>
                <w:sz w:val="16"/>
                <w:szCs w:val="16"/>
                <w:color w:val="auto"/>
              </w:rPr>
            </w:pPr>
          </w:p>
        </w:tc>
        <w:tc>
          <w:tcPr>
            <w:tcW w:w="780" w:type="dxa"/>
            <w:vAlign w:val="bottom"/>
          </w:tcPr>
          <w:p>
            <w:pPr>
              <w:jc w:val="right"/>
              <w:ind w:right="639"/>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75"/>
              <w:spacing w:after="0"/>
              <w:rPr>
                <w:sz w:val="20"/>
                <w:szCs w:val="20"/>
                <w:color w:val="auto"/>
              </w:rPr>
            </w:pPr>
            <w:r>
              <w:rPr>
                <w:rFonts w:ascii="Arial" w:cs="Arial" w:eastAsia="Arial" w:hAnsi="Arial"/>
                <w:sz w:val="13"/>
                <w:szCs w:val="13"/>
                <w:color w:val="auto"/>
              </w:rPr>
              <w:t>37.4</w:t>
            </w:r>
          </w:p>
        </w:tc>
      </w:tr>
      <w:tr>
        <w:trPr>
          <w:trHeight w:val="202"/>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14.4</w:t>
            </w:r>
          </w:p>
        </w:tc>
      </w:tr>
      <w:tr>
        <w:trPr>
          <w:trHeight w:val="186"/>
        </w:trPr>
        <w:tc>
          <w:tcPr>
            <w:tcW w:w="882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780" w:type="dxa"/>
            <w:vAlign w:val="bottom"/>
          </w:tcPr>
          <w:p>
            <w:pPr>
              <w:spacing w:after="0"/>
              <w:rPr>
                <w:sz w:val="16"/>
                <w:szCs w:val="16"/>
                <w:color w:val="auto"/>
              </w:rPr>
            </w:pPr>
          </w:p>
        </w:tc>
        <w:tc>
          <w:tcPr>
            <w:tcW w:w="480" w:type="dxa"/>
            <w:vAlign w:val="bottom"/>
          </w:tcPr>
          <w:p>
            <w:pPr>
              <w:jc w:val="right"/>
              <w:ind w:right="75"/>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ind w:right="75"/>
              <w:spacing w:after="0"/>
              <w:rPr>
                <w:sz w:val="20"/>
                <w:szCs w:val="20"/>
                <w:color w:val="auto"/>
              </w:rPr>
            </w:pPr>
            <w:r>
              <w:rPr>
                <w:rFonts w:ascii="Arial" w:cs="Arial" w:eastAsia="Arial" w:hAnsi="Arial"/>
                <w:sz w:val="13"/>
                <w:szCs w:val="13"/>
                <w:color w:val="auto"/>
              </w:rPr>
              <w:t>18.3</w:t>
            </w:r>
          </w:p>
        </w:tc>
      </w:tr>
      <w:tr>
        <w:trPr>
          <w:trHeight w:val="194"/>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net income tax asset</w:t>
            </w:r>
          </w:p>
        </w:tc>
        <w:tc>
          <w:tcPr>
            <w:tcW w:w="7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(22.7)</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ROIC-adjusted average net assets</w:t>
            </w:r>
          </w:p>
        </w:tc>
        <w:tc>
          <w:tcPr>
            <w:tcW w:w="780" w:type="dxa"/>
            <w:vAlign w:val="bottom"/>
            <w:tcBorders>
              <w:bottom w:val="single" w:sz="8" w:color="auto"/>
            </w:tcBorders>
          </w:tcPr>
          <w:p>
            <w:pPr>
              <w:jc w:val="right"/>
              <w:ind w:right="641"/>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51.8</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47.4</w:t>
            </w:r>
          </w:p>
        </w:tc>
      </w:tr>
      <w:tr>
        <w:trPr>
          <w:trHeight w:val="169"/>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r>
      <w:tr>
        <w:trPr>
          <w:trHeight w:val="133"/>
        </w:trPr>
        <w:tc>
          <w:tcPr>
            <w:tcW w:w="8820" w:type="dxa"/>
            <w:vAlign w:val="bottom"/>
          </w:tcPr>
          <w:p>
            <w:pPr>
              <w:spacing w:after="0"/>
              <w:rPr>
                <w:sz w:val="20"/>
                <w:szCs w:val="20"/>
                <w:color w:val="auto"/>
              </w:rPr>
            </w:pPr>
            <w:r>
              <w:rPr>
                <w:rFonts w:ascii="Arial" w:cs="Arial" w:eastAsia="Arial" w:hAnsi="Arial"/>
                <w:sz w:val="11"/>
                <w:szCs w:val="11"/>
                <w:color w:val="auto"/>
              </w:rPr>
              <w:t>________</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r>
    </w:tbl>
    <w:p>
      <w:pPr>
        <w:ind w:left="260" w:hanging="254"/>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(loss) attributable to stockholders under U.S. GAAP for adjustment details.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EBIT-adjusted.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60"/>
          </w:cols>
          <w:pgMar w:left="220" w:top="470"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(Unaudited)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following table reconciles Net automotive cash provided by operating activities from continuing operations under U.S. GAAP to adjusted automotive free cash flow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right"/>
              <w:ind w:right="937"/>
              <w:spacing w:after="0"/>
              <w:rPr>
                <w:sz w:val="20"/>
                <w:szCs w:val="20"/>
                <w:color w:val="auto"/>
              </w:rPr>
            </w:pPr>
            <w:r>
              <w:rPr>
                <w:rFonts w:ascii="Arial" w:cs="Arial" w:eastAsia="Arial" w:hAnsi="Arial"/>
                <w:sz w:val="10"/>
                <w:szCs w:val="10"/>
                <w:b w:val="1"/>
                <w:bCs w:val="1"/>
                <w:color w:val="auto"/>
              </w:rPr>
              <w:t>Years Ended</w:t>
            </w:r>
          </w:p>
        </w:tc>
        <w:tc>
          <w:tcPr>
            <w:tcW w:w="0" w:type="dxa"/>
            <w:vAlign w:val="bottom"/>
          </w:tcPr>
          <w:p>
            <w:pPr>
              <w:spacing w:after="0"/>
              <w:rPr>
                <w:sz w:val="1"/>
                <w:szCs w:val="1"/>
                <w:color w:val="auto"/>
              </w:rPr>
            </w:pPr>
          </w:p>
        </w:tc>
      </w:tr>
      <w:tr>
        <w:trPr>
          <w:trHeight w:val="206"/>
        </w:trPr>
        <w:tc>
          <w:tcPr>
            <w:tcW w:w="434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December 31, 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December 31, 2018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rPr>
              <w:t>December 31, 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operating activities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7,392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11,737</w:t>
            </w:r>
          </w:p>
        </w:tc>
        <w:tc>
          <w:tcPr>
            <w:tcW w:w="0" w:type="dxa"/>
            <w:vAlign w:val="bottom"/>
          </w:tcPr>
          <w:p>
            <w:pPr>
              <w:spacing w:after="0"/>
              <w:rPr>
                <w:sz w:val="1"/>
                <w:szCs w:val="1"/>
                <w:color w:val="auto"/>
              </w:rPr>
            </w:pPr>
          </w:p>
        </w:tc>
      </w:tr>
      <w:tr>
        <w:trPr>
          <w:trHeight w:val="208"/>
        </w:trPr>
        <w:tc>
          <w:tcPr>
            <w:tcW w:w="434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3"/>
                <w:szCs w:val="13"/>
                <w:color w:val="auto"/>
              </w:rPr>
              <w:t>(2,706)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(2,190)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(7,485)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(8,686)</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340" w:type="dxa"/>
            <w:vAlign w:val="bottom"/>
          </w:tcPr>
          <w:p>
            <w:pPr>
              <w:ind w:left="160"/>
              <w:spacing w:after="0"/>
              <w:rPr>
                <w:sz w:val="20"/>
                <w:szCs w:val="20"/>
                <w:color w:val="auto"/>
              </w:rPr>
            </w:pPr>
            <w:r>
              <w:rPr>
                <w:rFonts w:ascii="Arial" w:cs="Arial" w:eastAsia="Arial" w:hAnsi="Arial"/>
                <w:sz w:val="13"/>
                <w:szCs w:val="13"/>
                <w:color w:val="auto"/>
              </w:rPr>
              <w:t>Transformation activities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8"/>
              <w:spacing w:after="0"/>
              <w:rPr>
                <w:sz w:val="20"/>
                <w:szCs w:val="20"/>
                <w:color w:val="auto"/>
              </w:rPr>
            </w:pPr>
            <w:r>
              <w:rPr>
                <w:rFonts w:ascii="Arial" w:cs="Arial" w:eastAsia="Arial" w:hAnsi="Arial"/>
                <w:sz w:val="13"/>
                <w:szCs w:val="13"/>
                <w:color w:val="auto"/>
              </w:rPr>
              <w:t>460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8"/>
              <w:spacing w:after="0"/>
              <w:rPr>
                <w:sz w:val="20"/>
                <w:szCs w:val="20"/>
                <w:color w:val="auto"/>
              </w:rPr>
            </w:pPr>
            <w:r>
              <w:rPr>
                <w:rFonts w:ascii="Arial" w:cs="Arial" w:eastAsia="Arial" w:hAnsi="Arial"/>
                <w:sz w:val="13"/>
                <w:szCs w:val="13"/>
                <w:color w:val="auto"/>
              </w:rPr>
              <w:t>1,105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GM Brazil indirect tax recoveries</w:t>
            </w: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8"/>
        </w:trPr>
        <w:tc>
          <w:tcPr>
            <w:tcW w:w="4340" w:type="dxa"/>
            <w:vAlign w:val="bottom"/>
          </w:tcPr>
          <w:p>
            <w:pPr>
              <w:ind w:left="160"/>
              <w:spacing w:after="0"/>
              <w:rPr>
                <w:sz w:val="20"/>
                <w:szCs w:val="20"/>
                <w:color w:val="auto"/>
              </w:rPr>
            </w:pPr>
            <w:r>
              <w:rPr>
                <w:rFonts w:ascii="Arial" w:cs="Arial" w:eastAsia="Arial" w:hAnsi="Arial"/>
                <w:sz w:val="13"/>
                <w:szCs w:val="13"/>
                <w:color w:val="auto"/>
              </w:rPr>
              <w:t>FAW-GM divestiture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8"/>
              <w:spacing w:after="0"/>
              <w:rPr>
                <w:sz w:val="20"/>
                <w:szCs w:val="20"/>
                <w:color w:val="auto"/>
              </w:rPr>
            </w:pPr>
            <w:r>
              <w:rPr>
                <w:rFonts w:ascii="Arial" w:cs="Arial" w:eastAsia="Arial" w:hAnsi="Arial"/>
                <w:sz w:val="13"/>
                <w:szCs w:val="13"/>
                <w:color w:val="auto"/>
              </w:rPr>
              <w:t>204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120" w:type="dxa"/>
            <w:vAlign w:val="bottom"/>
          </w:tcPr>
          <w:p>
            <w:pPr>
              <w:jc w:val="right"/>
              <w:ind w:right="38"/>
              <w:spacing w:after="0"/>
              <w:rPr>
                <w:sz w:val="20"/>
                <w:szCs w:val="20"/>
                <w:color w:val="auto"/>
              </w:rPr>
            </w:pPr>
            <w:r>
              <w:rPr>
                <w:rFonts w:ascii="Arial" w:cs="Arial" w:eastAsia="Arial" w:hAnsi="Arial"/>
                <w:sz w:val="13"/>
                <w:szCs w:val="13"/>
                <w:color w:val="auto"/>
              </w:rPr>
              <w:t>204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GMI restructuring</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adjustments</w:t>
            </w:r>
          </w:p>
        </w:tc>
        <w:tc>
          <w:tcPr>
            <w:tcW w:w="17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625</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1,203</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794</w:t>
            </w:r>
          </w:p>
        </w:tc>
        <w:tc>
          <w:tcPr>
            <w:tcW w:w="0" w:type="dxa"/>
            <w:vAlign w:val="bottom"/>
          </w:tcPr>
          <w:p>
            <w:pPr>
              <w:spacing w:after="0"/>
              <w:rPr>
                <w:sz w:val="1"/>
                <w:szCs w:val="1"/>
                <w:color w:val="auto"/>
              </w:rPr>
            </w:pPr>
          </w:p>
        </w:tc>
      </w:tr>
      <w:tr>
        <w:trPr>
          <w:trHeight w:val="190"/>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automotive free cash flow</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(1,312)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3,845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255"/>
              <w:spacing w:after="0"/>
              <w:rPr>
                <w:sz w:val="20"/>
                <w:szCs w:val="20"/>
                <w:color w:val="auto"/>
              </w:rPr>
            </w:pPr>
            <w:r>
              <w:rPr>
                <w:rFonts w:ascii="Arial" w:cs="Arial" w:eastAsia="Arial" w:hAnsi="Arial"/>
                <w:sz w:val="13"/>
                <w:szCs w:val="13"/>
                <w:color w:val="auto"/>
              </w:rPr>
              <w:t>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3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70"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22"/>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2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22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1380" w:type="dxa"/>
            <w:vAlign w:val="bottom"/>
            <w:gridSpan w:val="3"/>
          </w:tcPr>
          <w:p>
            <w:pPr>
              <w:ind w:left="20"/>
              <w:spacing w:after="0"/>
              <w:rPr>
                <w:sz w:val="20"/>
                <w:szCs w:val="20"/>
                <w:color w:val="auto"/>
              </w:rPr>
            </w:pPr>
            <w:r>
              <w:rPr>
                <w:rFonts w:ascii="Arial" w:cs="Arial" w:eastAsia="Arial" w:hAnsi="Arial"/>
                <w:sz w:val="9"/>
                <w:szCs w:val="9"/>
                <w:b w:val="1"/>
                <w:bCs w:val="1"/>
                <w:color w:val="auto"/>
              </w:rPr>
              <w:t>Eliminations/Reclassifications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420" w:type="dxa"/>
            <w:vAlign w:val="bottom"/>
          </w:tcPr>
          <w:p>
            <w:pPr>
              <w:ind w:left="20"/>
              <w:spacing w:after="0"/>
              <w:rPr>
                <w:sz w:val="20"/>
                <w:szCs w:val="20"/>
                <w:color w:val="auto"/>
              </w:rPr>
            </w:pPr>
            <w:r>
              <w:rPr>
                <w:rFonts w:ascii="Arial" w:cs="Arial" w:eastAsia="Arial" w:hAnsi="Arial"/>
                <w:sz w:val="9"/>
                <w:szCs w:val="9"/>
                <w:b w:val="1"/>
                <w:bCs w:val="1"/>
                <w:color w:val="auto"/>
              </w:rPr>
              <w:t>Three Months Ended December 31, 2019</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24"/>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22,706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4,420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27,194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3,636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30,826</w:t>
            </w:r>
          </w:p>
        </w:tc>
      </w:tr>
      <w:tr>
        <w:trPr>
          <w:trHeight w:val="209"/>
        </w:trPr>
        <w:tc>
          <w:tcPr>
            <w:tcW w:w="2420" w:type="dxa"/>
            <w:vAlign w:val="bottom"/>
          </w:tcPr>
          <w:p>
            <w:pPr>
              <w:ind w:left="20"/>
              <w:spacing w:after="0"/>
              <w:rPr>
                <w:sz w:val="20"/>
                <w:szCs w:val="20"/>
                <w:color w:val="auto"/>
              </w:rPr>
            </w:pPr>
            <w:r>
              <w:rPr>
                <w:rFonts w:ascii="Arial" w:cs="Arial" w:eastAsia="Arial" w:hAnsi="Arial"/>
                <w:sz w:val="9"/>
                <w:szCs w:val="9"/>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2,214</w:t>
            </w:r>
          </w:p>
        </w:tc>
        <w:tc>
          <w:tcPr>
            <w:tcW w:w="120" w:type="dxa"/>
            <w:vAlign w:val="bottom"/>
          </w:tcPr>
          <w:p>
            <w:pPr>
              <w:spacing w:after="0"/>
              <w:rPr>
                <w:sz w:val="18"/>
                <w:szCs w:val="18"/>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409</w:t>
            </w:r>
          </w:p>
        </w:tc>
        <w:tc>
          <w:tcPr>
            <w:tcW w:w="12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83</w:t>
            </w:r>
          </w:p>
        </w:tc>
        <w:tc>
          <w:tcPr>
            <w:tcW w:w="120" w:type="dxa"/>
            <w:vAlign w:val="bottom"/>
          </w:tcPr>
          <w:p>
            <w:pPr>
              <w:spacing w:after="0"/>
              <w:rPr>
                <w:sz w:val="18"/>
                <w:szCs w:val="18"/>
                <w:color w:val="auto"/>
              </w:rPr>
            </w:pP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2,706</w:t>
            </w:r>
          </w:p>
        </w:tc>
        <w:tc>
          <w:tcPr>
            <w:tcW w:w="10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13</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2,740</w:t>
            </w:r>
          </w:p>
        </w:tc>
      </w:tr>
      <w:tr>
        <w:trPr>
          <w:trHeight w:val="222"/>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1,771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3,247</w:t>
            </w:r>
          </w:p>
        </w:tc>
      </w:tr>
      <w:tr>
        <w:trPr>
          <w:trHeight w:val="209"/>
        </w:trPr>
        <w:tc>
          <w:tcPr>
            <w:tcW w:w="2420" w:type="dxa"/>
            <w:vAlign w:val="bottom"/>
          </w:tcPr>
          <w:p>
            <w:pPr>
              <w:ind w:left="20"/>
              <w:spacing w:after="0"/>
              <w:rPr>
                <w:sz w:val="20"/>
                <w:szCs w:val="20"/>
                <w:color w:val="auto"/>
              </w:rPr>
            </w:pPr>
            <w:r>
              <w:rPr>
                <w:rFonts w:ascii="Arial" w:cs="Arial" w:eastAsia="Arial" w:hAnsi="Arial"/>
                <w:sz w:val="9"/>
                <w:szCs w:val="9"/>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39</w:t>
            </w:r>
          </w:p>
        </w:tc>
      </w:tr>
      <w:tr>
        <w:trPr>
          <w:trHeight w:val="222"/>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Equity income(a)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268</w:t>
            </w:r>
          </w:p>
        </w:tc>
      </w:tr>
      <w:tr>
        <w:trPr>
          <w:trHeight w:val="365"/>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2"/>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2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22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22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9"/>
                <w:szCs w:val="9"/>
                <w:b w:val="1"/>
                <w:bCs w:val="1"/>
                <w:color w:val="auto"/>
              </w:rPr>
              <w:t>Eliminations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420" w:type="dxa"/>
            <w:vAlign w:val="bottom"/>
          </w:tcPr>
          <w:p>
            <w:pPr>
              <w:ind w:left="20"/>
              <w:spacing w:after="0"/>
              <w:rPr>
                <w:sz w:val="20"/>
                <w:szCs w:val="20"/>
                <w:color w:val="auto"/>
              </w:rPr>
            </w:pPr>
            <w:r>
              <w:rPr>
                <w:rFonts w:ascii="Arial" w:cs="Arial" w:eastAsia="Arial" w:hAnsi="Arial"/>
                <w:sz w:val="9"/>
                <w:szCs w:val="9"/>
                <w:b w:val="1"/>
                <w:bCs w:val="1"/>
                <w:color w:val="auto"/>
              </w:rPr>
              <w:t>Three Months Ended December 31, 2018</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24"/>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29,823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4,960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34,831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3,599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38,399</w:t>
            </w:r>
          </w:p>
        </w:tc>
      </w:tr>
      <w:tr>
        <w:trPr>
          <w:trHeight w:val="209"/>
        </w:trPr>
        <w:tc>
          <w:tcPr>
            <w:tcW w:w="2420" w:type="dxa"/>
            <w:vAlign w:val="bottom"/>
          </w:tcPr>
          <w:p>
            <w:pPr>
              <w:ind w:left="20"/>
              <w:spacing w:after="0"/>
              <w:rPr>
                <w:sz w:val="20"/>
                <w:szCs w:val="20"/>
                <w:color w:val="auto"/>
              </w:rPr>
            </w:pPr>
            <w:r>
              <w:rPr>
                <w:rFonts w:ascii="Arial" w:cs="Arial" w:eastAsia="Arial" w:hAnsi="Arial"/>
                <w:sz w:val="9"/>
                <w:szCs w:val="9"/>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1,942</w:t>
            </w:r>
          </w:p>
        </w:tc>
        <w:tc>
          <w:tcPr>
            <w:tcW w:w="120" w:type="dxa"/>
            <w:vAlign w:val="bottom"/>
          </w:tcPr>
          <w:p>
            <w:pPr>
              <w:spacing w:after="0"/>
              <w:rPr>
                <w:sz w:val="18"/>
                <w:szCs w:val="18"/>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243</w:t>
            </w:r>
          </w:p>
        </w:tc>
        <w:tc>
          <w:tcPr>
            <w:tcW w:w="12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8"/>
                <w:szCs w:val="18"/>
                <w:color w:val="auto"/>
              </w:rPr>
            </w:pP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2,190</w:t>
            </w:r>
          </w:p>
        </w:tc>
        <w:tc>
          <w:tcPr>
            <w:tcW w:w="10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2,199</w:t>
            </w:r>
          </w:p>
        </w:tc>
      </w:tr>
      <w:tr>
        <w:trPr>
          <w:trHeight w:val="222"/>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1,971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3,641</w:t>
            </w:r>
          </w:p>
        </w:tc>
      </w:tr>
      <w:tr>
        <w:trPr>
          <w:trHeight w:val="209"/>
        </w:trPr>
        <w:tc>
          <w:tcPr>
            <w:tcW w:w="2420" w:type="dxa"/>
            <w:vAlign w:val="bottom"/>
          </w:tcPr>
          <w:p>
            <w:pPr>
              <w:ind w:left="20"/>
              <w:spacing w:after="0"/>
              <w:rPr>
                <w:sz w:val="20"/>
                <w:szCs w:val="20"/>
                <w:color w:val="auto"/>
              </w:rPr>
            </w:pPr>
            <w:r>
              <w:rPr>
                <w:rFonts w:ascii="Arial" w:cs="Arial" w:eastAsia="Arial" w:hAnsi="Arial"/>
                <w:sz w:val="9"/>
                <w:szCs w:val="9"/>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8"/>
                <w:szCs w:val="18"/>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5</w:t>
            </w:r>
          </w:p>
        </w:tc>
      </w:tr>
      <w:tr>
        <w:trPr>
          <w:trHeight w:val="222"/>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Equity income(a)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348</w:t>
            </w:r>
          </w:p>
        </w:tc>
      </w:tr>
      <w:tr>
        <w:trPr>
          <w:trHeight w:val="365"/>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2"/>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2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22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1380" w:type="dxa"/>
            <w:vAlign w:val="bottom"/>
            <w:gridSpan w:val="3"/>
          </w:tcPr>
          <w:p>
            <w:pPr>
              <w:ind w:left="20"/>
              <w:spacing w:after="0"/>
              <w:rPr>
                <w:sz w:val="20"/>
                <w:szCs w:val="20"/>
                <w:color w:val="auto"/>
              </w:rPr>
            </w:pPr>
            <w:r>
              <w:rPr>
                <w:rFonts w:ascii="Arial" w:cs="Arial" w:eastAsia="Arial" w:hAnsi="Arial"/>
                <w:sz w:val="9"/>
                <w:szCs w:val="9"/>
                <w:b w:val="1"/>
                <w:bCs w:val="1"/>
                <w:color w:val="auto"/>
              </w:rPr>
              <w:t>Eliminations/Reclassifications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420" w:type="dxa"/>
            <w:vAlign w:val="bottom"/>
          </w:tcPr>
          <w:p>
            <w:pPr>
              <w:ind w:left="20"/>
              <w:spacing w:after="0"/>
              <w:rPr>
                <w:sz w:val="20"/>
                <w:szCs w:val="20"/>
                <w:color w:val="auto"/>
              </w:rPr>
            </w:pPr>
            <w:r>
              <w:rPr>
                <w:rFonts w:ascii="Arial" w:cs="Arial" w:eastAsia="Arial" w:hAnsi="Arial"/>
                <w:sz w:val="9"/>
                <w:szCs w:val="9"/>
                <w:b w:val="1"/>
                <w:bCs w:val="1"/>
                <w:color w:val="auto"/>
              </w:rPr>
              <w:t>Year Ended December 31, 2019</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181"/>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106,366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16,111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122,697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14,554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(114)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137,237</w:t>
            </w:r>
          </w:p>
        </w:tc>
      </w:tr>
      <w:tr>
        <w:trPr>
          <w:trHeight w:val="166"/>
        </w:trPr>
        <w:tc>
          <w:tcPr>
            <w:tcW w:w="2420" w:type="dxa"/>
            <w:vAlign w:val="bottom"/>
          </w:tcPr>
          <w:p>
            <w:pPr>
              <w:ind w:left="20"/>
              <w:spacing w:after="0"/>
              <w:rPr>
                <w:sz w:val="20"/>
                <w:szCs w:val="20"/>
                <w:color w:val="auto"/>
              </w:rPr>
            </w:pPr>
            <w:r>
              <w:rPr>
                <w:rFonts w:ascii="Arial" w:cs="Arial" w:eastAsia="Arial" w:hAnsi="Arial"/>
                <w:sz w:val="9"/>
                <w:szCs w:val="9"/>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6,305</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1,096</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84</w:t>
            </w:r>
          </w:p>
        </w:tc>
        <w:tc>
          <w:tcPr>
            <w:tcW w:w="120" w:type="dxa"/>
            <w:vAlign w:val="bottom"/>
          </w:tcPr>
          <w:p>
            <w:pPr>
              <w:spacing w:after="0"/>
              <w:rPr>
                <w:sz w:val="14"/>
                <w:szCs w:val="14"/>
                <w:color w:val="auto"/>
              </w:rPr>
            </w:pP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7,485</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60</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47</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7,592</w:t>
            </w:r>
          </w:p>
        </w:tc>
      </w:tr>
      <w:tr>
        <w:trPr>
          <w:trHeight w:val="179"/>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6,112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533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6,689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7,350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14,060</w:t>
            </w:r>
          </w:p>
        </w:tc>
      </w:tr>
      <w:tr>
        <w:trPr>
          <w:trHeight w:val="166"/>
        </w:trPr>
        <w:tc>
          <w:tcPr>
            <w:tcW w:w="2420" w:type="dxa"/>
            <w:vAlign w:val="bottom"/>
          </w:tcPr>
          <w:p>
            <w:pPr>
              <w:ind w:left="20"/>
              <w:spacing w:after="0"/>
              <w:rPr>
                <w:sz w:val="20"/>
                <w:szCs w:val="20"/>
                <w:color w:val="auto"/>
              </w:rPr>
            </w:pPr>
            <w:r>
              <w:rPr>
                <w:rFonts w:ascii="Arial" w:cs="Arial" w:eastAsia="Arial" w:hAnsi="Arial"/>
                <w:sz w:val="9"/>
                <w:szCs w:val="9"/>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7</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58</w:t>
            </w:r>
          </w:p>
        </w:tc>
      </w:tr>
      <w:tr>
        <w:trPr>
          <w:trHeight w:val="179"/>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Equity income(a)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1,102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1,268</w:t>
            </w:r>
          </w:p>
        </w:tc>
      </w:tr>
      <w:tr>
        <w:trPr>
          <w:trHeight w:val="365"/>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2"/>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2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22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22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9"/>
                <w:szCs w:val="9"/>
                <w:b w:val="1"/>
                <w:bCs w:val="1"/>
                <w:color w:val="auto"/>
              </w:rPr>
              <w:t>Eliminations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420" w:type="dxa"/>
            <w:vAlign w:val="bottom"/>
          </w:tcPr>
          <w:p>
            <w:pPr>
              <w:ind w:left="20"/>
              <w:spacing w:after="0"/>
              <w:rPr>
                <w:sz w:val="20"/>
                <w:szCs w:val="20"/>
                <w:color w:val="auto"/>
              </w:rPr>
            </w:pPr>
            <w:r>
              <w:rPr>
                <w:rFonts w:ascii="Arial" w:cs="Arial" w:eastAsia="Arial" w:hAnsi="Arial"/>
                <w:sz w:val="9"/>
                <w:szCs w:val="9"/>
                <w:b w:val="1"/>
                <w:bCs w:val="1"/>
                <w:color w:val="auto"/>
              </w:rPr>
              <w:t>Year Ended December 31, 2018</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181"/>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113,792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19,148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133,143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14,016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147,049</w:t>
            </w:r>
          </w:p>
        </w:tc>
      </w:tr>
      <w:tr>
        <w:trPr>
          <w:trHeight w:val="166"/>
        </w:trPr>
        <w:tc>
          <w:tcPr>
            <w:tcW w:w="2420" w:type="dxa"/>
            <w:vAlign w:val="bottom"/>
          </w:tcPr>
          <w:p>
            <w:pPr>
              <w:ind w:left="20"/>
              <w:spacing w:after="0"/>
              <w:rPr>
                <w:sz w:val="20"/>
                <w:szCs w:val="20"/>
                <w:color w:val="auto"/>
              </w:rPr>
            </w:pPr>
            <w:r>
              <w:rPr>
                <w:rFonts w:ascii="Arial" w:cs="Arial" w:eastAsia="Arial" w:hAnsi="Arial"/>
                <w:sz w:val="9"/>
                <w:szCs w:val="9"/>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7,784</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883</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4"/>
                <w:szCs w:val="14"/>
                <w:color w:val="auto"/>
              </w:rPr>
            </w:pP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31"/>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8,686</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60</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8,761</w:t>
            </w:r>
          </w:p>
        </w:tc>
      </w:tr>
      <w:tr>
        <w:trPr>
          <w:trHeight w:val="179"/>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4,995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5,604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7,531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13,142</w:t>
            </w:r>
          </w:p>
        </w:tc>
      </w:tr>
      <w:tr>
        <w:trPr>
          <w:trHeight w:val="166"/>
        </w:trPr>
        <w:tc>
          <w:tcPr>
            <w:tcW w:w="2420" w:type="dxa"/>
            <w:vAlign w:val="bottom"/>
          </w:tcPr>
          <w:p>
            <w:pPr>
              <w:ind w:left="20"/>
              <w:spacing w:after="0"/>
              <w:rPr>
                <w:sz w:val="20"/>
                <w:szCs w:val="20"/>
                <w:color w:val="auto"/>
              </w:rPr>
            </w:pPr>
            <w:r>
              <w:rPr>
                <w:rFonts w:ascii="Arial" w:cs="Arial" w:eastAsia="Arial" w:hAnsi="Arial"/>
                <w:sz w:val="9"/>
                <w:szCs w:val="9"/>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55</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466</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4"/>
                <w:szCs w:val="14"/>
                <w:color w:val="auto"/>
              </w:rPr>
            </w:pP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527</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527</w:t>
            </w:r>
          </w:p>
        </w:tc>
      </w:tr>
      <w:tr>
        <w:trPr>
          <w:trHeight w:val="179"/>
        </w:trPr>
        <w:tc>
          <w:tcPr>
            <w:tcW w:w="2420" w:type="dxa"/>
            <w:vAlign w:val="bottom"/>
            <w:shd w:val="clear" w:color="auto" w:fill="CCEEFF"/>
          </w:tcPr>
          <w:p>
            <w:pPr>
              <w:ind w:left="20"/>
              <w:spacing w:after="0"/>
              <w:rPr>
                <w:sz w:val="20"/>
                <w:szCs w:val="20"/>
                <w:color w:val="auto"/>
              </w:rPr>
            </w:pPr>
            <w:r>
              <w:rPr>
                <w:rFonts w:ascii="Arial" w:cs="Arial" w:eastAsia="Arial" w:hAnsi="Arial"/>
                <w:sz w:val="9"/>
                <w:szCs w:val="9"/>
                <w:color w:val="auto"/>
              </w:rPr>
              <w:t>Equity income(a)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1,972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1,980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2,163</w:t>
            </w:r>
          </w:p>
        </w:tc>
      </w:tr>
      <w:tr>
        <w:trPr>
          <w:trHeight w:val="125"/>
        </w:trPr>
        <w:tc>
          <w:tcPr>
            <w:tcW w:w="2420" w:type="dxa"/>
            <w:vAlign w:val="bottom"/>
          </w:tcPr>
          <w:p>
            <w:pPr>
              <w:spacing w:after="0" w:line="125" w:lineRule="exact"/>
              <w:rPr>
                <w:sz w:val="20"/>
                <w:szCs w:val="20"/>
                <w:color w:val="auto"/>
              </w:rPr>
            </w:pPr>
            <w:r>
              <w:rPr>
                <w:rFonts w:ascii="Arial" w:cs="Arial" w:eastAsia="Arial" w:hAnsi="Arial"/>
                <w:sz w:val="11"/>
                <w:szCs w:val="11"/>
                <w:color w:val="auto"/>
              </w:rPr>
              <w:t>________</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r>
    </w:tbl>
    <w:p>
      <w:pPr>
        <w:ind w:left="260" w:hanging="254"/>
        <w:spacing w:after="0"/>
        <w:tabs>
          <w:tab w:leader="none" w:pos="260" w:val="left"/>
        </w:tabs>
        <w:numPr>
          <w:ilvl w:val="0"/>
          <w:numId w:val="7"/>
        </w:numPr>
        <w:rPr>
          <w:rFonts w:ascii="Arial" w:cs="Arial" w:eastAsia="Arial" w:hAnsi="Arial"/>
          <w:sz w:val="10"/>
          <w:szCs w:val="10"/>
          <w:color w:val="auto"/>
        </w:rPr>
      </w:pPr>
      <w:r>
        <w:rPr>
          <w:rFonts w:ascii="Arial" w:cs="Arial" w:eastAsia="Arial" w:hAnsi="Arial"/>
          <w:sz w:val="10"/>
          <w:szCs w:val="10"/>
          <w:color w:val="auto"/>
        </w:rPr>
        <w:t>Includes Automotive China equity income of $239 million and $307 million in the three months ended December 31, 2019 and 2018 and $1.1 billion and $2.0 billion in the years ended December 31, 2019 and 2018.</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60"/>
          </w:cols>
          <w:pgMar w:left="220" w:top="470"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168" w:lineRule="exact"/>
        <w:rPr>
          <w:sz w:val="20"/>
          <w:szCs w:val="20"/>
          <w:color w:val="auto"/>
        </w:rPr>
      </w:pPr>
    </w:p>
    <w:p>
      <w:pPr>
        <w:jc w:val="both"/>
        <w:ind w:firstLine="129"/>
        <w:spacing w:after="0" w:line="251"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40" w:lineRule="exact"/>
        <w:rPr>
          <w:sz w:val="20"/>
          <w:szCs w:val="20"/>
          <w:color w:val="auto"/>
        </w:rPr>
      </w:pPr>
    </w:p>
    <w:p>
      <w:pPr>
        <w:jc w:val="both"/>
        <w:ind w:firstLine="129"/>
        <w:spacing w:after="0" w:line="246"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year ended December 31, 2019, 34% of our wholesale vehicle sales volume was generated outside the U.S. The following table summarizes wholesale vehicle sales by automotive segment (vehicles in thousands):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4700" w:type="dxa"/>
            <w:vAlign w:val="bottom"/>
          </w:tcPr>
          <w:p>
            <w:pPr>
              <w:spacing w:after="0"/>
              <w:rPr>
                <w:sz w:val="12"/>
                <w:szCs w:val="12"/>
                <w:color w:val="auto"/>
              </w:rPr>
            </w:pPr>
          </w:p>
        </w:tc>
        <w:tc>
          <w:tcPr>
            <w:tcW w:w="332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2000" w:type="dxa"/>
            <w:vAlign w:val="bottom"/>
            <w:tcBorders>
              <w:bottom w:val="single" w:sz="8" w:color="auto"/>
            </w:tcBorders>
            <w:gridSpan w:val="3"/>
          </w:tcPr>
          <w:p>
            <w:pPr>
              <w:ind w:left="1360"/>
              <w:spacing w:after="0"/>
              <w:rPr>
                <w:sz w:val="20"/>
                <w:szCs w:val="20"/>
                <w:color w:val="auto"/>
              </w:rPr>
            </w:pPr>
            <w:r>
              <w:rPr>
                <w:rFonts w:ascii="Arial" w:cs="Arial" w:eastAsia="Arial" w:hAnsi="Arial"/>
                <w:sz w:val="10"/>
                <w:szCs w:val="10"/>
                <w:b w:val="1"/>
                <w:bCs w:val="1"/>
                <w:color w:val="auto"/>
              </w:rPr>
              <w:t>Years Ended</w:t>
            </w:r>
          </w:p>
        </w:tc>
        <w:tc>
          <w:tcPr>
            <w:tcW w:w="1300" w:type="dxa"/>
            <w:vAlign w:val="bottom"/>
            <w:tcBorders>
              <w:bottom w:val="single" w:sz="8" w:color="auto"/>
            </w:tcBorders>
          </w:tcPr>
          <w:p>
            <w:pPr>
              <w:spacing w:after="0"/>
              <w:rPr>
                <w:sz w:val="12"/>
                <w:szCs w:val="12"/>
                <w:color w:val="auto"/>
              </w:rPr>
            </w:pPr>
          </w:p>
        </w:tc>
      </w:tr>
      <w:tr>
        <w:trPr>
          <w:trHeight w:val="206"/>
        </w:trPr>
        <w:tc>
          <w:tcPr>
            <w:tcW w:w="47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2019</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December 31, 2018</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December 31, 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December 31, 2018</w:t>
            </w:r>
          </w:p>
        </w:tc>
      </w:tr>
      <w:tr>
        <w:trPr>
          <w:trHeight w:val="191"/>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684</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896</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3,214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3,555</w:t>
            </w:r>
          </w:p>
        </w:tc>
      </w:tr>
      <w:tr>
        <w:trPr>
          <w:trHeight w:val="18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w w:val="92"/>
              </w:rPr>
              <w:t>268</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316</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995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1,152</w:t>
            </w:r>
          </w:p>
        </w:tc>
      </w:tr>
      <w:tr>
        <w:trPr>
          <w:trHeight w:val="190"/>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952</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1,212</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4,209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4,707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33"/>
        </w:trPr>
        <w:tc>
          <w:tcPr>
            <w:tcW w:w="5960" w:type="dxa"/>
            <w:vAlign w:val="bottom"/>
            <w:gridSpan w:val="2"/>
          </w:tcPr>
          <w:p>
            <w:pPr>
              <w:jc w:val="right"/>
              <w:ind w:right="170"/>
              <w:spacing w:after="0"/>
              <w:rPr>
                <w:sz w:val="20"/>
                <w:szCs w:val="20"/>
                <w:color w:val="auto"/>
              </w:rPr>
            </w:pPr>
            <w:r>
              <w:rPr>
                <w:rFonts w:ascii="Arial" w:cs="Arial" w:eastAsia="Arial" w:hAnsi="Arial"/>
                <w:sz w:val="13"/>
                <w:szCs w:val="13"/>
                <w:color w:val="auto"/>
              </w:rPr>
              <w:t>7</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60"/>
          </w:cols>
          <w:pgMar w:left="220" w:top="470" w:right="2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4" w:lineRule="exact"/>
        <w:rPr>
          <w:sz w:val="20"/>
          <w:szCs w:val="20"/>
          <w:color w:val="auto"/>
        </w:rPr>
      </w:pPr>
    </w:p>
    <w:p>
      <w:pPr>
        <w:jc w:val="both"/>
        <w:ind w:firstLine="129"/>
        <w:spacing w:after="0" w:line="268" w:lineRule="auto"/>
        <w:rPr>
          <w:sz w:val="20"/>
          <w:szCs w:val="20"/>
          <w:color w:val="auto"/>
        </w:rPr>
      </w:pPr>
      <w:r>
        <w:rPr>
          <w:rFonts w:ascii="Arial" w:cs="Arial" w:eastAsia="Arial" w:hAnsi="Arial"/>
          <w:sz w:val="12"/>
          <w:szCs w:val="12"/>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700" w:type="dxa"/>
            <w:vAlign w:val="bottom"/>
          </w:tcPr>
          <w:p>
            <w:pPr>
              <w:spacing w:after="0"/>
              <w:rPr>
                <w:sz w:val="12"/>
                <w:szCs w:val="12"/>
                <w:color w:val="auto"/>
              </w:rPr>
            </w:pPr>
          </w:p>
        </w:tc>
        <w:tc>
          <w:tcPr>
            <w:tcW w:w="3320" w:type="dxa"/>
            <w:vAlign w:val="bottom"/>
            <w:tcBorders>
              <w:bottom w:val="single" w:sz="8" w:color="auto"/>
            </w:tcBorders>
            <w:gridSpan w:val="3"/>
          </w:tcPr>
          <w:p>
            <w:pPr>
              <w:jc w:val="right"/>
              <w:ind w:right="1096"/>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2000" w:type="dxa"/>
            <w:vAlign w:val="bottom"/>
            <w:tcBorders>
              <w:bottom w:val="single" w:sz="8" w:color="auto"/>
            </w:tcBorders>
            <w:gridSpan w:val="3"/>
          </w:tcPr>
          <w:p>
            <w:pPr>
              <w:ind w:left="1360"/>
              <w:spacing w:after="0"/>
              <w:rPr>
                <w:sz w:val="20"/>
                <w:szCs w:val="20"/>
                <w:color w:val="auto"/>
              </w:rPr>
            </w:pPr>
            <w:r>
              <w:rPr>
                <w:rFonts w:ascii="Arial" w:cs="Arial" w:eastAsia="Arial" w:hAnsi="Arial"/>
                <w:sz w:val="10"/>
                <w:szCs w:val="10"/>
                <w:b w:val="1"/>
                <w:bCs w:val="1"/>
                <w:color w:val="auto"/>
              </w:rPr>
              <w:t>Years Ended</w:t>
            </w: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700" w:type="dxa"/>
            <w:vAlign w:val="bottom"/>
          </w:tcPr>
          <w:p>
            <w:pPr>
              <w:spacing w:after="0"/>
              <w:rPr>
                <w:sz w:val="17"/>
                <w:szCs w:val="17"/>
                <w:color w:val="auto"/>
              </w:rPr>
            </w:pPr>
          </w:p>
        </w:tc>
        <w:tc>
          <w:tcPr>
            <w:tcW w:w="1720" w:type="dxa"/>
            <w:vAlign w:val="bottom"/>
            <w:gridSpan w:val="2"/>
          </w:tcPr>
          <w:p>
            <w:pPr>
              <w:ind w:left="340"/>
              <w:spacing w:after="0"/>
              <w:rPr>
                <w:sz w:val="20"/>
                <w:szCs w:val="20"/>
                <w:color w:val="auto"/>
              </w:rPr>
            </w:pPr>
            <w:r>
              <w:rPr>
                <w:rFonts w:ascii="Arial" w:cs="Arial" w:eastAsia="Arial" w:hAnsi="Arial"/>
                <w:sz w:val="10"/>
                <w:szCs w:val="10"/>
                <w:b w:val="1"/>
                <w:bCs w:val="1"/>
                <w:color w:val="auto"/>
              </w:rPr>
              <w:t>December 31, 2019</w:t>
            </w:r>
          </w:p>
        </w:tc>
        <w:tc>
          <w:tcPr>
            <w:tcW w:w="1720" w:type="dxa"/>
            <w:vAlign w:val="bottom"/>
            <w:gridSpan w:val="2"/>
          </w:tcPr>
          <w:p>
            <w:pPr>
              <w:ind w:left="340"/>
              <w:spacing w:after="0"/>
              <w:rPr>
                <w:sz w:val="20"/>
                <w:szCs w:val="20"/>
                <w:color w:val="auto"/>
              </w:rPr>
            </w:pPr>
            <w:r>
              <w:rPr>
                <w:rFonts w:ascii="Arial" w:cs="Arial" w:eastAsia="Arial" w:hAnsi="Arial"/>
                <w:sz w:val="10"/>
                <w:szCs w:val="10"/>
                <w:b w:val="1"/>
                <w:bCs w:val="1"/>
                <w:color w:val="auto"/>
              </w:rPr>
              <w:t>December 31, 2018</w:t>
            </w:r>
          </w:p>
        </w:tc>
        <w:tc>
          <w:tcPr>
            <w:tcW w:w="2000" w:type="dxa"/>
            <w:vAlign w:val="bottom"/>
            <w:gridSpan w:val="3"/>
          </w:tcPr>
          <w:p>
            <w:pPr>
              <w:ind w:left="340"/>
              <w:spacing w:after="0"/>
              <w:rPr>
                <w:sz w:val="20"/>
                <w:szCs w:val="20"/>
                <w:color w:val="auto"/>
              </w:rPr>
            </w:pPr>
            <w:r>
              <w:rPr>
                <w:rFonts w:ascii="Arial" w:cs="Arial" w:eastAsia="Arial" w:hAnsi="Arial"/>
                <w:sz w:val="10"/>
                <w:szCs w:val="10"/>
                <w:b w:val="1"/>
                <w:bCs w:val="1"/>
                <w:color w:val="auto"/>
              </w:rPr>
              <w:t>December 31, 2019</w:t>
            </w:r>
          </w:p>
        </w:tc>
        <w:tc>
          <w:tcPr>
            <w:tcW w:w="1280" w:type="dxa"/>
            <w:vAlign w:val="bottom"/>
          </w:tcPr>
          <w:p>
            <w:pPr>
              <w:jc w:val="right"/>
              <w:ind w:right="256"/>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208"/>
        </w:trPr>
        <w:tc>
          <w:tcPr>
            <w:tcW w:w="47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Chevrolet – Cars</w:t>
            </w: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86"/>
        </w:trPr>
        <w:tc>
          <w:tcPr>
            <w:tcW w:w="4700" w:type="dxa"/>
            <w:vAlign w:val="bottom"/>
          </w:tcPr>
          <w:p>
            <w:pPr>
              <w:ind w:left="220"/>
              <w:spacing w:after="0"/>
              <w:rPr>
                <w:sz w:val="20"/>
                <w:szCs w:val="20"/>
                <w:color w:val="auto"/>
              </w:rPr>
            </w:pPr>
            <w:r>
              <w:rPr>
                <w:rFonts w:ascii="Arial" w:cs="Arial" w:eastAsia="Arial" w:hAnsi="Arial"/>
                <w:sz w:val="13"/>
                <w:szCs w:val="13"/>
                <w:color w:val="auto"/>
              </w:rPr>
              <w:t>Chevrolet – Trucks</w:t>
            </w:r>
          </w:p>
        </w:tc>
        <w:tc>
          <w:tcPr>
            <w:tcW w:w="1600" w:type="dxa"/>
            <w:vAlign w:val="bottom"/>
          </w:tcPr>
          <w:p>
            <w:pPr>
              <w:jc w:val="right"/>
              <w:ind w:right="57"/>
              <w:spacing w:after="0"/>
              <w:rPr>
                <w:sz w:val="20"/>
                <w:szCs w:val="20"/>
                <w:color w:val="auto"/>
              </w:rPr>
            </w:pPr>
            <w:r>
              <w:rPr>
                <w:rFonts w:ascii="Arial" w:cs="Arial" w:eastAsia="Arial" w:hAnsi="Arial"/>
                <w:sz w:val="13"/>
                <w:szCs w:val="13"/>
                <w:color w:val="auto"/>
              </w:rPr>
              <w:t>238</w:t>
            </w:r>
          </w:p>
        </w:tc>
        <w:tc>
          <w:tcPr>
            <w:tcW w:w="120" w:type="dxa"/>
            <w:vAlign w:val="bottom"/>
          </w:tcPr>
          <w:p>
            <w:pPr>
              <w:spacing w:after="0"/>
              <w:rPr>
                <w:sz w:val="16"/>
                <w:szCs w:val="16"/>
                <w:color w:val="auto"/>
              </w:rPr>
            </w:pP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255</w:t>
            </w:r>
          </w:p>
        </w:tc>
        <w:tc>
          <w:tcPr>
            <w:tcW w:w="120" w:type="dxa"/>
            <w:vAlign w:val="bottom"/>
          </w:tcPr>
          <w:p>
            <w:pPr>
              <w:spacing w:after="0"/>
              <w:rPr>
                <w:sz w:val="16"/>
                <w:szCs w:val="16"/>
                <w:color w:val="auto"/>
              </w:rPr>
            </w:pPr>
          </w:p>
        </w:tc>
        <w:tc>
          <w:tcPr>
            <w:tcW w:w="1600" w:type="dxa"/>
            <w:vAlign w:val="bottom"/>
          </w:tcPr>
          <w:p>
            <w:pPr>
              <w:jc w:val="right"/>
              <w:ind w:right="57"/>
              <w:spacing w:after="0"/>
              <w:rPr>
                <w:sz w:val="20"/>
                <w:szCs w:val="20"/>
                <w:color w:val="auto"/>
              </w:rPr>
            </w:pPr>
            <w:r>
              <w:rPr>
                <w:rFonts w:ascii="Arial" w:cs="Arial" w:eastAsia="Arial" w:hAnsi="Arial"/>
                <w:sz w:val="13"/>
                <w:szCs w:val="13"/>
                <w:color w:val="auto"/>
              </w:rPr>
              <w:t>933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969</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Chevrolet – Crossovers</w:t>
            </w: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167</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591</w:t>
            </w:r>
          </w:p>
        </w:tc>
        <w:tc>
          <w:tcPr>
            <w:tcW w:w="0" w:type="dxa"/>
            <w:vAlign w:val="bottom"/>
          </w:tcPr>
          <w:p>
            <w:pPr>
              <w:spacing w:after="0"/>
              <w:rPr>
                <w:sz w:val="1"/>
                <w:szCs w:val="1"/>
                <w:color w:val="auto"/>
              </w:rPr>
            </w:pPr>
          </w:p>
        </w:tc>
      </w:tr>
      <w:tr>
        <w:trPr>
          <w:trHeight w:val="186"/>
        </w:trPr>
        <w:tc>
          <w:tcPr>
            <w:tcW w:w="4700" w:type="dxa"/>
            <w:vAlign w:val="bottom"/>
          </w:tcPr>
          <w:p>
            <w:pPr>
              <w:ind w:left="220"/>
              <w:spacing w:after="0"/>
              <w:rPr>
                <w:sz w:val="20"/>
                <w:szCs w:val="20"/>
                <w:color w:val="auto"/>
              </w:rPr>
            </w:pPr>
            <w:r>
              <w:rPr>
                <w:rFonts w:ascii="Arial" w:cs="Arial" w:eastAsia="Arial" w:hAnsi="Arial"/>
                <w:sz w:val="13"/>
                <w:szCs w:val="13"/>
                <w:color w:val="auto"/>
              </w:rPr>
              <w:t>Cadillac</w:t>
            </w:r>
          </w:p>
        </w:tc>
        <w:tc>
          <w:tcPr>
            <w:tcW w:w="160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6"/>
                <w:szCs w:val="16"/>
                <w:color w:val="auto"/>
              </w:rPr>
            </w:pP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6"/>
                <w:szCs w:val="16"/>
                <w:color w:val="auto"/>
              </w:rPr>
            </w:pPr>
          </w:p>
        </w:tc>
        <w:tc>
          <w:tcPr>
            <w:tcW w:w="1600" w:type="dxa"/>
            <w:vAlign w:val="bottom"/>
          </w:tcPr>
          <w:p>
            <w:pPr>
              <w:jc w:val="right"/>
              <w:ind w:right="57"/>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Buick</w:t>
            </w: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GMC</w:t>
            </w:r>
          </w:p>
        </w:tc>
        <w:tc>
          <w:tcPr>
            <w:tcW w:w="1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147</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160</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565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93"/>
        </w:trPr>
        <w:tc>
          <w:tcPr>
            <w:tcW w:w="4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United States</w:t>
            </w: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736</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785</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2,954</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132</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480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93"/>
        </w:trPr>
        <w:tc>
          <w:tcPr>
            <w:tcW w:w="4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North America</w:t>
            </w:r>
          </w:p>
        </w:tc>
        <w:tc>
          <w:tcPr>
            <w:tcW w:w="1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853</w:t>
            </w: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917</w:t>
            </w: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3,367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3,490</w:t>
            </w:r>
          </w:p>
        </w:tc>
        <w:tc>
          <w:tcPr>
            <w:tcW w:w="0" w:type="dxa"/>
            <w:vAlign w:val="bottom"/>
          </w:tcPr>
          <w:p>
            <w:pPr>
              <w:spacing w:after="0"/>
              <w:rPr>
                <w:sz w:val="1"/>
                <w:szCs w:val="1"/>
                <w:color w:val="auto"/>
              </w:rPr>
            </w:pPr>
          </w:p>
        </w:tc>
      </w:tr>
      <w:tr>
        <w:trPr>
          <w:trHeight w:val="177"/>
        </w:trPr>
        <w:tc>
          <w:tcPr>
            <w:tcW w:w="4700" w:type="dxa"/>
            <w:vAlign w:val="bottom"/>
          </w:tcPr>
          <w:p>
            <w:pPr>
              <w:ind w:left="20"/>
              <w:spacing w:after="0"/>
              <w:rPr>
                <w:sz w:val="20"/>
                <w:szCs w:val="20"/>
                <w:color w:val="auto"/>
              </w:rPr>
            </w:pPr>
            <w:r>
              <w:rPr>
                <w:rFonts w:ascii="Arial" w:cs="Arial" w:eastAsia="Arial" w:hAnsi="Arial"/>
                <w:sz w:val="13"/>
                <w:szCs w:val="13"/>
                <w:color w:val="auto"/>
              </w:rPr>
              <w:t>Asia/Pacific, Middle East and Africa</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Chevrolet</w:t>
            </w: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244</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288</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960</w:t>
            </w:r>
          </w:p>
        </w:tc>
        <w:tc>
          <w:tcPr>
            <w:tcW w:w="0" w:type="dxa"/>
            <w:vAlign w:val="bottom"/>
          </w:tcPr>
          <w:p>
            <w:pPr>
              <w:spacing w:after="0"/>
              <w:rPr>
                <w:sz w:val="1"/>
                <w:szCs w:val="1"/>
                <w:color w:val="auto"/>
              </w:rPr>
            </w:pPr>
          </w:p>
        </w:tc>
      </w:tr>
      <w:tr>
        <w:trPr>
          <w:trHeight w:val="186"/>
        </w:trPr>
        <w:tc>
          <w:tcPr>
            <w:tcW w:w="4700" w:type="dxa"/>
            <w:vAlign w:val="bottom"/>
          </w:tcPr>
          <w:p>
            <w:pPr>
              <w:ind w:left="220"/>
              <w:spacing w:after="0"/>
              <w:rPr>
                <w:sz w:val="20"/>
                <w:szCs w:val="20"/>
                <w:color w:val="auto"/>
              </w:rPr>
            </w:pPr>
            <w:r>
              <w:rPr>
                <w:rFonts w:ascii="Arial" w:cs="Arial" w:eastAsia="Arial" w:hAnsi="Arial"/>
                <w:sz w:val="13"/>
                <w:szCs w:val="13"/>
                <w:color w:val="auto"/>
              </w:rPr>
              <w:t>Wuling</w:t>
            </w:r>
          </w:p>
        </w:tc>
        <w:tc>
          <w:tcPr>
            <w:tcW w:w="1600" w:type="dxa"/>
            <w:vAlign w:val="bottom"/>
          </w:tcPr>
          <w:p>
            <w:pPr>
              <w:jc w:val="right"/>
              <w:ind w:right="57"/>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16"/>
                <w:szCs w:val="16"/>
                <w:color w:val="auto"/>
              </w:rPr>
            </w:pP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16"/>
                <w:szCs w:val="16"/>
                <w:color w:val="auto"/>
              </w:rPr>
            </w:pPr>
          </w:p>
        </w:tc>
        <w:tc>
          <w:tcPr>
            <w:tcW w:w="1600" w:type="dxa"/>
            <w:vAlign w:val="bottom"/>
          </w:tcPr>
          <w:p>
            <w:pPr>
              <w:jc w:val="right"/>
              <w:ind w:right="57"/>
              <w:spacing w:after="0"/>
              <w:rPr>
                <w:sz w:val="20"/>
                <w:szCs w:val="20"/>
                <w:color w:val="auto"/>
              </w:rPr>
            </w:pPr>
            <w:r>
              <w:rPr>
                <w:rFonts w:ascii="Arial" w:cs="Arial" w:eastAsia="Arial" w:hAnsi="Arial"/>
                <w:sz w:val="13"/>
                <w:szCs w:val="13"/>
                <w:color w:val="auto"/>
              </w:rPr>
              <w:t>1,025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1,071</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Buick</w:t>
            </w: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1,020</w:t>
            </w:r>
          </w:p>
        </w:tc>
        <w:tc>
          <w:tcPr>
            <w:tcW w:w="0" w:type="dxa"/>
            <w:vAlign w:val="bottom"/>
          </w:tcPr>
          <w:p>
            <w:pPr>
              <w:spacing w:after="0"/>
              <w:rPr>
                <w:sz w:val="1"/>
                <w:szCs w:val="1"/>
                <w:color w:val="auto"/>
              </w:rPr>
            </w:pPr>
          </w:p>
        </w:tc>
      </w:tr>
      <w:tr>
        <w:trPr>
          <w:trHeight w:val="186"/>
        </w:trPr>
        <w:tc>
          <w:tcPr>
            <w:tcW w:w="4700" w:type="dxa"/>
            <w:vAlign w:val="bottom"/>
          </w:tcPr>
          <w:p>
            <w:pPr>
              <w:ind w:left="220"/>
              <w:spacing w:after="0"/>
              <w:rPr>
                <w:sz w:val="20"/>
                <w:szCs w:val="20"/>
                <w:color w:val="auto"/>
              </w:rPr>
            </w:pPr>
            <w:r>
              <w:rPr>
                <w:rFonts w:ascii="Arial" w:cs="Arial" w:eastAsia="Arial" w:hAnsi="Arial"/>
                <w:sz w:val="13"/>
                <w:szCs w:val="13"/>
                <w:color w:val="auto"/>
              </w:rPr>
              <w:t>Baojun</w:t>
            </w:r>
          </w:p>
        </w:tc>
        <w:tc>
          <w:tcPr>
            <w:tcW w:w="1600" w:type="dxa"/>
            <w:vAlign w:val="bottom"/>
          </w:tcPr>
          <w:p>
            <w:pPr>
              <w:jc w:val="right"/>
              <w:ind w:right="5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16"/>
                <w:szCs w:val="16"/>
                <w:color w:val="auto"/>
              </w:rPr>
            </w:pP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16"/>
                <w:szCs w:val="16"/>
                <w:color w:val="auto"/>
              </w:rPr>
            </w:pPr>
          </w:p>
        </w:tc>
        <w:tc>
          <w:tcPr>
            <w:tcW w:w="1600" w:type="dxa"/>
            <w:vAlign w:val="bottom"/>
          </w:tcPr>
          <w:p>
            <w:pPr>
              <w:jc w:val="right"/>
              <w:ind w:right="57"/>
              <w:spacing w:after="0"/>
              <w:rPr>
                <w:sz w:val="20"/>
                <w:szCs w:val="20"/>
                <w:color w:val="auto"/>
              </w:rPr>
            </w:pPr>
            <w:r>
              <w:rPr>
                <w:rFonts w:ascii="Arial" w:cs="Arial" w:eastAsia="Arial" w:hAnsi="Arial"/>
                <w:sz w:val="13"/>
                <w:szCs w:val="13"/>
                <w:color w:val="auto"/>
              </w:rPr>
              <w:t>608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840</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Cadillac</w:t>
            </w: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w:t>
            </w:r>
          </w:p>
        </w:tc>
        <w:tc>
          <w:tcPr>
            <w:tcW w:w="1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25</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93"/>
        </w:trPr>
        <w:tc>
          <w:tcPr>
            <w:tcW w:w="4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Asia/Pacific, Middle East and Africa</w:t>
            </w: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1,005</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1,141</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4,202</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176</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185</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669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690</w:t>
            </w:r>
          </w:p>
        </w:tc>
        <w:tc>
          <w:tcPr>
            <w:tcW w:w="0" w:type="dxa"/>
            <w:vAlign w:val="bottom"/>
          </w:tcPr>
          <w:p>
            <w:pPr>
              <w:spacing w:after="0"/>
              <w:rPr>
                <w:sz w:val="1"/>
                <w:szCs w:val="1"/>
                <w:color w:val="auto"/>
              </w:rPr>
            </w:pPr>
          </w:p>
        </w:tc>
      </w:tr>
      <w:tr>
        <w:trPr>
          <w:trHeight w:val="19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2,034</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2,243</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8,382</w:t>
            </w:r>
          </w:p>
        </w:tc>
        <w:tc>
          <w:tcPr>
            <w:tcW w:w="0" w:type="dxa"/>
            <w:vAlign w:val="bottom"/>
          </w:tcPr>
          <w:p>
            <w:pPr>
              <w:spacing w:after="0"/>
              <w:rPr>
                <w:sz w:val="1"/>
                <w:szCs w:val="1"/>
                <w:color w:val="auto"/>
              </w:rPr>
            </w:pPr>
          </w:p>
        </w:tc>
      </w:tr>
      <w:tr>
        <w:trPr>
          <w:trHeight w:val="186"/>
        </w:trPr>
        <w:tc>
          <w:tcPr>
            <w:tcW w:w="4700" w:type="dxa"/>
            <w:vAlign w:val="bottom"/>
          </w:tcPr>
          <w:p>
            <w:pPr>
              <w:ind w:left="20"/>
              <w:spacing w:after="0"/>
              <w:rPr>
                <w:sz w:val="20"/>
                <w:szCs w:val="20"/>
                <w:color w:val="auto"/>
              </w:rPr>
            </w:pPr>
            <w:r>
              <w:rPr>
                <w:rFonts w:ascii="Arial" w:cs="Arial" w:eastAsia="Arial" w:hAnsi="Arial"/>
                <w:sz w:val="13"/>
                <w:szCs w:val="13"/>
                <w:color w:val="auto"/>
              </w:rPr>
              <w:t>Total Europe</w:t>
            </w:r>
          </w:p>
        </w:tc>
        <w:tc>
          <w:tcPr>
            <w:tcW w:w="1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16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90"/>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6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2,034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2,244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7,718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8,386</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1"/>
                <w:szCs w:val="11"/>
                <w:color w:val="auto"/>
              </w:rPr>
              <w:t>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70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4700" w:type="dxa"/>
            <w:vAlign w:val="bottom"/>
          </w:tcPr>
          <w:p>
            <w:pPr>
              <w:spacing w:after="0"/>
              <w:rPr>
                <w:sz w:val="20"/>
                <w:szCs w:val="20"/>
                <w:color w:val="auto"/>
              </w:rPr>
            </w:pPr>
            <w:r>
              <w:rPr>
                <w:rFonts w:ascii="Arial" w:cs="Arial" w:eastAsia="Arial" w:hAnsi="Arial"/>
                <w:sz w:val="11"/>
                <w:szCs w:val="11"/>
                <w:color w:val="auto"/>
              </w:rPr>
              <w:t>(a)  Primarily Chevrolet.</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700" w:type="dxa"/>
            <w:vAlign w:val="bottom"/>
          </w:tcPr>
          <w:p>
            <w:pPr>
              <w:spacing w:after="0"/>
              <w:rPr>
                <w:sz w:val="12"/>
                <w:szCs w:val="12"/>
                <w:color w:val="auto"/>
              </w:rPr>
            </w:pPr>
          </w:p>
        </w:tc>
        <w:tc>
          <w:tcPr>
            <w:tcW w:w="3020" w:type="dxa"/>
            <w:vAlign w:val="bottom"/>
            <w:tcBorders>
              <w:bottom w:val="single" w:sz="8" w:color="auto"/>
            </w:tcBorders>
            <w:gridSpan w:val="4"/>
          </w:tcPr>
          <w:p>
            <w:pPr>
              <w:ind w:left="1200"/>
              <w:spacing w:after="0"/>
              <w:rPr>
                <w:sz w:val="20"/>
                <w:szCs w:val="20"/>
                <w:color w:val="auto"/>
              </w:rPr>
            </w:pPr>
            <w:r>
              <w:rPr>
                <w:rFonts w:ascii="Arial" w:cs="Arial" w:eastAsia="Arial" w:hAnsi="Arial"/>
                <w:sz w:val="10"/>
                <w:szCs w:val="10"/>
                <w:b w:val="1"/>
                <w:bCs w:val="1"/>
                <w:color w:val="auto"/>
              </w:rPr>
              <w:t>Three Months Ended</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Borders>
              <w:bottom w:val="single" w:sz="8" w:color="auto"/>
            </w:tcBorders>
            <w:gridSpan w:val="3"/>
          </w:tcPr>
          <w:p>
            <w:pPr>
              <w:ind w:left="1360"/>
              <w:spacing w:after="0"/>
              <w:rPr>
                <w:sz w:val="20"/>
                <w:szCs w:val="20"/>
                <w:color w:val="auto"/>
              </w:rPr>
            </w:pPr>
            <w:r>
              <w:rPr>
                <w:rFonts w:ascii="Arial" w:cs="Arial" w:eastAsia="Arial" w:hAnsi="Arial"/>
                <w:sz w:val="10"/>
                <w:szCs w:val="10"/>
                <w:b w:val="1"/>
                <w:bCs w:val="1"/>
                <w:color w:val="auto"/>
              </w:rPr>
              <w:t>Years Ended</w:t>
            </w:r>
          </w:p>
        </w:tc>
        <w:tc>
          <w:tcPr>
            <w:tcW w:w="1300" w:type="dxa"/>
            <w:vAlign w:val="bottom"/>
            <w:tcBorders>
              <w:bottom w:val="single" w:sz="8" w:color="auto"/>
            </w:tcBorders>
          </w:tcPr>
          <w:p>
            <w:pPr>
              <w:spacing w:after="0"/>
              <w:rPr>
                <w:sz w:val="12"/>
                <w:szCs w:val="12"/>
                <w:color w:val="auto"/>
              </w:rPr>
            </w:pPr>
          </w:p>
        </w:tc>
      </w:tr>
      <w:tr>
        <w:trPr>
          <w:trHeight w:val="206"/>
        </w:trPr>
        <w:tc>
          <w:tcPr>
            <w:tcW w:w="47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2019</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99"/>
              </w:rPr>
              <w:t>December 31, 2018</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December 31, 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December 31, 2018</w:t>
            </w:r>
          </w:p>
        </w:tc>
      </w:tr>
      <w:tr>
        <w:trPr>
          <w:trHeight w:val="202"/>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380</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466</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3"/>
              <w:spacing w:after="0"/>
              <w:rPr>
                <w:sz w:val="20"/>
                <w:szCs w:val="20"/>
                <w:color w:val="auto"/>
              </w:rPr>
            </w:pPr>
            <w:r>
              <w:rPr>
                <w:rFonts w:ascii="Arial" w:cs="Arial" w:eastAsia="Arial" w:hAnsi="Arial"/>
                <w:sz w:val="13"/>
                <w:szCs w:val="13"/>
                <w:color w:val="auto"/>
              </w:rPr>
              <w:t>1,482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1,749</w:t>
            </w:r>
          </w:p>
        </w:tc>
      </w:tr>
      <w:tr>
        <w:trPr>
          <w:trHeight w:val="200"/>
        </w:trPr>
        <w:tc>
          <w:tcPr>
            <w:tcW w:w="598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456</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499</w:t>
            </w:r>
          </w:p>
        </w:tc>
        <w:tc>
          <w:tcPr>
            <w:tcW w:w="100" w:type="dxa"/>
            <w:vAlign w:val="bottom"/>
          </w:tcPr>
          <w:p>
            <w:pPr>
              <w:spacing w:after="0"/>
              <w:rPr>
                <w:sz w:val="17"/>
                <w:szCs w:val="17"/>
                <w:color w:val="auto"/>
              </w:rPr>
            </w:pPr>
          </w:p>
        </w:tc>
        <w:tc>
          <w:tcPr>
            <w:tcW w:w="1600" w:type="dxa"/>
            <w:vAlign w:val="bottom"/>
          </w:tcPr>
          <w:p>
            <w:pPr>
              <w:jc w:val="right"/>
              <w:ind w:right="43"/>
              <w:spacing w:after="0"/>
              <w:rPr>
                <w:sz w:val="20"/>
                <w:szCs w:val="20"/>
                <w:color w:val="auto"/>
              </w:rPr>
            </w:pPr>
            <w:r>
              <w:rPr>
                <w:rFonts w:ascii="Arial" w:cs="Arial" w:eastAsia="Arial" w:hAnsi="Arial"/>
                <w:sz w:val="13"/>
                <w:szCs w:val="13"/>
                <w:color w:val="auto"/>
              </w:rPr>
              <w:t>1,612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Arial" w:cs="Arial" w:eastAsia="Arial" w:hAnsi="Arial"/>
                <w:sz w:val="13"/>
                <w:szCs w:val="13"/>
                <w:color w:val="auto"/>
              </w:rPr>
              <w:t>1,896</w:t>
            </w:r>
          </w:p>
        </w:tc>
      </w:tr>
      <w:tr>
        <w:trPr>
          <w:trHeight w:val="517"/>
        </w:trPr>
        <w:tc>
          <w:tcPr>
            <w:tcW w:w="5980" w:type="dxa"/>
            <w:vAlign w:val="bottom"/>
            <w:gridSpan w:val="2"/>
          </w:tcPr>
          <w:p>
            <w:pPr>
              <w:jc w:val="right"/>
              <w:ind w:right="170"/>
              <w:spacing w:after="0"/>
              <w:rPr>
                <w:sz w:val="20"/>
                <w:szCs w:val="20"/>
                <w:color w:val="auto"/>
              </w:rPr>
            </w:pPr>
            <w:r>
              <w:rPr>
                <w:rFonts w:ascii="Arial" w:cs="Arial" w:eastAsia="Arial" w:hAnsi="Arial"/>
                <w:sz w:val="13"/>
                <w:szCs w:val="13"/>
                <w:color w:val="auto"/>
              </w:rPr>
              <w:t>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60"/>
          </w:cols>
          <w:pgMar w:left="220" w:top="470" w:right="2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640" w:type="dxa"/>
            <w:vAlign w:val="bottom"/>
          </w:tcPr>
          <w:p>
            <w:pPr>
              <w:spacing w:after="0"/>
              <w:rPr>
                <w:sz w:val="12"/>
                <w:szCs w:val="12"/>
                <w:color w:val="auto"/>
              </w:rPr>
            </w:pPr>
          </w:p>
        </w:tc>
        <w:tc>
          <w:tcPr>
            <w:tcW w:w="3360" w:type="dxa"/>
            <w:vAlign w:val="bottom"/>
            <w:tcBorders>
              <w:bottom w:val="single" w:sz="8" w:color="auto"/>
            </w:tcBorders>
            <w:gridSpan w:val="3"/>
          </w:tcPr>
          <w:p>
            <w:pPr>
              <w:jc w:val="right"/>
              <w:ind w:right="1117"/>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2"/>
                <w:szCs w:val="12"/>
                <w:color w:val="auto"/>
              </w:rPr>
            </w:pPr>
          </w:p>
        </w:tc>
        <w:tc>
          <w:tcPr>
            <w:tcW w:w="2040" w:type="dxa"/>
            <w:vAlign w:val="bottom"/>
            <w:tcBorders>
              <w:bottom w:val="single" w:sz="8" w:color="auto"/>
            </w:tcBorders>
            <w:gridSpan w:val="3"/>
          </w:tcPr>
          <w:p>
            <w:pPr>
              <w:ind w:left="1380"/>
              <w:spacing w:after="0"/>
              <w:rPr>
                <w:sz w:val="20"/>
                <w:szCs w:val="20"/>
                <w:color w:val="auto"/>
              </w:rPr>
            </w:pPr>
            <w:r>
              <w:rPr>
                <w:rFonts w:ascii="Arial" w:cs="Arial" w:eastAsia="Arial" w:hAnsi="Arial"/>
                <w:sz w:val="10"/>
                <w:szCs w:val="10"/>
                <w:b w:val="1"/>
                <w:bCs w:val="1"/>
                <w:color w:val="auto"/>
              </w:rPr>
              <w:t>Years Ended</w:t>
            </w:r>
          </w:p>
        </w:tc>
        <w:tc>
          <w:tcPr>
            <w:tcW w:w="1320" w:type="dxa"/>
            <w:vAlign w:val="bottom"/>
            <w:tcBorders>
              <w:bottom w:val="single" w:sz="8" w:color="auto"/>
            </w:tcBorders>
          </w:tcPr>
          <w:p>
            <w:pPr>
              <w:spacing w:after="0"/>
              <w:rPr>
                <w:sz w:val="12"/>
                <w:szCs w:val="12"/>
                <w:color w:val="auto"/>
              </w:rPr>
            </w:pPr>
          </w:p>
        </w:tc>
      </w:tr>
      <w:tr>
        <w:trPr>
          <w:trHeight w:val="204"/>
        </w:trPr>
        <w:tc>
          <w:tcPr>
            <w:tcW w:w="4640" w:type="dxa"/>
            <w:vAlign w:val="bottom"/>
          </w:tcPr>
          <w:p>
            <w:pPr>
              <w:spacing w:after="0"/>
              <w:rPr>
                <w:sz w:val="17"/>
                <w:szCs w:val="17"/>
                <w:color w:val="auto"/>
              </w:rPr>
            </w:pPr>
          </w:p>
        </w:tc>
        <w:tc>
          <w:tcPr>
            <w:tcW w:w="1720" w:type="dxa"/>
            <w:vAlign w:val="bottom"/>
            <w:gridSpan w:val="2"/>
          </w:tcPr>
          <w:p>
            <w:pPr>
              <w:ind w:left="360"/>
              <w:spacing w:after="0"/>
              <w:rPr>
                <w:sz w:val="20"/>
                <w:szCs w:val="20"/>
                <w:color w:val="auto"/>
              </w:rPr>
            </w:pPr>
            <w:r>
              <w:rPr>
                <w:rFonts w:ascii="Arial" w:cs="Arial" w:eastAsia="Arial" w:hAnsi="Arial"/>
                <w:sz w:val="10"/>
                <w:szCs w:val="10"/>
                <w:b w:val="1"/>
                <w:bCs w:val="1"/>
                <w:color w:val="auto"/>
              </w:rPr>
              <w:t>December 31, 2019</w:t>
            </w:r>
          </w:p>
        </w:tc>
        <w:tc>
          <w:tcPr>
            <w:tcW w:w="1740" w:type="dxa"/>
            <w:vAlign w:val="bottom"/>
            <w:gridSpan w:val="2"/>
          </w:tcPr>
          <w:p>
            <w:pPr>
              <w:ind w:left="360"/>
              <w:spacing w:after="0"/>
              <w:rPr>
                <w:sz w:val="20"/>
                <w:szCs w:val="20"/>
                <w:color w:val="auto"/>
              </w:rPr>
            </w:pPr>
            <w:r>
              <w:rPr>
                <w:rFonts w:ascii="Arial" w:cs="Arial" w:eastAsia="Arial" w:hAnsi="Arial"/>
                <w:sz w:val="10"/>
                <w:szCs w:val="10"/>
                <w:b w:val="1"/>
                <w:bCs w:val="1"/>
                <w:color w:val="auto"/>
              </w:rPr>
              <w:t>December 31, 2018</w:t>
            </w:r>
          </w:p>
        </w:tc>
        <w:tc>
          <w:tcPr>
            <w:tcW w:w="2040" w:type="dxa"/>
            <w:vAlign w:val="bottom"/>
            <w:gridSpan w:val="3"/>
          </w:tcPr>
          <w:p>
            <w:pPr>
              <w:ind w:left="360"/>
              <w:spacing w:after="0"/>
              <w:rPr>
                <w:sz w:val="20"/>
                <w:szCs w:val="20"/>
                <w:color w:val="auto"/>
              </w:rPr>
            </w:pPr>
            <w:r>
              <w:rPr>
                <w:rFonts w:ascii="Arial" w:cs="Arial" w:eastAsia="Arial" w:hAnsi="Arial"/>
                <w:sz w:val="10"/>
                <w:szCs w:val="10"/>
                <w:b w:val="1"/>
                <w:bCs w:val="1"/>
                <w:color w:val="auto"/>
              </w:rPr>
              <w:t>December 31, 2019</w:t>
            </w:r>
          </w:p>
        </w:tc>
        <w:tc>
          <w:tcPr>
            <w:tcW w:w="1320" w:type="dxa"/>
            <w:vAlign w:val="bottom"/>
          </w:tcPr>
          <w:p>
            <w:pPr>
              <w:jc w:val="right"/>
              <w:ind w:right="297"/>
              <w:spacing w:after="0"/>
              <w:rPr>
                <w:sz w:val="20"/>
                <w:szCs w:val="20"/>
                <w:color w:val="auto"/>
              </w:rPr>
            </w:pPr>
            <w:r>
              <w:rPr>
                <w:rFonts w:ascii="Arial" w:cs="Arial" w:eastAsia="Arial" w:hAnsi="Arial"/>
                <w:sz w:val="10"/>
                <w:szCs w:val="10"/>
                <w:b w:val="1"/>
                <w:bCs w:val="1"/>
                <w:color w:val="auto"/>
              </w:rPr>
              <w:t>December 31, 2018</w:t>
            </w:r>
          </w:p>
        </w:tc>
      </w:tr>
      <w:tr>
        <w:trPr>
          <w:trHeight w:val="208"/>
        </w:trPr>
        <w:tc>
          <w:tcPr>
            <w:tcW w:w="4640" w:type="dxa"/>
            <w:vAlign w:val="bottom"/>
          </w:tcPr>
          <w:p>
            <w:pPr>
              <w:ind w:left="20"/>
              <w:spacing w:after="0"/>
              <w:rPr>
                <w:sz w:val="20"/>
                <w:szCs w:val="20"/>
                <w:color w:val="auto"/>
              </w:rPr>
            </w:pPr>
            <w:r>
              <w:rPr>
                <w:rFonts w:ascii="Arial" w:cs="Arial" w:eastAsia="Arial" w:hAnsi="Arial"/>
                <w:sz w:val="13"/>
                <w:szCs w:val="13"/>
                <w:color w:val="auto"/>
              </w:rPr>
              <w:t>Market Share</w:t>
            </w: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3"/>
        </w:trPr>
        <w:tc>
          <w:tcPr>
            <w:tcW w:w="4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United States – Cars</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208"/>
        </w:trPr>
        <w:tc>
          <w:tcPr>
            <w:tcW w:w="4640" w:type="dxa"/>
            <w:vAlign w:val="bottom"/>
          </w:tcPr>
          <w:p>
            <w:pPr>
              <w:ind w:left="160"/>
              <w:spacing w:after="0"/>
              <w:rPr>
                <w:sz w:val="20"/>
                <w:szCs w:val="20"/>
                <w:color w:val="auto"/>
              </w:rPr>
            </w:pPr>
            <w:r>
              <w:rPr>
                <w:rFonts w:ascii="Arial" w:cs="Arial" w:eastAsia="Arial" w:hAnsi="Arial"/>
                <w:sz w:val="13"/>
                <w:szCs w:val="13"/>
                <w:color w:val="auto"/>
              </w:rPr>
              <w:t>United States – Trucks(a)</w:t>
            </w:r>
          </w:p>
        </w:tc>
        <w:tc>
          <w:tcPr>
            <w:tcW w:w="162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32.3%</w:t>
            </w:r>
          </w:p>
        </w:tc>
      </w:tr>
      <w:tr>
        <w:trPr>
          <w:trHeight w:val="223"/>
        </w:trPr>
        <w:tc>
          <w:tcPr>
            <w:tcW w:w="4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United States – Crossovers(a)</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r>
      <w:tr>
        <w:trPr>
          <w:trHeight w:val="208"/>
        </w:trPr>
        <w:tc>
          <w:tcPr>
            <w:tcW w:w="4640" w:type="dxa"/>
            <w:vAlign w:val="bottom"/>
          </w:tcPr>
          <w:p>
            <w:pPr>
              <w:ind w:left="160"/>
              <w:spacing w:after="0"/>
              <w:rPr>
                <w:sz w:val="20"/>
                <w:szCs w:val="20"/>
                <w:color w:val="auto"/>
              </w:rPr>
            </w:pPr>
            <w:r>
              <w:rPr>
                <w:rFonts w:ascii="Arial" w:cs="Arial" w:eastAsia="Arial" w:hAnsi="Arial"/>
                <w:sz w:val="13"/>
                <w:szCs w:val="13"/>
                <w:color w:val="auto"/>
              </w:rPr>
              <w:t>Total United States</w:t>
            </w:r>
          </w:p>
        </w:tc>
        <w:tc>
          <w:tcPr>
            <w:tcW w:w="162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16.7%</w:t>
            </w:r>
          </w:p>
        </w:tc>
      </w:tr>
      <w:tr>
        <w:trPr>
          <w:trHeight w:val="223"/>
        </w:trPr>
        <w:tc>
          <w:tcPr>
            <w:tcW w:w="4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North America</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r>
      <w:tr>
        <w:trPr>
          <w:trHeight w:val="208"/>
        </w:trPr>
        <w:tc>
          <w:tcPr>
            <w:tcW w:w="4640" w:type="dxa"/>
            <w:vAlign w:val="bottom"/>
          </w:tcPr>
          <w:p>
            <w:pPr>
              <w:ind w:left="160"/>
              <w:spacing w:after="0"/>
              <w:rPr>
                <w:sz w:val="20"/>
                <w:szCs w:val="20"/>
                <w:color w:val="auto"/>
              </w:rPr>
            </w:pPr>
            <w:r>
              <w:rPr>
                <w:rFonts w:ascii="Arial" w:cs="Arial" w:eastAsia="Arial" w:hAnsi="Arial"/>
                <w:sz w:val="13"/>
                <w:szCs w:val="13"/>
                <w:color w:val="auto"/>
              </w:rPr>
              <w:t>Total Asia/Pacific, Middle East and Africa</w:t>
            </w:r>
          </w:p>
        </w:tc>
        <w:tc>
          <w:tcPr>
            <w:tcW w:w="162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223"/>
        </w:trPr>
        <w:tc>
          <w:tcPr>
            <w:tcW w:w="4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South America</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r>
      <w:tr>
        <w:trPr>
          <w:trHeight w:val="208"/>
        </w:trPr>
        <w:tc>
          <w:tcPr>
            <w:tcW w:w="4640" w:type="dxa"/>
            <w:vAlign w:val="bottom"/>
          </w:tcPr>
          <w:p>
            <w:pPr>
              <w:ind w:left="20"/>
              <w:spacing w:after="0"/>
              <w:rPr>
                <w:sz w:val="20"/>
                <w:szCs w:val="20"/>
                <w:color w:val="auto"/>
              </w:rPr>
            </w:pPr>
            <w:r>
              <w:rPr>
                <w:rFonts w:ascii="Arial" w:cs="Arial" w:eastAsia="Arial" w:hAnsi="Arial"/>
                <w:sz w:val="13"/>
                <w:szCs w:val="13"/>
                <w:color w:val="auto"/>
              </w:rPr>
              <w:t>Total GM Market</w:t>
            </w:r>
          </w:p>
        </w:tc>
        <w:tc>
          <w:tcPr>
            <w:tcW w:w="1620" w:type="dxa"/>
            <w:vAlign w:val="bottom"/>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r>
      <w:tr>
        <w:trPr>
          <w:trHeight w:val="129"/>
        </w:trPr>
        <w:tc>
          <w:tcPr>
            <w:tcW w:w="46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r>
      <w:tr>
        <w:trPr>
          <w:trHeight w:val="129"/>
        </w:trPr>
        <w:tc>
          <w:tcPr>
            <w:tcW w:w="46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America capacity two shift utilization</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w:t>
            </w:r>
          </w:p>
        </w:tc>
      </w:tr>
      <w:tr>
        <w:trPr>
          <w:trHeight w:val="133"/>
        </w:trPr>
        <w:tc>
          <w:tcPr>
            <w:tcW w:w="4640" w:type="dxa"/>
            <w:vAlign w:val="bottom"/>
          </w:tcPr>
          <w:p>
            <w:pPr>
              <w:spacing w:after="0"/>
              <w:rPr>
                <w:sz w:val="20"/>
                <w:szCs w:val="20"/>
                <w:color w:val="auto"/>
              </w:rPr>
            </w:pPr>
            <w:r>
              <w:rPr>
                <w:rFonts w:ascii="Arial" w:cs="Arial" w:eastAsia="Arial" w:hAnsi="Arial"/>
                <w:sz w:val="11"/>
                <w:szCs w:val="11"/>
                <w:color w:val="auto"/>
              </w:rPr>
              <w:t>_______</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r>
    </w:tbl>
    <w:p>
      <w:pPr>
        <w:ind w:left="260" w:hanging="254"/>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Certain industry vehicles have been reclassified between these vehicle segments. GM vehicles were not impacted by this change. The prior period has been recast to reflect the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60"/>
          </w:cols>
          <w:pgMar w:left="220" w:top="470"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9"/>
                <w:szCs w:val="9"/>
                <w:b w:val="1"/>
                <w:bCs w:val="1"/>
                <w:color w:val="auto"/>
              </w:rPr>
              <w:t>Year Ended December 31, 2019</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8"/>
          </w:tcPr>
          <w:p>
            <w:pPr>
              <w:spacing w:after="0"/>
              <w:rPr>
                <w:sz w:val="20"/>
                <w:szCs w:val="20"/>
                <w:color w:val="auto"/>
              </w:rPr>
            </w:pPr>
            <w:r>
              <w:rPr>
                <w:rFonts w:ascii="Arial" w:cs="Arial" w:eastAsia="Arial" w:hAnsi="Arial"/>
                <w:sz w:val="9"/>
                <w:szCs w:val="9"/>
                <w:b w:val="1"/>
                <w:bCs w:val="1"/>
                <w:color w:val="auto"/>
              </w:rPr>
              <w:t>Year Ended December 31, 2018</w:t>
            </w: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9"/>
                <w:szCs w:val="9"/>
                <w:b w:val="1"/>
                <w:bCs w:val="1"/>
                <w:color w:val="auto"/>
              </w:rPr>
              <w:t>Cruise</w:t>
            </w:r>
          </w:p>
        </w:tc>
        <w:tc>
          <w:tcPr>
            <w:tcW w:w="8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9"/>
                <w:szCs w:val="9"/>
                <w:b w:val="1"/>
                <w:bCs w:val="1"/>
                <w:color w:val="auto"/>
              </w:rPr>
              <w:t>GM Financial</w:t>
            </w:r>
          </w:p>
        </w:tc>
        <w:tc>
          <w:tcPr>
            <w:tcW w:w="1420" w:type="dxa"/>
            <w:vAlign w:val="bottom"/>
            <w:gridSpan w:val="3"/>
          </w:tcPr>
          <w:p>
            <w:pPr>
              <w:ind w:left="40"/>
              <w:spacing w:after="0"/>
              <w:rPr>
                <w:sz w:val="20"/>
                <w:szCs w:val="20"/>
                <w:color w:val="auto"/>
              </w:rPr>
            </w:pPr>
            <w:r>
              <w:rPr>
                <w:rFonts w:ascii="Arial" w:cs="Arial" w:eastAsia="Arial" w:hAnsi="Arial"/>
                <w:sz w:val="9"/>
                <w:szCs w:val="9"/>
                <w:b w:val="1"/>
                <w:bCs w:val="1"/>
                <w:color w:val="auto"/>
              </w:rPr>
              <w:t>Reclassifications/Eliminations</w:t>
            </w:r>
          </w:p>
        </w:tc>
        <w:tc>
          <w:tcPr>
            <w:tcW w:w="140" w:type="dxa"/>
            <w:vAlign w:val="bottom"/>
          </w:tcPr>
          <w:p>
            <w:pPr>
              <w:spacing w:after="0"/>
              <w:rPr>
                <w:sz w:val="17"/>
                <w:szCs w:val="17"/>
                <w:color w:val="auto"/>
              </w:rPr>
            </w:pPr>
          </w:p>
        </w:tc>
        <w:tc>
          <w:tcPr>
            <w:tcW w:w="680" w:type="dxa"/>
            <w:vAlign w:val="bottom"/>
          </w:tcPr>
          <w:p>
            <w:pPr>
              <w:jc w:val="right"/>
              <w:ind w:right="150"/>
              <w:spacing w:after="0"/>
              <w:rPr>
                <w:sz w:val="20"/>
                <w:szCs w:val="20"/>
                <w:color w:val="auto"/>
              </w:rPr>
            </w:pPr>
            <w:r>
              <w:rPr>
                <w:rFonts w:ascii="Arial" w:cs="Arial" w:eastAsia="Arial" w:hAnsi="Arial"/>
                <w:sz w:val="9"/>
                <w:szCs w:val="9"/>
                <w:b w:val="1"/>
                <w:bCs w:val="1"/>
                <w:color w:val="auto"/>
              </w:rPr>
              <w:t>Combined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Automotive</w:t>
            </w:r>
          </w:p>
        </w:tc>
        <w:tc>
          <w:tcPr>
            <w:tcW w:w="100" w:type="dxa"/>
            <w:vAlign w:val="bottom"/>
          </w:tcPr>
          <w:p>
            <w:pPr>
              <w:spacing w:after="0"/>
              <w:rPr>
                <w:sz w:val="17"/>
                <w:szCs w:val="17"/>
                <w:color w:val="auto"/>
              </w:rPr>
            </w:pPr>
          </w:p>
        </w:tc>
        <w:tc>
          <w:tcPr>
            <w:tcW w:w="380" w:type="dxa"/>
            <w:vAlign w:val="bottom"/>
          </w:tcPr>
          <w:p>
            <w:pPr>
              <w:jc w:val="right"/>
              <w:ind w:right="30"/>
              <w:spacing w:after="0"/>
              <w:rPr>
                <w:sz w:val="20"/>
                <w:szCs w:val="20"/>
                <w:color w:val="auto"/>
              </w:rPr>
            </w:pPr>
            <w:r>
              <w:rPr>
                <w:rFonts w:ascii="Arial" w:cs="Arial" w:eastAsia="Arial" w:hAnsi="Arial"/>
                <w:sz w:val="9"/>
                <w:szCs w:val="9"/>
                <w:b w:val="1"/>
                <w:bCs w:val="1"/>
                <w:color w:val="auto"/>
                <w:w w:val="99"/>
              </w:rPr>
              <w:t>Cruise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Arial" w:cs="Arial" w:eastAsia="Arial" w:hAnsi="Arial"/>
                <w:sz w:val="9"/>
                <w:szCs w:val="9"/>
                <w:b w:val="1"/>
                <w:bCs w:val="1"/>
                <w:color w:val="auto"/>
              </w:rPr>
              <w:t>GM Financial</w:t>
            </w:r>
          </w:p>
        </w:tc>
        <w:tc>
          <w:tcPr>
            <w:tcW w:w="12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Eliminations</w:t>
            </w:r>
          </w:p>
        </w:tc>
        <w:tc>
          <w:tcPr>
            <w:tcW w:w="120" w:type="dxa"/>
            <w:vAlign w:val="bottom"/>
          </w:tcPr>
          <w:p>
            <w:pPr>
              <w:spacing w:after="0"/>
              <w:rPr>
                <w:sz w:val="17"/>
                <w:szCs w:val="17"/>
                <w:color w:val="auto"/>
              </w:rPr>
            </w:pPr>
          </w:p>
        </w:tc>
        <w:tc>
          <w:tcPr>
            <w:tcW w:w="660" w:type="dxa"/>
            <w:vAlign w:val="bottom"/>
          </w:tcPr>
          <w:p>
            <w:pPr>
              <w:jc w:val="right"/>
              <w:ind w:right="130"/>
              <w:spacing w:after="0"/>
              <w:rPr>
                <w:sz w:val="20"/>
                <w:szCs w:val="20"/>
                <w:color w:val="auto"/>
              </w:rPr>
            </w:pPr>
            <w:r>
              <w:rPr>
                <w:rFonts w:ascii="Arial" w:cs="Arial" w:eastAsia="Arial" w:hAnsi="Arial"/>
                <w:sz w:val="9"/>
                <w:szCs w:val="9"/>
                <w:b w:val="1"/>
                <w:bCs w:val="1"/>
                <w:color w:val="auto"/>
              </w:rPr>
              <w:t>Combined</w:t>
            </w:r>
          </w:p>
        </w:tc>
        <w:tc>
          <w:tcPr>
            <w:tcW w:w="0" w:type="dxa"/>
            <w:vAlign w:val="bottom"/>
          </w:tcPr>
          <w:p>
            <w:pPr>
              <w:spacing w:after="0"/>
              <w:rPr>
                <w:sz w:val="1"/>
                <w:szCs w:val="1"/>
                <w:color w:val="auto"/>
              </w:rPr>
            </w:pPr>
          </w:p>
        </w:tc>
      </w:tr>
      <w:tr>
        <w:trPr>
          <w:trHeight w:val="153"/>
        </w:trPr>
        <w:tc>
          <w:tcPr>
            <w:tcW w:w="2300" w:type="dxa"/>
            <w:vAlign w:val="bottom"/>
          </w:tcPr>
          <w:p>
            <w:pPr>
              <w:ind w:left="20"/>
              <w:spacing w:after="0"/>
              <w:rPr>
                <w:sz w:val="20"/>
                <w:szCs w:val="20"/>
                <w:color w:val="auto"/>
              </w:rPr>
            </w:pPr>
            <w:r>
              <w:rPr>
                <w:rFonts w:ascii="Arial" w:cs="Arial" w:eastAsia="Arial" w:hAnsi="Arial"/>
                <w:sz w:val="11"/>
                <w:szCs w:val="11"/>
                <w:color w:val="auto"/>
              </w:rPr>
              <w:t>Net sales and revenue</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Automotive</w:t>
            </w:r>
          </w:p>
        </w:tc>
        <w:tc>
          <w:tcPr>
            <w:tcW w:w="1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122,697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122,697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133,143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40" w:type="dxa"/>
            <w:vAlign w:val="bottom"/>
            <w:gridSpan w:val="3"/>
            <w:shd w:val="clear" w:color="auto" w:fill="CCEEFF"/>
          </w:tcPr>
          <w:p>
            <w:pPr>
              <w:jc w:val="right"/>
              <w:ind w:right="37"/>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(98)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133,045</w:t>
            </w:r>
          </w:p>
        </w:tc>
        <w:tc>
          <w:tcPr>
            <w:tcW w:w="0" w:type="dxa"/>
            <w:vAlign w:val="bottom"/>
          </w:tcPr>
          <w:p>
            <w:pPr>
              <w:spacing w:after="0"/>
              <w:rPr>
                <w:sz w:val="1"/>
                <w:szCs w:val="1"/>
                <w:color w:val="auto"/>
              </w:rPr>
            </w:pPr>
          </w:p>
        </w:tc>
      </w:tr>
      <w:tr>
        <w:trPr>
          <w:trHeight w:val="168"/>
        </w:trPr>
        <w:tc>
          <w:tcPr>
            <w:tcW w:w="2300" w:type="dxa"/>
            <w:vAlign w:val="bottom"/>
          </w:tcPr>
          <w:p>
            <w:pPr>
              <w:ind w:left="140"/>
              <w:spacing w:after="0"/>
              <w:rPr>
                <w:sz w:val="20"/>
                <w:szCs w:val="20"/>
                <w:color w:val="auto"/>
              </w:rPr>
            </w:pPr>
            <w:r>
              <w:rPr>
                <w:rFonts w:ascii="Arial" w:cs="Arial" w:eastAsia="Arial" w:hAnsi="Arial"/>
                <w:sz w:val="11"/>
                <w:szCs w:val="11"/>
                <w:color w:val="auto"/>
              </w:rPr>
              <w:t>GM Financial</w:t>
            </w:r>
          </w:p>
        </w:tc>
        <w:tc>
          <w:tcPr>
            <w:tcW w:w="16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14,554</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14,540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14,016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0"/>
              <w:spacing w:after="0"/>
              <w:rPr>
                <w:sz w:val="20"/>
                <w:szCs w:val="20"/>
                <w:color w:val="auto"/>
              </w:rPr>
            </w:pPr>
            <w:r>
              <w:rPr>
                <w:rFonts w:ascii="Arial" w:cs="Arial" w:eastAsia="Arial" w:hAnsi="Arial"/>
                <w:sz w:val="10"/>
                <w:szCs w:val="10"/>
                <w:color w:val="auto"/>
              </w:rPr>
              <w:t>14,004</w:t>
            </w:r>
          </w:p>
        </w:tc>
        <w:tc>
          <w:tcPr>
            <w:tcW w:w="0" w:type="dxa"/>
            <w:vAlign w:val="bottom"/>
          </w:tcPr>
          <w:p>
            <w:pPr>
              <w:spacing w:after="0"/>
              <w:rPr>
                <w:sz w:val="1"/>
                <w:szCs w:val="1"/>
                <w:color w:val="auto"/>
              </w:rPr>
            </w:pPr>
          </w:p>
        </w:tc>
      </w:tr>
      <w:tr>
        <w:trPr>
          <w:trHeight w:val="168"/>
        </w:trPr>
        <w:tc>
          <w:tcPr>
            <w:tcW w:w="2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net sales and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122,697</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100</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14,554</w:t>
            </w: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(114)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137,237</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133,143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14,016</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(110)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147,049</w:t>
            </w:r>
          </w:p>
        </w:tc>
        <w:tc>
          <w:tcPr>
            <w:tcW w:w="0" w:type="dxa"/>
            <w:vAlign w:val="bottom"/>
          </w:tcPr>
          <w:p>
            <w:pPr>
              <w:spacing w:after="0"/>
              <w:rPr>
                <w:sz w:val="1"/>
                <w:szCs w:val="1"/>
                <w:color w:val="auto"/>
              </w:rPr>
            </w:pPr>
          </w:p>
        </w:tc>
      </w:tr>
      <w:tr>
        <w:trPr>
          <w:trHeight w:val="143"/>
        </w:trPr>
        <w:tc>
          <w:tcPr>
            <w:tcW w:w="2300" w:type="dxa"/>
            <w:vAlign w:val="bottom"/>
          </w:tcPr>
          <w:p>
            <w:pPr>
              <w:ind w:left="20"/>
              <w:spacing w:after="0"/>
              <w:rPr>
                <w:sz w:val="20"/>
                <w:szCs w:val="20"/>
                <w:color w:val="auto"/>
              </w:rPr>
            </w:pPr>
            <w:r>
              <w:rPr>
                <w:rFonts w:ascii="Arial" w:cs="Arial" w:eastAsia="Arial" w:hAnsi="Arial"/>
                <w:sz w:val="11"/>
                <w:szCs w:val="11"/>
                <w:color w:val="auto"/>
              </w:rPr>
              <w:t>Costs and expenses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Automotive and other cost of sales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109,630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1,026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110,651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120,041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120,656</w:t>
            </w:r>
          </w:p>
        </w:tc>
        <w:tc>
          <w:tcPr>
            <w:tcW w:w="0" w:type="dxa"/>
            <w:vAlign w:val="bottom"/>
          </w:tcPr>
          <w:p>
            <w:pPr>
              <w:spacing w:after="0"/>
              <w:rPr>
                <w:sz w:val="1"/>
                <w:szCs w:val="1"/>
                <w:color w:val="auto"/>
              </w:rPr>
            </w:pPr>
          </w:p>
        </w:tc>
      </w:tr>
      <w:tr>
        <w:trPr>
          <w:trHeight w:val="155"/>
        </w:trPr>
        <w:tc>
          <w:tcPr>
            <w:tcW w:w="2300" w:type="dxa"/>
            <w:vAlign w:val="bottom"/>
          </w:tcPr>
          <w:p>
            <w:pPr>
              <w:ind w:left="140"/>
              <w:spacing w:after="0"/>
              <w:rPr>
                <w:sz w:val="20"/>
                <w:szCs w:val="20"/>
                <w:color w:val="auto"/>
              </w:rPr>
            </w:pPr>
            <w:r>
              <w:rPr>
                <w:rFonts w:ascii="Arial" w:cs="Arial" w:eastAsia="Arial" w:hAnsi="Arial"/>
                <w:sz w:val="11"/>
                <w:szCs w:val="11"/>
                <w:color w:val="auto"/>
              </w:rPr>
              <w:t>GM Financial interest, operating and other</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300" w:type="dxa"/>
            <w:vAlign w:val="bottom"/>
          </w:tcPr>
          <w:p>
            <w:pPr>
              <w:ind w:left="260"/>
              <w:spacing w:after="0"/>
              <w:rPr>
                <w:sz w:val="20"/>
                <w:szCs w:val="20"/>
                <w:color w:val="auto"/>
              </w:rPr>
            </w:pPr>
            <w:r>
              <w:rPr>
                <w:rFonts w:ascii="Arial" w:cs="Arial" w:eastAsia="Arial" w:hAnsi="Arial"/>
                <w:sz w:val="11"/>
                <w:szCs w:val="11"/>
                <w:color w:val="auto"/>
              </w:rPr>
              <w:t>expenses</w:t>
            </w:r>
          </w:p>
        </w:tc>
        <w:tc>
          <w:tcPr>
            <w:tcW w:w="16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12,616</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12,614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12,306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50"/>
              <w:spacing w:after="0"/>
              <w:rPr>
                <w:sz w:val="20"/>
                <w:szCs w:val="20"/>
                <w:color w:val="auto"/>
              </w:rPr>
            </w:pPr>
            <w:r>
              <w:rPr>
                <w:rFonts w:ascii="Arial" w:cs="Arial" w:eastAsia="Arial" w:hAnsi="Arial"/>
                <w:sz w:val="10"/>
                <w:szCs w:val="10"/>
                <w:color w:val="auto"/>
              </w:rPr>
              <w:t>12,298</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Automotive and other selling, general and</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3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administrative expense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8,318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8,491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9,624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9,650</w:t>
            </w:r>
          </w:p>
        </w:tc>
        <w:tc>
          <w:tcPr>
            <w:tcW w:w="0" w:type="dxa"/>
            <w:vAlign w:val="bottom"/>
          </w:tcPr>
          <w:p>
            <w:pPr>
              <w:spacing w:after="0"/>
              <w:rPr>
                <w:sz w:val="1"/>
                <w:szCs w:val="1"/>
                <w:color w:val="auto"/>
              </w:rPr>
            </w:pPr>
          </w:p>
        </w:tc>
      </w:tr>
      <w:tr>
        <w:trPr>
          <w:trHeight w:val="157"/>
        </w:trPr>
        <w:tc>
          <w:tcPr>
            <w:tcW w:w="23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costs and expenses</w:t>
            </w: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117,948</w:t>
            </w: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1,199</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12,616</w:t>
            </w:r>
          </w:p>
        </w:tc>
        <w:tc>
          <w:tcPr>
            <w:tcW w:w="12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(7)</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131,756</w:t>
            </w: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129,665</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741</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12,306</w:t>
            </w: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rPr>
              <w:t>(108)</w:t>
            </w: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142,604</w:t>
            </w:r>
          </w:p>
        </w:tc>
        <w:tc>
          <w:tcPr>
            <w:tcW w:w="0" w:type="dxa"/>
            <w:vAlign w:val="bottom"/>
          </w:tcPr>
          <w:p>
            <w:pPr>
              <w:spacing w:after="0"/>
              <w:rPr>
                <w:sz w:val="1"/>
                <w:szCs w:val="1"/>
                <w:color w:val="auto"/>
              </w:rPr>
            </w:pPr>
          </w:p>
        </w:tc>
      </w:tr>
      <w:tr>
        <w:trPr>
          <w:trHeight w:val="170"/>
        </w:trPr>
        <w:tc>
          <w:tcPr>
            <w:tcW w:w="2300" w:type="dxa"/>
            <w:vAlign w:val="bottom"/>
            <w:shd w:val="clear" w:color="auto" w:fill="CCEEFF"/>
          </w:tcPr>
          <w:p>
            <w:pPr>
              <w:ind w:left="300"/>
              <w:spacing w:after="0"/>
              <w:rPr>
                <w:sz w:val="20"/>
                <w:szCs w:val="20"/>
                <w:color w:val="auto"/>
              </w:rPr>
            </w:pPr>
            <w:r>
              <w:rPr>
                <w:rFonts w:ascii="Arial" w:cs="Arial" w:eastAsia="Arial" w:hAnsi="Arial"/>
                <w:sz w:val="11"/>
                <w:szCs w:val="11"/>
                <w:color w:val="auto"/>
              </w:rPr>
              <w:t>Operating income (loss)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4,749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(1,099)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1,938</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5,481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3,478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1,710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4,445</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1"/>
                <w:szCs w:val="11"/>
                <w:color w:val="auto"/>
              </w:rPr>
              <w:t>Automotive interest expense</w:t>
            </w:r>
          </w:p>
        </w:tc>
        <w:tc>
          <w:tcPr>
            <w:tcW w:w="160" w:type="dxa"/>
            <w:vAlign w:val="bottom"/>
          </w:tcPr>
          <w:p>
            <w:pPr>
              <w:spacing w:after="0"/>
              <w:rPr>
                <w:sz w:val="14"/>
                <w:szCs w:val="14"/>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790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782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662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0"/>
              <w:spacing w:after="0"/>
              <w:rPr>
                <w:sz w:val="20"/>
                <w:szCs w:val="20"/>
                <w:color w:val="auto"/>
              </w:rPr>
            </w:pPr>
            <w:r>
              <w:rPr>
                <w:rFonts w:ascii="Arial" w:cs="Arial" w:eastAsia="Arial" w:hAnsi="Arial"/>
                <w:sz w:val="10"/>
                <w:szCs w:val="10"/>
                <w:color w:val="auto"/>
              </w:rPr>
              <w:t>655</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income and other non-operating</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3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income, net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1,310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1,469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2,573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2,596</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1"/>
                <w:szCs w:val="11"/>
                <w:color w:val="auto"/>
              </w:rPr>
              <w:t>Equity income</w:t>
            </w:r>
          </w:p>
        </w:tc>
        <w:tc>
          <w:tcPr>
            <w:tcW w:w="160" w:type="dxa"/>
            <w:vAlign w:val="bottom"/>
          </w:tcPr>
          <w:p>
            <w:pPr>
              <w:spacing w:after="0"/>
              <w:rPr>
                <w:sz w:val="14"/>
                <w:szCs w:val="14"/>
                <w:color w:val="auto"/>
              </w:rPr>
            </w:pPr>
          </w:p>
        </w:tc>
        <w:tc>
          <w:tcPr>
            <w:tcW w:w="760" w:type="dxa"/>
            <w:vAlign w:val="bottom"/>
          </w:tcPr>
          <w:p>
            <w:pPr>
              <w:jc w:val="right"/>
              <w:ind w:right="50"/>
              <w:spacing w:after="0"/>
              <w:rPr>
                <w:sz w:val="20"/>
                <w:szCs w:val="20"/>
                <w:color w:val="auto"/>
              </w:rPr>
            </w:pPr>
            <w:r>
              <w:rPr>
                <w:rFonts w:ascii="Arial" w:cs="Arial" w:eastAsia="Arial" w:hAnsi="Arial"/>
                <w:sz w:val="10"/>
                <w:szCs w:val="10"/>
                <w:color w:val="auto"/>
              </w:rPr>
              <w:t>1,102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166</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1,268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1,980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183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60" w:type="dxa"/>
            <w:vAlign w:val="bottom"/>
          </w:tcPr>
          <w:p>
            <w:pPr>
              <w:jc w:val="right"/>
              <w:ind w:right="50"/>
              <w:spacing w:after="0"/>
              <w:rPr>
                <w:sz w:val="20"/>
                <w:szCs w:val="20"/>
                <w:color w:val="auto"/>
              </w:rPr>
            </w:pPr>
            <w:r>
              <w:rPr>
                <w:rFonts w:ascii="Arial" w:cs="Arial" w:eastAsia="Arial" w:hAnsi="Arial"/>
                <w:sz w:val="10"/>
                <w:szCs w:val="10"/>
                <w:color w:val="auto"/>
              </w:rPr>
              <w:t>2,163</w:t>
            </w:r>
          </w:p>
        </w:tc>
        <w:tc>
          <w:tcPr>
            <w:tcW w:w="0" w:type="dxa"/>
            <w:vAlign w:val="bottom"/>
          </w:tcPr>
          <w:p>
            <w:pPr>
              <w:spacing w:after="0"/>
              <w:rPr>
                <w:sz w:val="1"/>
                <w:szCs w:val="1"/>
                <w:color w:val="auto"/>
              </w:rPr>
            </w:pPr>
          </w:p>
        </w:tc>
      </w:tr>
      <w:tr>
        <w:trPr>
          <w:trHeight w:val="168"/>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(loss) before income taxes</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6,371</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rPr>
              <w:t>(1,025)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2,104</w:t>
            </w: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7,436</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7,369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(717)</w:t>
            </w: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1,893</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4</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8,549</w:t>
            </w:r>
          </w:p>
        </w:tc>
        <w:tc>
          <w:tcPr>
            <w:tcW w:w="0" w:type="dxa"/>
            <w:vAlign w:val="bottom"/>
          </w:tcPr>
          <w:p>
            <w:pPr>
              <w:spacing w:after="0"/>
              <w:rPr>
                <w:sz w:val="1"/>
                <w:szCs w:val="1"/>
                <w:color w:val="auto"/>
              </w:rPr>
            </w:pPr>
          </w:p>
        </w:tc>
      </w:tr>
      <w:tr>
        <w:trPr>
          <w:trHeight w:val="163"/>
        </w:trPr>
        <w:tc>
          <w:tcPr>
            <w:tcW w:w="2300" w:type="dxa"/>
            <w:vAlign w:val="bottom"/>
          </w:tcPr>
          <w:p>
            <w:pPr>
              <w:ind w:left="20"/>
              <w:spacing w:after="0"/>
              <w:rPr>
                <w:sz w:val="20"/>
                <w:szCs w:val="20"/>
                <w:color w:val="auto"/>
              </w:rPr>
            </w:pPr>
            <w:r>
              <w:rPr>
                <w:rFonts w:ascii="Arial" w:cs="Arial" w:eastAsia="Arial" w:hAnsi="Arial"/>
                <w:sz w:val="11"/>
                <w:szCs w:val="11"/>
                <w:color w:val="auto"/>
              </w:rPr>
              <w:t>Income tax expense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70"/>
              <w:spacing w:after="0"/>
              <w:rPr>
                <w:sz w:val="20"/>
                <w:szCs w:val="20"/>
                <w:color w:val="auto"/>
              </w:rPr>
            </w:pPr>
            <w:r>
              <w:rPr>
                <w:rFonts w:ascii="Arial" w:cs="Arial" w:eastAsia="Arial" w:hAnsi="Arial"/>
                <w:sz w:val="10"/>
                <w:szCs w:val="10"/>
                <w:color w:val="auto"/>
              </w:rPr>
              <w:t>769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0"/>
                <w:szCs w:val="10"/>
                <w:color w:val="auto"/>
              </w:rPr>
              <w:t>474</w:t>
            </w:r>
          </w:p>
        </w:tc>
        <w:tc>
          <w:tcPr>
            <w:tcW w:w="0" w:type="dxa"/>
            <w:vAlign w:val="bottom"/>
          </w:tcPr>
          <w:p>
            <w:pPr>
              <w:spacing w:after="0"/>
              <w:rPr>
                <w:sz w:val="1"/>
                <w:szCs w:val="1"/>
                <w:color w:val="auto"/>
              </w:rPr>
            </w:pPr>
          </w:p>
        </w:tc>
      </w:tr>
      <w:tr>
        <w:trPr>
          <w:trHeight w:val="46"/>
        </w:trPr>
        <w:tc>
          <w:tcPr>
            <w:tcW w:w="23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from continuing operations</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6,667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8,075</w:t>
            </w:r>
          </w:p>
        </w:tc>
        <w:tc>
          <w:tcPr>
            <w:tcW w:w="0" w:type="dxa"/>
            <w:vAlign w:val="bottom"/>
          </w:tcPr>
          <w:p>
            <w:pPr>
              <w:spacing w:after="0"/>
              <w:rPr>
                <w:sz w:val="1"/>
                <w:szCs w:val="1"/>
                <w:color w:val="auto"/>
              </w:rPr>
            </w:pPr>
          </w:p>
        </w:tc>
      </w:tr>
      <w:tr>
        <w:trPr>
          <w:trHeight w:val="155"/>
        </w:trPr>
        <w:tc>
          <w:tcPr>
            <w:tcW w:w="2300" w:type="dxa"/>
            <w:vAlign w:val="bottom"/>
          </w:tcPr>
          <w:p>
            <w:pPr>
              <w:ind w:left="20"/>
              <w:spacing w:after="0"/>
              <w:rPr>
                <w:sz w:val="20"/>
                <w:szCs w:val="20"/>
                <w:color w:val="auto"/>
              </w:rPr>
            </w:pPr>
            <w:r>
              <w:rPr>
                <w:rFonts w:ascii="Arial" w:cs="Arial" w:eastAsia="Arial" w:hAnsi="Arial"/>
                <w:sz w:val="11"/>
                <w:szCs w:val="11"/>
                <w:color w:val="auto"/>
              </w:rPr>
              <w:t>Loss from discontinued operations, net of</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30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tax</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80"/>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6,667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8,005</w:t>
            </w:r>
          </w:p>
        </w:tc>
        <w:tc>
          <w:tcPr>
            <w:tcW w:w="0" w:type="dxa"/>
            <w:vAlign w:val="bottom"/>
          </w:tcPr>
          <w:p>
            <w:pPr>
              <w:spacing w:after="0"/>
              <w:rPr>
                <w:sz w:val="1"/>
                <w:szCs w:val="1"/>
                <w:color w:val="auto"/>
              </w:rPr>
            </w:pPr>
          </w:p>
        </w:tc>
      </w:tr>
      <w:tr>
        <w:trPr>
          <w:trHeight w:val="155"/>
        </w:trPr>
        <w:tc>
          <w:tcPr>
            <w:tcW w:w="2300" w:type="dxa"/>
            <w:vAlign w:val="bottom"/>
          </w:tcPr>
          <w:p>
            <w:pPr>
              <w:ind w:left="20"/>
              <w:spacing w:after="0"/>
              <w:rPr>
                <w:sz w:val="20"/>
                <w:szCs w:val="20"/>
                <w:color w:val="auto"/>
              </w:rPr>
            </w:pPr>
            <w:r>
              <w:rPr>
                <w:rFonts w:ascii="Arial" w:cs="Arial" w:eastAsia="Arial" w:hAnsi="Arial"/>
                <w:sz w:val="11"/>
                <w:szCs w:val="11"/>
                <w:color w:val="auto"/>
              </w:rPr>
              <w:t>Net loss attributable to noncontrolling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30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interests</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65</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83"/>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attributable to stockholders</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6,732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8,014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attributable to common</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3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stockholders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6,581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7,916</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60"/>
          </w:cols>
          <w:pgMar w:left="220" w:top="297" w:right="2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basic and diluted earnings (loss) per share (in millions, except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9"/>
                <w:szCs w:val="9"/>
                <w:b w:val="1"/>
                <w:bCs w:val="1"/>
                <w:color w:val="auto"/>
              </w:rPr>
              <w:t>December 31, 2019</w:t>
            </w:r>
          </w:p>
        </w:tc>
        <w:tc>
          <w:tcPr>
            <w:tcW w:w="20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9"/>
                <w:szCs w:val="9"/>
                <w:b w:val="1"/>
                <w:bCs w:val="1"/>
                <w:color w:val="auto"/>
              </w:rPr>
              <w:t>December 31, 2018</w:t>
            </w:r>
          </w:p>
        </w:tc>
        <w:tc>
          <w:tcPr>
            <w:tcW w:w="2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9"/>
                <w:szCs w:val="9"/>
                <w:b w:val="1"/>
                <w:bCs w:val="1"/>
                <w:color w:val="auto"/>
              </w:rPr>
              <w:t>December 31, 2019</w:t>
            </w:r>
          </w:p>
        </w:tc>
        <w:tc>
          <w:tcPr>
            <w:tcW w:w="280" w:type="dxa"/>
            <w:vAlign w:val="bottom"/>
          </w:tcPr>
          <w:p>
            <w:pPr>
              <w:spacing w:after="0"/>
              <w:rPr>
                <w:sz w:val="17"/>
                <w:szCs w:val="17"/>
                <w:color w:val="auto"/>
              </w:rPr>
            </w:pPr>
          </w:p>
        </w:tc>
        <w:tc>
          <w:tcPr>
            <w:tcW w:w="1080" w:type="dxa"/>
            <w:vAlign w:val="bottom"/>
          </w:tcPr>
          <w:p>
            <w:pPr>
              <w:jc w:val="right"/>
              <w:ind w:right="217"/>
              <w:spacing w:after="0"/>
              <w:rPr>
                <w:sz w:val="20"/>
                <w:szCs w:val="20"/>
                <w:color w:val="auto"/>
              </w:rPr>
            </w:pPr>
            <w:r>
              <w:rPr>
                <w:rFonts w:ascii="Arial" w:cs="Arial" w:eastAsia="Arial" w:hAnsi="Arial"/>
                <w:sz w:val="9"/>
                <w:szCs w:val="9"/>
                <w:b w:val="1"/>
                <w:bCs w:val="1"/>
                <w:color w:val="auto"/>
                <w:w w:val="96"/>
              </w:rPr>
              <w:t>December 31, 2018</w:t>
            </w:r>
          </w:p>
        </w:tc>
        <w:tc>
          <w:tcPr>
            <w:tcW w:w="0" w:type="dxa"/>
            <w:vAlign w:val="bottom"/>
          </w:tcPr>
          <w:p>
            <w:pPr>
              <w:spacing w:after="0"/>
              <w:rPr>
                <w:sz w:val="1"/>
                <w:szCs w:val="1"/>
                <w:color w:val="auto"/>
              </w:rPr>
            </w:pPr>
          </w:p>
        </w:tc>
      </w:tr>
      <w:tr>
        <w:trPr>
          <w:trHeight w:val="211"/>
        </w:trPr>
        <w:tc>
          <w:tcPr>
            <w:tcW w:w="562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(loss) from continuing operations(a)</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8,084</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cumulative dividends on subsidiary preferred stock</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(loss) from continuing operations attributable to common stockholders</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6,581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7,986</w:t>
            </w:r>
          </w:p>
        </w:tc>
        <w:tc>
          <w:tcPr>
            <w:tcW w:w="0" w:type="dxa"/>
            <w:vAlign w:val="bottom"/>
          </w:tcPr>
          <w:p>
            <w:pPr>
              <w:spacing w:after="0"/>
              <w:rPr>
                <w:sz w:val="1"/>
                <w:szCs w:val="1"/>
                <w:color w:val="auto"/>
              </w:rPr>
            </w:pPr>
          </w:p>
        </w:tc>
      </w:tr>
      <w:tr>
        <w:trPr>
          <w:trHeight w:val="189"/>
        </w:trPr>
        <w:tc>
          <w:tcPr>
            <w:tcW w:w="5620" w:type="dxa"/>
            <w:vAlign w:val="bottom"/>
          </w:tcPr>
          <w:p>
            <w:pPr>
              <w:ind w:left="140"/>
              <w:spacing w:after="0"/>
              <w:rPr>
                <w:sz w:val="20"/>
                <w:szCs w:val="20"/>
                <w:color w:val="auto"/>
              </w:rPr>
            </w:pPr>
            <w:r>
              <w:rPr>
                <w:rFonts w:ascii="Arial" w:cs="Arial" w:eastAsia="Arial" w:hAnsi="Arial"/>
                <w:sz w:val="11"/>
                <w:szCs w:val="11"/>
                <w:color w:val="auto"/>
              </w:rPr>
              <w:t>Loss from discontinued operations, net of tax</w:t>
            </w:r>
          </w:p>
        </w:tc>
        <w:tc>
          <w:tcPr>
            <w:tcW w:w="20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89"/>
        </w:trPr>
        <w:tc>
          <w:tcPr>
            <w:tcW w:w="5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income (loss) attributable to common stockholders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2,006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6,581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7,916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5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(loss) per common share – continuing operations</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189"/>
        </w:trPr>
        <w:tc>
          <w:tcPr>
            <w:tcW w:w="5620" w:type="dxa"/>
            <w:vAlign w:val="bottom"/>
          </w:tcPr>
          <w:p>
            <w:pPr>
              <w:ind w:left="140"/>
              <w:spacing w:after="0"/>
              <w:rPr>
                <w:sz w:val="20"/>
                <w:szCs w:val="20"/>
                <w:color w:val="auto"/>
              </w:rPr>
            </w:pPr>
            <w:r>
              <w:rPr>
                <w:rFonts w:ascii="Arial" w:cs="Arial" w:eastAsia="Arial" w:hAnsi="Arial"/>
                <w:sz w:val="11"/>
                <w:szCs w:val="11"/>
                <w:color w:val="auto"/>
              </w:rPr>
              <w:t>Basic loss per common share – discontinued operations</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(loss) per common share</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5.61</w:t>
            </w:r>
          </w:p>
        </w:tc>
        <w:tc>
          <w:tcPr>
            <w:tcW w:w="0" w:type="dxa"/>
            <w:vAlign w:val="bottom"/>
          </w:tcPr>
          <w:p>
            <w:pPr>
              <w:spacing w:after="0"/>
              <w:rPr>
                <w:sz w:val="1"/>
                <w:szCs w:val="1"/>
                <w:color w:val="auto"/>
              </w:rPr>
            </w:pPr>
          </w:p>
        </w:tc>
      </w:tr>
      <w:tr>
        <w:trPr>
          <w:trHeight w:val="211"/>
        </w:trPr>
        <w:tc>
          <w:tcPr>
            <w:tcW w:w="562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(loss) from continuing operations attributable to common stockholders – diluted(a)</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7,986</w:t>
            </w:r>
          </w:p>
        </w:tc>
        <w:tc>
          <w:tcPr>
            <w:tcW w:w="0" w:type="dxa"/>
            <w:vAlign w:val="bottom"/>
          </w:tcPr>
          <w:p>
            <w:pPr>
              <w:spacing w:after="0"/>
              <w:rPr>
                <w:sz w:val="1"/>
                <w:szCs w:val="1"/>
                <w:color w:val="auto"/>
              </w:rPr>
            </w:pPr>
          </w:p>
        </w:tc>
      </w:tr>
      <w:tr>
        <w:trPr>
          <w:trHeight w:val="189"/>
        </w:trPr>
        <w:tc>
          <w:tcPr>
            <w:tcW w:w="5620" w:type="dxa"/>
            <w:vAlign w:val="bottom"/>
          </w:tcPr>
          <w:p>
            <w:pPr>
              <w:ind w:left="140"/>
              <w:spacing w:after="0"/>
              <w:rPr>
                <w:sz w:val="20"/>
                <w:szCs w:val="20"/>
                <w:color w:val="auto"/>
              </w:rPr>
            </w:pPr>
            <w:r>
              <w:rPr>
                <w:rFonts w:ascii="Arial" w:cs="Arial" w:eastAsia="Arial" w:hAnsi="Arial"/>
                <w:sz w:val="11"/>
                <w:szCs w:val="11"/>
                <w:color w:val="auto"/>
              </w:rPr>
              <w:t>Loss from discontinued operations, net of tax – diluted</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(loss) attributable to common stockholders – diluted</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7,916</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 – diluted</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1,431</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5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(loss) per common share – continuing operations</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5.58</w:t>
            </w:r>
          </w:p>
        </w:tc>
        <w:tc>
          <w:tcPr>
            <w:tcW w:w="0" w:type="dxa"/>
            <w:vAlign w:val="bottom"/>
          </w:tcPr>
          <w:p>
            <w:pPr>
              <w:spacing w:after="0"/>
              <w:rPr>
                <w:sz w:val="1"/>
                <w:szCs w:val="1"/>
                <w:color w:val="auto"/>
              </w:rPr>
            </w:pPr>
          </w:p>
        </w:tc>
      </w:tr>
      <w:tr>
        <w:trPr>
          <w:trHeight w:val="189"/>
        </w:trPr>
        <w:tc>
          <w:tcPr>
            <w:tcW w:w="5620" w:type="dxa"/>
            <w:vAlign w:val="bottom"/>
          </w:tcPr>
          <w:p>
            <w:pPr>
              <w:ind w:left="140"/>
              <w:spacing w:after="0"/>
              <w:rPr>
                <w:sz w:val="20"/>
                <w:szCs w:val="20"/>
                <w:color w:val="auto"/>
              </w:rPr>
            </w:pPr>
            <w:r>
              <w:rPr>
                <w:rFonts w:ascii="Arial" w:cs="Arial" w:eastAsia="Arial" w:hAnsi="Arial"/>
                <w:sz w:val="11"/>
                <w:szCs w:val="11"/>
                <w:color w:val="auto"/>
              </w:rPr>
              <w:t>Diluted loss per common share – discontinued operations</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(loss) per common share</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63"/>
        </w:trPr>
        <w:tc>
          <w:tcPr>
            <w:tcW w:w="5620" w:type="dxa"/>
            <w:vAlign w:val="bottom"/>
          </w:tcPr>
          <w:p>
            <w:pPr>
              <w:ind w:left="140"/>
              <w:spacing w:after="0"/>
              <w:rPr>
                <w:sz w:val="20"/>
                <w:szCs w:val="20"/>
                <w:color w:val="auto"/>
              </w:rPr>
            </w:pPr>
            <w:r>
              <w:rPr>
                <w:rFonts w:ascii="Arial" w:cs="Arial" w:eastAsia="Arial" w:hAnsi="Arial"/>
                <w:sz w:val="11"/>
                <w:szCs w:val="11"/>
                <w:color w:val="auto"/>
              </w:rPr>
              <w:t>Potentially dilutive securities(b)</w:t>
            </w:r>
          </w:p>
        </w:tc>
        <w:tc>
          <w:tcPr>
            <w:tcW w:w="200" w:type="dxa"/>
            <w:vAlign w:val="bottom"/>
          </w:tcPr>
          <w:p>
            <w:pPr>
              <w:spacing w:after="0"/>
              <w:rPr>
                <w:sz w:val="14"/>
                <w:szCs w:val="14"/>
                <w:color w:val="auto"/>
              </w:rPr>
            </w:pPr>
          </w:p>
        </w:tc>
        <w:tc>
          <w:tcPr>
            <w:tcW w:w="1200" w:type="dxa"/>
            <w:vAlign w:val="bottom"/>
            <w:vMerge w:val="restart"/>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37"/>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23"/>
        </w:trPr>
        <w:tc>
          <w:tcPr>
            <w:tcW w:w="5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3" w:lineRule="exact"/>
        <w:rPr>
          <w:sz w:val="20"/>
          <w:szCs w:val="20"/>
          <w:color w:val="auto"/>
        </w:rPr>
      </w:pPr>
    </w:p>
    <w:p>
      <w:pPr>
        <w:ind w:left="260" w:hanging="254"/>
        <w:spacing w:after="0"/>
        <w:tabs>
          <w:tab w:leader="none" w:pos="260" w:val="left"/>
        </w:tabs>
        <w:numPr>
          <w:ilvl w:val="0"/>
          <w:numId w:val="9"/>
        </w:numPr>
        <w:rPr>
          <w:rFonts w:ascii="Arial" w:cs="Arial" w:eastAsia="Arial" w:hAnsi="Arial"/>
          <w:sz w:val="11"/>
          <w:szCs w:val="11"/>
          <w:color w:val="auto"/>
        </w:rPr>
      </w:pPr>
      <w:r>
        <w:rPr>
          <w:rFonts w:ascii="Arial" w:cs="Arial" w:eastAsia="Arial" w:hAnsi="Arial"/>
          <w:sz w:val="11"/>
          <w:szCs w:val="11"/>
          <w:color w:val="auto"/>
        </w:rPr>
        <w:t>Net of Net income (loss) attributable to noncontrolling interests.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9"/>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were excluded from the computation of diluted EPS because the securities would have had an antidilutive effect.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60"/>
          </w:cols>
          <w:pgMar w:left="220" w:top="297" w:right="2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Balance Sheet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6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December 31, 2019</w:t>
            </w: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December 31, 2018</w:t>
            </w: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rPr>
              <w:t>Reclassifications /</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7"/>
                <w:szCs w:val="7"/>
                <w:b w:val="1"/>
                <w:bCs w:val="1"/>
                <w:color w:val="auto"/>
              </w:rPr>
              <w:t>Reclassifications /</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40" w:type="dxa"/>
            <w:vAlign w:val="bottom"/>
          </w:tcPr>
          <w:p>
            <w:pPr>
              <w:spacing w:after="0"/>
              <w:rPr>
                <w:sz w:val="8"/>
                <w:szCs w:val="8"/>
                <w:color w:val="auto"/>
              </w:rPr>
            </w:pPr>
          </w:p>
        </w:tc>
        <w:tc>
          <w:tcPr>
            <w:tcW w:w="560" w:type="dxa"/>
            <w:vAlign w:val="bottom"/>
            <w:gridSpan w:val="2"/>
          </w:tcPr>
          <w:p>
            <w:pPr>
              <w:ind w:left="40"/>
              <w:spacing w:after="0"/>
              <w:rPr>
                <w:sz w:val="20"/>
                <w:szCs w:val="20"/>
                <w:color w:val="auto"/>
              </w:rPr>
            </w:pPr>
            <w:r>
              <w:rPr>
                <w:rFonts w:ascii="Arial" w:cs="Arial" w:eastAsia="Arial" w:hAnsi="Arial"/>
                <w:sz w:val="7"/>
                <w:szCs w:val="7"/>
                <w:b w:val="1"/>
                <w:bCs w:val="1"/>
                <w:color w:val="auto"/>
              </w:rPr>
              <w:t>Cruise</w:t>
            </w:r>
          </w:p>
        </w:tc>
        <w:tc>
          <w:tcPr>
            <w:tcW w:w="140" w:type="dxa"/>
            <w:vAlign w:val="bottom"/>
          </w:tcPr>
          <w:p>
            <w:pPr>
              <w:spacing w:after="0"/>
              <w:rPr>
                <w:sz w:val="8"/>
                <w:szCs w:val="8"/>
                <w:color w:val="auto"/>
              </w:rPr>
            </w:pPr>
          </w:p>
        </w:tc>
        <w:tc>
          <w:tcPr>
            <w:tcW w:w="800" w:type="dxa"/>
            <w:vAlign w:val="bottom"/>
            <w:gridSpan w:val="2"/>
          </w:tcPr>
          <w:p>
            <w:pPr>
              <w:ind w:left="60"/>
              <w:spacing w:after="0"/>
              <w:rPr>
                <w:sz w:val="20"/>
                <w:szCs w:val="20"/>
                <w:color w:val="auto"/>
              </w:rPr>
            </w:pPr>
            <w:r>
              <w:rPr>
                <w:rFonts w:ascii="Arial" w:cs="Arial" w:eastAsia="Arial" w:hAnsi="Arial"/>
                <w:sz w:val="7"/>
                <w:szCs w:val="7"/>
                <w:b w:val="1"/>
                <w:bCs w:val="1"/>
                <w:color w:val="auto"/>
              </w:rPr>
              <w:t>GM Financial</w:t>
            </w:r>
          </w:p>
        </w:tc>
        <w:tc>
          <w:tcPr>
            <w:tcW w:w="180" w:type="dxa"/>
            <w:vAlign w:val="bottom"/>
          </w:tcPr>
          <w:p>
            <w:pPr>
              <w:spacing w:after="0"/>
              <w:rPr>
                <w:sz w:val="8"/>
                <w:szCs w:val="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rPr>
              <w:t>Eliminations</w:t>
            </w:r>
          </w:p>
        </w:tc>
        <w:tc>
          <w:tcPr>
            <w:tcW w:w="160" w:type="dxa"/>
            <w:vAlign w:val="bottom"/>
          </w:tcPr>
          <w:p>
            <w:pPr>
              <w:spacing w:after="0"/>
              <w:rPr>
                <w:sz w:val="8"/>
                <w:szCs w:val="8"/>
                <w:color w:val="auto"/>
              </w:rPr>
            </w:pPr>
          </w:p>
        </w:tc>
        <w:tc>
          <w:tcPr>
            <w:tcW w:w="780" w:type="dxa"/>
            <w:vAlign w:val="bottom"/>
            <w:gridSpan w:val="2"/>
          </w:tcPr>
          <w:p>
            <w:pPr>
              <w:ind w:left="80"/>
              <w:spacing w:after="0"/>
              <w:rPr>
                <w:sz w:val="20"/>
                <w:szCs w:val="20"/>
                <w:color w:val="auto"/>
              </w:rPr>
            </w:pPr>
            <w:r>
              <w:rPr>
                <w:rFonts w:ascii="Arial" w:cs="Arial" w:eastAsia="Arial" w:hAnsi="Arial"/>
                <w:sz w:val="7"/>
                <w:szCs w:val="7"/>
                <w:b w:val="1"/>
                <w:bCs w:val="1"/>
                <w:color w:val="auto"/>
              </w:rPr>
              <w:t>Combined</w:t>
            </w:r>
          </w:p>
        </w:tc>
        <w:tc>
          <w:tcPr>
            <w:tcW w:w="120" w:type="dxa"/>
            <w:vAlign w:val="bottom"/>
          </w:tcPr>
          <w:p>
            <w:pPr>
              <w:spacing w:after="0"/>
              <w:rPr>
                <w:sz w:val="8"/>
                <w:szCs w:val="8"/>
                <w:color w:val="auto"/>
              </w:rPr>
            </w:pPr>
          </w:p>
        </w:tc>
        <w:tc>
          <w:tcPr>
            <w:tcW w:w="680" w:type="dxa"/>
            <w:vAlign w:val="bottom"/>
            <w:gridSpan w:val="2"/>
          </w:tcPr>
          <w:p>
            <w:pPr>
              <w:ind w:left="2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8"/>
                <w:szCs w:val="8"/>
                <w:color w:val="auto"/>
              </w:rPr>
            </w:pPr>
          </w:p>
        </w:tc>
        <w:tc>
          <w:tcPr>
            <w:tcW w:w="520" w:type="dxa"/>
            <w:vAlign w:val="bottom"/>
            <w:gridSpan w:val="2"/>
          </w:tcPr>
          <w:p>
            <w:pPr>
              <w:ind w:left="40"/>
              <w:spacing w:after="0"/>
              <w:rPr>
                <w:sz w:val="20"/>
                <w:szCs w:val="20"/>
                <w:color w:val="auto"/>
              </w:rPr>
            </w:pPr>
            <w:r>
              <w:rPr>
                <w:rFonts w:ascii="Arial" w:cs="Arial" w:eastAsia="Arial" w:hAnsi="Arial"/>
                <w:sz w:val="7"/>
                <w:szCs w:val="7"/>
                <w:b w:val="1"/>
                <w:bCs w:val="1"/>
                <w:color w:val="auto"/>
              </w:rPr>
              <w:t>Cruise</w:t>
            </w:r>
          </w:p>
        </w:tc>
        <w:tc>
          <w:tcPr>
            <w:tcW w:w="140" w:type="dxa"/>
            <w:vAlign w:val="bottom"/>
          </w:tcPr>
          <w:p>
            <w:pPr>
              <w:spacing w:after="0"/>
              <w:rPr>
                <w:sz w:val="8"/>
                <w:szCs w:val="8"/>
                <w:color w:val="auto"/>
              </w:rPr>
            </w:pPr>
          </w:p>
        </w:tc>
        <w:tc>
          <w:tcPr>
            <w:tcW w:w="760" w:type="dxa"/>
            <w:vAlign w:val="bottom"/>
            <w:gridSpan w:val="2"/>
          </w:tcPr>
          <w:p>
            <w:pPr>
              <w:ind w:left="40"/>
              <w:spacing w:after="0"/>
              <w:rPr>
                <w:sz w:val="20"/>
                <w:szCs w:val="20"/>
                <w:color w:val="auto"/>
              </w:rPr>
            </w:pPr>
            <w:r>
              <w:rPr>
                <w:rFonts w:ascii="Arial" w:cs="Arial" w:eastAsia="Arial" w:hAnsi="Arial"/>
                <w:sz w:val="7"/>
                <w:szCs w:val="7"/>
                <w:b w:val="1"/>
                <w:bCs w:val="1"/>
                <w:color w:val="auto"/>
              </w:rPr>
              <w:t>GM Financial</w:t>
            </w:r>
          </w:p>
        </w:tc>
        <w:tc>
          <w:tcPr>
            <w:tcW w:w="200" w:type="dxa"/>
            <w:vAlign w:val="bottom"/>
          </w:tcPr>
          <w:p>
            <w:pPr>
              <w:spacing w:after="0"/>
              <w:rPr>
                <w:sz w:val="8"/>
                <w:szCs w:val="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7"/>
                <w:szCs w:val="7"/>
                <w:b w:val="1"/>
                <w:bCs w:val="1"/>
                <w:color w:val="auto"/>
              </w:rPr>
              <w:t>Eliminations</w:t>
            </w:r>
          </w:p>
        </w:tc>
        <w:tc>
          <w:tcPr>
            <w:tcW w:w="160" w:type="dxa"/>
            <w:vAlign w:val="bottom"/>
          </w:tcPr>
          <w:p>
            <w:pPr>
              <w:spacing w:after="0"/>
              <w:rPr>
                <w:sz w:val="8"/>
                <w:szCs w:val="8"/>
                <w:color w:val="auto"/>
              </w:rPr>
            </w:pPr>
          </w:p>
        </w:tc>
        <w:tc>
          <w:tcPr>
            <w:tcW w:w="640" w:type="dxa"/>
            <w:vAlign w:val="bottom"/>
          </w:tcPr>
          <w:p>
            <w:pPr>
              <w:jc w:val="right"/>
              <w:ind w:right="170"/>
              <w:spacing w:after="0"/>
              <w:rPr>
                <w:sz w:val="20"/>
                <w:szCs w:val="20"/>
                <w:color w:val="auto"/>
              </w:rPr>
            </w:pPr>
            <w:r>
              <w:rPr>
                <w:rFonts w:ascii="Arial" w:cs="Arial" w:eastAsia="Arial" w:hAnsi="Arial"/>
                <w:sz w:val="7"/>
                <w:szCs w:val="7"/>
                <w:b w:val="1"/>
                <w:bCs w:val="1"/>
                <w:color w:val="auto"/>
              </w:rPr>
              <w:t>Combined</w:t>
            </w:r>
          </w:p>
        </w:tc>
        <w:tc>
          <w:tcPr>
            <w:tcW w:w="0" w:type="dxa"/>
            <w:vAlign w:val="bottom"/>
          </w:tcPr>
          <w:p>
            <w:pPr>
              <w:spacing w:after="0"/>
              <w:rPr>
                <w:sz w:val="1"/>
                <w:szCs w:val="1"/>
                <w:color w:val="auto"/>
              </w:rPr>
            </w:pPr>
          </w:p>
        </w:tc>
      </w:tr>
      <w:tr>
        <w:trPr>
          <w:trHeight w:val="127"/>
        </w:trPr>
        <w:tc>
          <w:tcPr>
            <w:tcW w:w="2640" w:type="dxa"/>
            <w:vAlign w:val="bottom"/>
          </w:tcPr>
          <w:p>
            <w:pPr>
              <w:ind w:left="1120"/>
              <w:spacing w:after="0"/>
              <w:rPr>
                <w:sz w:val="20"/>
                <w:szCs w:val="20"/>
                <w:color w:val="auto"/>
              </w:rPr>
            </w:pPr>
            <w:r>
              <w:rPr>
                <w:rFonts w:ascii="Arial" w:cs="Arial" w:eastAsia="Arial" w:hAnsi="Arial"/>
                <w:sz w:val="10"/>
                <w:szCs w:val="10"/>
                <w:b w:val="1"/>
                <w:bCs w:val="1"/>
                <w:color w:val="auto"/>
              </w:rPr>
              <w:t>ASSETS</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13,409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2,349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3,311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19,069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13,670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2,291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4,883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20,844</w:t>
            </w: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rPr>
                <w:sz w:val="20"/>
                <w:szCs w:val="20"/>
                <w:color w:val="auto"/>
              </w:rPr>
            </w:pPr>
            <w:r>
              <w:rPr>
                <w:rFonts w:ascii="Arial" w:cs="Arial" w:eastAsia="Arial" w:hAnsi="Arial"/>
                <w:sz w:val="10"/>
                <w:szCs w:val="10"/>
                <w:color w:val="auto"/>
              </w:rPr>
              <w:t>Marketable debt securities(b)</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3,908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320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(54)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4,174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5,966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Arial" w:cs="Arial" w:eastAsia="Arial" w:hAnsi="Arial"/>
                <w:sz w:val="10"/>
                <w:szCs w:val="10"/>
                <w:color w:val="auto"/>
              </w:rPr>
              <w:t>(92)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5,966</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Accounts and notes receivable, net(c)</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6,614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1,004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(823)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6,797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5,916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1,430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(798)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6,549</w:t>
            </w: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rPr>
                <w:sz w:val="20"/>
                <w:szCs w:val="20"/>
                <w:color w:val="auto"/>
              </w:rPr>
            </w:pPr>
            <w:r>
              <w:rPr>
                <w:rFonts w:ascii="Arial" w:cs="Arial" w:eastAsia="Arial" w:hAnsi="Arial"/>
                <w:sz w:val="10"/>
                <w:szCs w:val="10"/>
                <w:color w:val="auto"/>
              </w:rPr>
              <w:t>GM Financial receivables, net(d)</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27,101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(500)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26,601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27,367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Arial" w:cs="Arial" w:eastAsia="Arial" w:hAnsi="Arial"/>
                <w:sz w:val="10"/>
                <w:szCs w:val="10"/>
                <w:color w:val="auto"/>
              </w:rPr>
              <w:t>(517)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26,850</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Inventories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10,398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10,398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9,816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9,816</w:t>
            </w:r>
          </w:p>
        </w:tc>
        <w:tc>
          <w:tcPr>
            <w:tcW w:w="0" w:type="dxa"/>
            <w:vAlign w:val="bottom"/>
          </w:tcPr>
          <w:p>
            <w:pPr>
              <w:spacing w:after="0"/>
              <w:rPr>
                <w:sz w:val="1"/>
                <w:szCs w:val="1"/>
                <w:color w:val="auto"/>
              </w:rPr>
            </w:pPr>
          </w:p>
        </w:tc>
      </w:tr>
      <w:tr>
        <w:trPr>
          <w:trHeight w:val="166"/>
        </w:trPr>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Other current assets(e)</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2,517</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16</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5,424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7,953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1,619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3,640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5,268</w:t>
            </w:r>
          </w:p>
        </w:tc>
        <w:tc>
          <w:tcPr>
            <w:tcW w:w="0" w:type="dxa"/>
            <w:vAlign w:val="bottom"/>
          </w:tcPr>
          <w:p>
            <w:pPr>
              <w:spacing w:after="0"/>
              <w:rPr>
                <w:sz w:val="1"/>
                <w:szCs w:val="1"/>
                <w:color w:val="auto"/>
              </w:rPr>
            </w:pPr>
          </w:p>
        </w:tc>
      </w:tr>
      <w:tr>
        <w:trPr>
          <w:trHeight w:val="150"/>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current assets</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36,846</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2,687</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36,841</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(1,383)</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74,992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36,987</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2,411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37,320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(1,425)</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75,293</w:t>
            </w:r>
          </w:p>
        </w:tc>
        <w:tc>
          <w:tcPr>
            <w:tcW w:w="0" w:type="dxa"/>
            <w:vAlign w:val="bottom"/>
          </w:tcPr>
          <w:p>
            <w:pPr>
              <w:spacing w:after="0"/>
              <w:rPr>
                <w:sz w:val="1"/>
                <w:szCs w:val="1"/>
                <w:color w:val="auto"/>
              </w:rPr>
            </w:pPr>
          </w:p>
        </w:tc>
      </w:tr>
      <w:tr>
        <w:trPr>
          <w:trHeight w:val="138"/>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GM Financial receivables, net(d)</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26,372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26,355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25,145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25,083</w:t>
            </w: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rPr>
                <w:sz w:val="20"/>
                <w:szCs w:val="20"/>
                <w:color w:val="auto"/>
              </w:rPr>
            </w:pPr>
            <w:r>
              <w:rPr>
                <w:rFonts w:ascii="Arial" w:cs="Arial" w:eastAsia="Arial" w:hAnsi="Arial"/>
                <w:sz w:val="10"/>
                <w:szCs w:val="10"/>
                <w:color w:val="auto"/>
              </w:rPr>
              <w:t>Equity in net assets of nonconsolidated affiliates</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7,107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1,455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8,562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7,860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1,355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9,215</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Property, net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38,374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226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38,750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38,464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38,758</w:t>
            </w: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rPr>
                <w:sz w:val="20"/>
                <w:szCs w:val="20"/>
                <w:color w:val="auto"/>
              </w:rPr>
            </w:pPr>
            <w:r>
              <w:rPr>
                <w:rFonts w:ascii="Arial" w:cs="Arial" w:eastAsia="Arial" w:hAnsi="Arial"/>
                <w:sz w:val="10"/>
                <w:szCs w:val="10"/>
                <w:color w:val="auto"/>
              </w:rPr>
              <w:t>Goodwill and intangible assets, net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3,348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634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1,355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5,337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3,552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671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1,356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5,579</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Equipment on operating leases, net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42,055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42,055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43,559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43,559</w:t>
            </w: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rPr>
                <w:sz w:val="20"/>
                <w:szCs w:val="20"/>
                <w:color w:val="auto"/>
              </w:rPr>
            </w:pPr>
            <w:r>
              <w:rPr>
                <w:rFonts w:ascii="Arial" w:cs="Arial" w:eastAsia="Arial" w:hAnsi="Arial"/>
                <w:sz w:val="10"/>
                <w:szCs w:val="10"/>
                <w:color w:val="auto"/>
              </w:rPr>
              <w:t>Deferred income taxes</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24,582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345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(287)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24,640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23,935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24,082</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assets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6,123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863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7,346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4,880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890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5,770</w:t>
            </w:r>
          </w:p>
        </w:tc>
        <w:tc>
          <w:tcPr>
            <w:tcW w:w="0" w:type="dxa"/>
            <w:vAlign w:val="bottom"/>
          </w:tcPr>
          <w:p>
            <w:pPr>
              <w:spacing w:after="0"/>
              <w:rPr>
                <w:sz w:val="1"/>
                <w:szCs w:val="1"/>
                <w:color w:val="auto"/>
              </w:rPr>
            </w:pPr>
          </w:p>
        </w:tc>
      </w:tr>
      <w:tr>
        <w:trPr>
          <w:trHeight w:val="118"/>
        </w:trPr>
        <w:tc>
          <w:tcPr>
            <w:tcW w:w="2640" w:type="dxa"/>
            <w:vAlign w:val="bottom"/>
          </w:tcPr>
          <w:p>
            <w:pPr>
              <w:ind w:left="140"/>
              <w:spacing w:after="0"/>
              <w:rPr>
                <w:sz w:val="20"/>
                <w:szCs w:val="20"/>
                <w:color w:val="auto"/>
              </w:rPr>
            </w:pPr>
            <w:r>
              <w:rPr>
                <w:rFonts w:ascii="Arial" w:cs="Arial" w:eastAsia="Arial" w:hAnsi="Arial"/>
                <w:sz w:val="10"/>
                <w:szCs w:val="10"/>
                <w:color w:val="auto"/>
              </w:rPr>
              <w:t>Total non-current assets</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79,533</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1,542</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72,040</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(70)</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153,045</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78,691</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784</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72,633</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(62)</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152,046</w:t>
            </w:r>
          </w:p>
        </w:tc>
        <w:tc>
          <w:tcPr>
            <w:tcW w:w="0" w:type="dxa"/>
            <w:vAlign w:val="bottom"/>
          </w:tcPr>
          <w:p>
            <w:pPr>
              <w:spacing w:after="0"/>
              <w:rPr>
                <w:sz w:val="1"/>
                <w:szCs w:val="1"/>
                <w:color w:val="auto"/>
              </w:rPr>
            </w:pPr>
          </w:p>
        </w:tc>
      </w:tr>
      <w:tr>
        <w:trPr>
          <w:trHeight w:val="39"/>
        </w:trPr>
        <w:tc>
          <w:tcPr>
            <w:tcW w:w="26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6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116,380</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44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4,230</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108,881</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(1,454)</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228,037</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115,678</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3,195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109,953</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(1,487)</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227,339</w:t>
            </w:r>
          </w:p>
        </w:tc>
        <w:tc>
          <w:tcPr>
            <w:tcW w:w="0" w:type="dxa"/>
            <w:vAlign w:val="bottom"/>
          </w:tcPr>
          <w:p>
            <w:pPr>
              <w:spacing w:after="0"/>
              <w:rPr>
                <w:sz w:val="1"/>
                <w:szCs w:val="1"/>
                <w:color w:val="auto"/>
              </w:rPr>
            </w:pPr>
          </w:p>
        </w:tc>
      </w:tr>
      <w:tr>
        <w:trPr>
          <w:trHeight w:val="39"/>
        </w:trPr>
        <w:tc>
          <w:tcPr>
            <w:tcW w:w="264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auto"/>
            </w:tcBorders>
            <w:vMerge w:val="continue"/>
            <w:shd w:val="clear" w:color="auto" w:fill="CCEEFF"/>
          </w:tcPr>
          <w:p>
            <w:pPr>
              <w:spacing w:after="0"/>
              <w:rPr>
                <w:sz w:val="3"/>
                <w:szCs w:val="3"/>
                <w:color w:val="auto"/>
              </w:rPr>
            </w:pPr>
          </w:p>
        </w:tc>
        <w:tc>
          <w:tcPr>
            <w:tcW w:w="58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auto"/>
            </w:tcBorders>
            <w:vMerge w:val="continue"/>
            <w:shd w:val="clear" w:color="auto" w:fill="CCEEFF"/>
          </w:tcPr>
          <w:p>
            <w:pPr>
              <w:spacing w:after="0"/>
              <w:rPr>
                <w:sz w:val="3"/>
                <w:szCs w:val="3"/>
                <w:color w:val="auto"/>
              </w:rPr>
            </w:pPr>
          </w:p>
        </w:tc>
        <w:tc>
          <w:tcPr>
            <w:tcW w:w="44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auto"/>
            </w:tcBorders>
            <w:vMerge w:val="continue"/>
            <w:shd w:val="clear" w:color="auto" w:fill="CCEEFF"/>
          </w:tcPr>
          <w:p>
            <w:pPr>
              <w:spacing w:after="0"/>
              <w:rPr>
                <w:sz w:val="3"/>
                <w:szCs w:val="3"/>
                <w:color w:val="auto"/>
              </w:rPr>
            </w:pPr>
          </w:p>
        </w:tc>
        <w:tc>
          <w:tcPr>
            <w:tcW w:w="68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auto"/>
            </w:tcBorders>
            <w:vMerge w:val="continue"/>
            <w:shd w:val="clear" w:color="auto" w:fill="CCEEFF"/>
          </w:tcPr>
          <w:p>
            <w:pPr>
              <w:spacing w:after="0"/>
              <w:rPr>
                <w:sz w:val="3"/>
                <w:szCs w:val="3"/>
                <w:color w:val="auto"/>
              </w:rPr>
            </w:pPr>
          </w:p>
        </w:tc>
        <w:tc>
          <w:tcPr>
            <w:tcW w:w="86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auto"/>
            </w:tcBorders>
            <w:vMerge w:val="continue"/>
            <w:shd w:val="clear" w:color="auto" w:fill="CCEEFF"/>
          </w:tcPr>
          <w:p>
            <w:pPr>
              <w:spacing w:after="0"/>
              <w:rPr>
                <w:sz w:val="3"/>
                <w:szCs w:val="3"/>
                <w:color w:val="auto"/>
              </w:rPr>
            </w:pPr>
          </w:p>
        </w:tc>
        <w:tc>
          <w:tcPr>
            <w:tcW w:w="66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auto"/>
            </w:tcBorders>
            <w:vMerge w:val="continue"/>
            <w:shd w:val="clear" w:color="auto" w:fill="CCEEFF"/>
          </w:tcPr>
          <w:p>
            <w:pPr>
              <w:spacing w:after="0"/>
              <w:rPr>
                <w:sz w:val="3"/>
                <w:szCs w:val="3"/>
                <w:color w:val="auto"/>
              </w:rPr>
            </w:pPr>
          </w:p>
        </w:tc>
        <w:tc>
          <w:tcPr>
            <w:tcW w:w="56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auto"/>
            </w:tcBorders>
            <w:vMerge w:val="continue"/>
            <w:shd w:val="clear" w:color="auto" w:fill="CCEEFF"/>
          </w:tcPr>
          <w:p>
            <w:pPr>
              <w:spacing w:after="0"/>
              <w:rPr>
                <w:sz w:val="3"/>
                <w:szCs w:val="3"/>
                <w:color w:val="auto"/>
              </w:rPr>
            </w:pPr>
          </w:p>
        </w:tc>
        <w:tc>
          <w:tcPr>
            <w:tcW w:w="420" w:type="dxa"/>
            <w:vAlign w:val="bottom"/>
            <w:tcBorders>
              <w:bottom w:val="single" w:sz="8" w:color="auto"/>
            </w:tcBorders>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auto"/>
            </w:tcBorders>
            <w:vMerge w:val="continue"/>
            <w:shd w:val="clear" w:color="auto" w:fill="CCEEFF"/>
          </w:tcPr>
          <w:p>
            <w:pPr>
              <w:spacing w:after="0"/>
              <w:rPr>
                <w:sz w:val="3"/>
                <w:szCs w:val="3"/>
                <w:color w:val="auto"/>
              </w:rPr>
            </w:pPr>
          </w:p>
        </w:tc>
        <w:tc>
          <w:tcPr>
            <w:tcW w:w="660" w:type="dxa"/>
            <w:vAlign w:val="bottom"/>
            <w:tcBorders>
              <w:bottom w:val="single" w:sz="8" w:color="auto"/>
            </w:tcBorders>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auto"/>
            </w:tcBorders>
            <w:vMerge w:val="continue"/>
            <w:shd w:val="clear" w:color="auto" w:fill="CCEEFF"/>
          </w:tcPr>
          <w:p>
            <w:pPr>
              <w:spacing w:after="0"/>
              <w:rPr>
                <w:sz w:val="3"/>
                <w:szCs w:val="3"/>
                <w:color w:val="auto"/>
              </w:rPr>
            </w:pPr>
          </w:p>
        </w:tc>
        <w:tc>
          <w:tcPr>
            <w:tcW w:w="820" w:type="dxa"/>
            <w:vAlign w:val="bottom"/>
            <w:tcBorders>
              <w:bottom w:val="single" w:sz="8" w:color="auto"/>
            </w:tcBorders>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auto"/>
            </w:tcBorders>
            <w:vMerge w:val="continue"/>
            <w:shd w:val="clear" w:color="auto" w:fill="CCEEFF"/>
          </w:tcPr>
          <w:p>
            <w:pPr>
              <w:spacing w:after="0"/>
              <w:rPr>
                <w:sz w:val="3"/>
                <w:szCs w:val="3"/>
                <w:color w:val="auto"/>
              </w:rPr>
            </w:pPr>
          </w:p>
        </w:tc>
        <w:tc>
          <w:tcPr>
            <w:tcW w:w="640" w:type="dxa"/>
            <w:vAlign w:val="bottom"/>
            <w:tcBorders>
              <w:bottom w:val="single" w:sz="8" w:color="auto"/>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ind w:left="720"/>
              <w:spacing w:after="0"/>
              <w:rPr>
                <w:sz w:val="20"/>
                <w:szCs w:val="20"/>
                <w:color w:val="auto"/>
              </w:rPr>
            </w:pPr>
            <w:r>
              <w:rPr>
                <w:rFonts w:ascii="Arial" w:cs="Arial" w:eastAsia="Arial" w:hAnsi="Arial"/>
                <w:sz w:val="10"/>
                <w:szCs w:val="10"/>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6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rPr>
                <w:sz w:val="20"/>
                <w:szCs w:val="20"/>
                <w:color w:val="auto"/>
              </w:rPr>
            </w:pPr>
            <w:r>
              <w:rPr>
                <w:rFonts w:ascii="Arial" w:cs="Arial" w:eastAsia="Arial" w:hAnsi="Arial"/>
                <w:sz w:val="10"/>
                <w:szCs w:val="10"/>
                <w:color w:val="auto"/>
              </w:rPr>
              <w:t>Accounts payable (principally trade)(c)</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21,101</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109</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644</w:t>
            </w:r>
          </w:p>
        </w:tc>
        <w:tc>
          <w:tcPr>
            <w:tcW w:w="120" w:type="dxa"/>
            <w:vAlign w:val="bottom"/>
          </w:tcPr>
          <w:p>
            <w:pPr>
              <w:spacing w:after="0"/>
              <w:rPr>
                <w:sz w:val="14"/>
                <w:szCs w:val="14"/>
                <w:color w:val="auto"/>
              </w:rPr>
            </w:pP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(836)</w:t>
            </w:r>
          </w:p>
        </w:tc>
        <w:tc>
          <w:tcPr>
            <w:tcW w:w="120" w:type="dxa"/>
            <w:vAlign w:val="bottom"/>
          </w:tcPr>
          <w:p>
            <w:pPr>
              <w:spacing w:after="0"/>
              <w:rPr>
                <w:sz w:val="14"/>
                <w:szCs w:val="14"/>
                <w:color w:val="auto"/>
              </w:rPr>
            </w:pPr>
          </w:p>
        </w:tc>
        <w:tc>
          <w:tcPr>
            <w:tcW w:w="16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21,018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22,359</w:t>
            </w:r>
          </w:p>
        </w:tc>
        <w:tc>
          <w:tcPr>
            <w:tcW w:w="12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707</w:t>
            </w:r>
          </w:p>
        </w:tc>
        <w:tc>
          <w:tcPr>
            <w:tcW w:w="10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30"/>
              <w:spacing w:after="0"/>
              <w:rPr>
                <w:sz w:val="20"/>
                <w:szCs w:val="20"/>
                <w:color w:val="auto"/>
              </w:rPr>
            </w:pPr>
            <w:r>
              <w:rPr>
                <w:rFonts w:ascii="Arial" w:cs="Arial" w:eastAsia="Arial" w:hAnsi="Arial"/>
                <w:sz w:val="10"/>
                <w:szCs w:val="10"/>
                <w:color w:val="auto"/>
              </w:rPr>
              <w:t>(797)</w:t>
            </w:r>
          </w:p>
        </w:tc>
        <w:tc>
          <w:tcPr>
            <w:tcW w:w="100" w:type="dxa"/>
            <w:vAlign w:val="bottom"/>
          </w:tcPr>
          <w:p>
            <w:pPr>
              <w:spacing w:after="0"/>
              <w:rPr>
                <w:sz w:val="14"/>
                <w:szCs w:val="14"/>
                <w:color w:val="auto"/>
              </w:rPr>
            </w:pPr>
          </w:p>
        </w:tc>
        <w:tc>
          <w:tcPr>
            <w:tcW w:w="16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22,297</w:t>
            </w: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Short-term debt and current portion of long-term debt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640" w:type="dxa"/>
            <w:vAlign w:val="bottom"/>
          </w:tcPr>
          <w:p>
            <w:pPr>
              <w:ind w:left="260"/>
              <w:spacing w:after="0"/>
              <w:rPr>
                <w:sz w:val="20"/>
                <w:szCs w:val="20"/>
                <w:color w:val="auto"/>
              </w:rPr>
            </w:pPr>
            <w:r>
              <w:rPr>
                <w:rFonts w:ascii="Arial" w:cs="Arial" w:eastAsia="Arial" w:hAnsi="Arial"/>
                <w:sz w:val="10"/>
                <w:szCs w:val="10"/>
                <w:color w:val="auto"/>
              </w:rPr>
              <w:t>Automotive(d)</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2,397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(500)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1,897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1,452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Arial" w:cs="Arial" w:eastAsia="Arial" w:hAnsi="Arial"/>
                <w:sz w:val="10"/>
                <w:szCs w:val="10"/>
                <w:color w:val="auto"/>
              </w:rPr>
              <w:t>(517)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935</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260"/>
              <w:spacing w:after="0"/>
              <w:rPr>
                <w:sz w:val="20"/>
                <w:szCs w:val="20"/>
                <w:color w:val="auto"/>
              </w:rPr>
            </w:pPr>
            <w:r>
              <w:rPr>
                <w:rFonts w:ascii="Arial" w:cs="Arial" w:eastAsia="Arial" w:hAnsi="Arial"/>
                <w:sz w:val="10"/>
                <w:szCs w:val="10"/>
                <w:color w:val="auto"/>
              </w:rPr>
              <w:t>GM Financial</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35,503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35,503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30,956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30,956</w:t>
            </w:r>
          </w:p>
        </w:tc>
        <w:tc>
          <w:tcPr>
            <w:tcW w:w="0" w:type="dxa"/>
            <w:vAlign w:val="bottom"/>
          </w:tcPr>
          <w:p>
            <w:pPr>
              <w:spacing w:after="0"/>
              <w:rPr>
                <w:sz w:val="1"/>
                <w:szCs w:val="1"/>
                <w:color w:val="auto"/>
              </w:rPr>
            </w:pPr>
          </w:p>
        </w:tc>
      </w:tr>
      <w:tr>
        <w:trPr>
          <w:trHeight w:val="166"/>
        </w:trPr>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Accrued liabilities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22,493</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82</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3,916</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26,487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24,042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41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3,985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28,049</w:t>
            </w:r>
          </w:p>
        </w:tc>
        <w:tc>
          <w:tcPr>
            <w:tcW w:w="0" w:type="dxa"/>
            <w:vAlign w:val="bottom"/>
          </w:tcPr>
          <w:p>
            <w:pPr>
              <w:spacing w:after="0"/>
              <w:rPr>
                <w:sz w:val="1"/>
                <w:szCs w:val="1"/>
                <w:color w:val="auto"/>
              </w:rPr>
            </w:pPr>
          </w:p>
        </w:tc>
      </w:tr>
      <w:tr>
        <w:trPr>
          <w:trHeight w:val="150"/>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current liabilities</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45,990</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192</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40,064</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(1,341)</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84,905</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47,853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69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35,648</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(1,333)</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82,237</w:t>
            </w:r>
          </w:p>
        </w:tc>
        <w:tc>
          <w:tcPr>
            <w:tcW w:w="0" w:type="dxa"/>
            <w:vAlign w:val="bottom"/>
          </w:tcPr>
          <w:p>
            <w:pPr>
              <w:spacing w:after="0"/>
              <w:rPr>
                <w:sz w:val="1"/>
                <w:szCs w:val="1"/>
                <w:color w:val="auto"/>
              </w:rPr>
            </w:pPr>
          </w:p>
        </w:tc>
      </w:tr>
      <w:tr>
        <w:trPr>
          <w:trHeight w:val="138"/>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Long-term debt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640" w:type="dxa"/>
            <w:vAlign w:val="bottom"/>
          </w:tcPr>
          <w:p>
            <w:pPr>
              <w:ind w:left="260"/>
              <w:spacing w:after="0"/>
              <w:rPr>
                <w:sz w:val="20"/>
                <w:szCs w:val="20"/>
                <w:color w:val="auto"/>
              </w:rPr>
            </w:pPr>
            <w:r>
              <w:rPr>
                <w:rFonts w:ascii="Arial" w:cs="Arial" w:eastAsia="Arial" w:hAnsi="Arial"/>
                <w:sz w:val="10"/>
                <w:szCs w:val="10"/>
                <w:color w:val="auto"/>
              </w:rPr>
              <w:t>Automotive(d)</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12,507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12,489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13,090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Arial" w:cs="Arial" w:eastAsia="Arial" w:hAnsi="Arial"/>
                <w:sz w:val="10"/>
                <w:szCs w:val="10"/>
                <w:color w:val="auto"/>
              </w:rPr>
              <w:t>(62)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13,028</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260"/>
              <w:spacing w:after="0"/>
              <w:rPr>
                <w:sz w:val="20"/>
                <w:szCs w:val="20"/>
                <w:color w:val="auto"/>
              </w:rPr>
            </w:pPr>
            <w:r>
              <w:rPr>
                <w:rFonts w:ascii="Arial" w:cs="Arial" w:eastAsia="Arial" w:hAnsi="Arial"/>
                <w:sz w:val="10"/>
                <w:szCs w:val="10"/>
                <w:color w:val="auto"/>
              </w:rPr>
              <w:t>GM Financial</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53,435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53,435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60,032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60,032</w:t>
            </w: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rPr>
                <w:sz w:val="20"/>
                <w:szCs w:val="20"/>
                <w:color w:val="auto"/>
              </w:rPr>
            </w:pPr>
            <w:r>
              <w:rPr>
                <w:rFonts w:ascii="Arial" w:cs="Arial" w:eastAsia="Arial" w:hAnsi="Arial"/>
                <w:sz w:val="10"/>
                <w:szCs w:val="10"/>
                <w:color w:val="auto"/>
              </w:rPr>
              <w:t>Postretirement benefits other than pensions</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5,935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5,935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5,370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5,370</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Pensions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12,166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12,170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11,535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11,538</w:t>
            </w: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rPr>
                <w:sz w:val="20"/>
                <w:szCs w:val="20"/>
                <w:color w:val="auto"/>
              </w:rPr>
            </w:pPr>
            <w:r>
              <w:rPr>
                <w:rFonts w:ascii="Arial" w:cs="Arial" w:eastAsia="Arial" w:hAnsi="Arial"/>
                <w:sz w:val="10"/>
                <w:szCs w:val="10"/>
                <w:color w:val="auto"/>
              </w:rPr>
              <w:t>Other liabilities</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10,518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505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2,176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(53)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13,146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10,167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2,155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12,357</w:t>
            </w:r>
          </w:p>
        </w:tc>
        <w:tc>
          <w:tcPr>
            <w:tcW w:w="0" w:type="dxa"/>
            <w:vAlign w:val="bottom"/>
          </w:tcPr>
          <w:p>
            <w:pPr>
              <w:spacing w:after="0"/>
              <w:rPr>
                <w:sz w:val="1"/>
                <w:szCs w:val="1"/>
                <w:color w:val="auto"/>
              </w:rPr>
            </w:pPr>
          </w:p>
        </w:tc>
      </w:tr>
      <w:tr>
        <w:trPr>
          <w:trHeight w:val="170"/>
        </w:trPr>
        <w:tc>
          <w:tcPr>
            <w:tcW w:w="2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non-current liabilities</w:t>
            </w: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41,126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505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55,615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rPr>
              <w:t>(71)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97,175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40,162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35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62,190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rPr>
              <w:t>(62)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102,325</w:t>
            </w:r>
          </w:p>
        </w:tc>
        <w:tc>
          <w:tcPr>
            <w:tcW w:w="0" w:type="dxa"/>
            <w:vAlign w:val="bottom"/>
          </w:tcPr>
          <w:p>
            <w:pPr>
              <w:spacing w:after="0"/>
              <w:rPr>
                <w:sz w:val="1"/>
                <w:szCs w:val="1"/>
                <w:color w:val="auto"/>
              </w:rPr>
            </w:pPr>
          </w:p>
        </w:tc>
      </w:tr>
      <w:tr>
        <w:trPr>
          <w:trHeight w:val="118"/>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Total Liabilities</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87,114</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697</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95,679</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(1,410)</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182,080</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88,015</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104</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97,838</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(1,395)</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184,562</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6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Commitments and contingencies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Common stock, $0.01 par value</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209"/>
        </w:trPr>
        <w:tc>
          <w:tcPr>
            <w:tcW w:w="2640" w:type="dxa"/>
            <w:vAlign w:val="bottom"/>
          </w:tcPr>
          <w:p>
            <w:pPr>
              <w:ind w:left="100"/>
              <w:spacing w:after="0"/>
              <w:rPr>
                <w:sz w:val="20"/>
                <w:szCs w:val="20"/>
                <w:color w:val="auto"/>
              </w:rPr>
            </w:pPr>
            <w:r>
              <w:rPr>
                <w:rFonts w:ascii="Arial" w:cs="Arial" w:eastAsia="Arial" w:hAnsi="Arial"/>
                <w:sz w:val="10"/>
                <w:szCs w:val="10"/>
                <w:color w:val="auto"/>
              </w:rPr>
              <w:t>Preferred stock, $0.01 par value</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Additional paid-in capital(b)(f)</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26,095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1,283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(1,354)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26,074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25,606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1,373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(1,420)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25,563</w:t>
            </w:r>
          </w:p>
        </w:tc>
        <w:tc>
          <w:tcPr>
            <w:tcW w:w="0" w:type="dxa"/>
            <w:vAlign w:val="bottom"/>
          </w:tcPr>
          <w:p>
            <w:pPr>
              <w:spacing w:after="0"/>
              <w:rPr>
                <w:sz w:val="1"/>
                <w:szCs w:val="1"/>
                <w:color w:val="auto"/>
              </w:rPr>
            </w:pPr>
          </w:p>
        </w:tc>
      </w:tr>
      <w:tr>
        <w:trPr>
          <w:trHeight w:val="166"/>
        </w:trPr>
        <w:tc>
          <w:tcPr>
            <w:tcW w:w="2640" w:type="dxa"/>
            <w:vAlign w:val="bottom"/>
          </w:tcPr>
          <w:p>
            <w:pPr>
              <w:ind w:left="100"/>
              <w:spacing w:after="0"/>
              <w:rPr>
                <w:sz w:val="20"/>
                <w:szCs w:val="20"/>
                <w:color w:val="auto"/>
              </w:rPr>
            </w:pPr>
            <w:r>
              <w:rPr>
                <w:rFonts w:ascii="Arial" w:cs="Arial" w:eastAsia="Arial" w:hAnsi="Arial"/>
                <w:sz w:val="10"/>
                <w:szCs w:val="10"/>
                <w:color w:val="auto"/>
              </w:rPr>
              <w:t>Retained earnings(b)</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12,303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1,566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13,013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26,860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9,103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1,480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11,783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Arial" w:cs="Arial" w:eastAsia="Arial" w:hAnsi="Arial"/>
                <w:sz w:val="10"/>
                <w:szCs w:val="10"/>
                <w:color w:val="auto"/>
              </w:rPr>
              <w:t>(44)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22,322</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Accumulated other comprehensive loss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(10,062)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(1,094)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(11,156)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(7,998)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(1,041)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(9,039)</w:t>
            </w:r>
          </w:p>
        </w:tc>
        <w:tc>
          <w:tcPr>
            <w:tcW w:w="0" w:type="dxa"/>
            <w:vAlign w:val="bottom"/>
          </w:tcPr>
          <w:p>
            <w:pPr>
              <w:spacing w:after="0"/>
              <w:rPr>
                <w:sz w:val="1"/>
                <w:szCs w:val="1"/>
                <w:color w:val="auto"/>
              </w:rPr>
            </w:pPr>
          </w:p>
        </w:tc>
      </w:tr>
      <w:tr>
        <w:trPr>
          <w:trHeight w:val="118"/>
        </w:trPr>
        <w:tc>
          <w:tcPr>
            <w:tcW w:w="2640" w:type="dxa"/>
            <w:vAlign w:val="bottom"/>
          </w:tcPr>
          <w:p>
            <w:pPr>
              <w:ind w:left="100"/>
              <w:spacing w:after="0"/>
              <w:rPr>
                <w:sz w:val="20"/>
                <w:szCs w:val="20"/>
                <w:color w:val="auto"/>
              </w:rPr>
            </w:pPr>
            <w:r>
              <w:rPr>
                <w:rFonts w:ascii="Arial" w:cs="Arial" w:eastAsia="Arial" w:hAnsi="Arial"/>
                <w:sz w:val="10"/>
                <w:szCs w:val="10"/>
                <w:color w:val="auto"/>
              </w:rPr>
              <w:t>Total stockholders’ equity</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28,348</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1,617</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13,202</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(1,376)</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41,792</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26,725</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1,484</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12,115</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(1,464)</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38,860</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6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Noncontrolling interests(f)</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918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1,916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1,331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4,165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938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1,607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1,372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3,917</w:t>
            </w:r>
          </w:p>
        </w:tc>
        <w:tc>
          <w:tcPr>
            <w:tcW w:w="0" w:type="dxa"/>
            <w:vAlign w:val="bottom"/>
          </w:tcPr>
          <w:p>
            <w:pPr>
              <w:spacing w:after="0"/>
              <w:rPr>
                <w:sz w:val="1"/>
                <w:szCs w:val="1"/>
                <w:color w:val="auto"/>
              </w:rPr>
            </w:pPr>
          </w:p>
        </w:tc>
      </w:tr>
      <w:tr>
        <w:trPr>
          <w:trHeight w:val="118"/>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Total Equity</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29,266</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3,533</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13,202</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(43)</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45,957</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27,663</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3,091</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12,115</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(92)</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42,777</w:t>
            </w:r>
          </w:p>
        </w:tc>
        <w:tc>
          <w:tcPr>
            <w:tcW w:w="0" w:type="dxa"/>
            <w:vAlign w:val="bottom"/>
          </w:tcPr>
          <w:p>
            <w:pPr>
              <w:spacing w:after="0"/>
              <w:rPr>
                <w:sz w:val="1"/>
                <w:szCs w:val="1"/>
                <w:color w:val="auto"/>
              </w:rPr>
            </w:pPr>
          </w:p>
        </w:tc>
      </w:tr>
      <w:tr>
        <w:trPr>
          <w:trHeight w:val="39"/>
        </w:trPr>
        <w:tc>
          <w:tcPr>
            <w:tcW w:w="26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6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116,380</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44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4,230</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108,881</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(1,454)</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228,037</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115,678</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3,195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109,953</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(1,487)</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227,339</w:t>
            </w:r>
          </w:p>
        </w:tc>
        <w:tc>
          <w:tcPr>
            <w:tcW w:w="0" w:type="dxa"/>
            <w:vAlign w:val="bottom"/>
          </w:tcPr>
          <w:p>
            <w:pPr>
              <w:spacing w:after="0"/>
              <w:rPr>
                <w:sz w:val="1"/>
                <w:szCs w:val="1"/>
                <w:color w:val="auto"/>
              </w:rPr>
            </w:pPr>
          </w:p>
        </w:tc>
      </w:tr>
      <w:tr>
        <w:trPr>
          <w:trHeight w:val="39"/>
        </w:trPr>
        <w:tc>
          <w:tcPr>
            <w:tcW w:w="264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auto"/>
            </w:tcBorders>
            <w:vMerge w:val="continue"/>
            <w:shd w:val="clear" w:color="auto" w:fill="CCEEFF"/>
          </w:tcPr>
          <w:p>
            <w:pPr>
              <w:spacing w:after="0"/>
              <w:rPr>
                <w:sz w:val="3"/>
                <w:szCs w:val="3"/>
                <w:color w:val="auto"/>
              </w:rPr>
            </w:pPr>
          </w:p>
        </w:tc>
        <w:tc>
          <w:tcPr>
            <w:tcW w:w="58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auto"/>
            </w:tcBorders>
            <w:vMerge w:val="continue"/>
            <w:shd w:val="clear" w:color="auto" w:fill="CCEEFF"/>
          </w:tcPr>
          <w:p>
            <w:pPr>
              <w:spacing w:after="0"/>
              <w:rPr>
                <w:sz w:val="3"/>
                <w:szCs w:val="3"/>
                <w:color w:val="auto"/>
              </w:rPr>
            </w:pPr>
          </w:p>
        </w:tc>
        <w:tc>
          <w:tcPr>
            <w:tcW w:w="44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auto"/>
            </w:tcBorders>
            <w:vMerge w:val="continue"/>
            <w:shd w:val="clear" w:color="auto" w:fill="CCEEFF"/>
          </w:tcPr>
          <w:p>
            <w:pPr>
              <w:spacing w:after="0"/>
              <w:rPr>
                <w:sz w:val="3"/>
                <w:szCs w:val="3"/>
                <w:color w:val="auto"/>
              </w:rPr>
            </w:pPr>
          </w:p>
        </w:tc>
        <w:tc>
          <w:tcPr>
            <w:tcW w:w="68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auto"/>
            </w:tcBorders>
            <w:vMerge w:val="continue"/>
            <w:shd w:val="clear" w:color="auto" w:fill="CCEEFF"/>
          </w:tcPr>
          <w:p>
            <w:pPr>
              <w:spacing w:after="0"/>
              <w:rPr>
                <w:sz w:val="3"/>
                <w:szCs w:val="3"/>
                <w:color w:val="auto"/>
              </w:rPr>
            </w:pPr>
          </w:p>
        </w:tc>
        <w:tc>
          <w:tcPr>
            <w:tcW w:w="86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auto"/>
            </w:tcBorders>
            <w:vMerge w:val="continue"/>
            <w:shd w:val="clear" w:color="auto" w:fill="CCEEFF"/>
          </w:tcPr>
          <w:p>
            <w:pPr>
              <w:spacing w:after="0"/>
              <w:rPr>
                <w:sz w:val="3"/>
                <w:szCs w:val="3"/>
                <w:color w:val="auto"/>
              </w:rPr>
            </w:pPr>
          </w:p>
        </w:tc>
        <w:tc>
          <w:tcPr>
            <w:tcW w:w="66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auto"/>
            </w:tcBorders>
            <w:vMerge w:val="continue"/>
            <w:shd w:val="clear" w:color="auto" w:fill="CCEEFF"/>
          </w:tcPr>
          <w:p>
            <w:pPr>
              <w:spacing w:after="0"/>
              <w:rPr>
                <w:sz w:val="3"/>
                <w:szCs w:val="3"/>
                <w:color w:val="auto"/>
              </w:rPr>
            </w:pPr>
          </w:p>
        </w:tc>
        <w:tc>
          <w:tcPr>
            <w:tcW w:w="560" w:type="dxa"/>
            <w:vAlign w:val="bottom"/>
            <w:tcBorders>
              <w:bottom w:val="single" w:sz="8" w:color="auto"/>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auto"/>
            </w:tcBorders>
            <w:vMerge w:val="continue"/>
            <w:shd w:val="clear" w:color="auto" w:fill="CCEEFF"/>
          </w:tcPr>
          <w:p>
            <w:pPr>
              <w:spacing w:after="0"/>
              <w:rPr>
                <w:sz w:val="3"/>
                <w:szCs w:val="3"/>
                <w:color w:val="auto"/>
              </w:rPr>
            </w:pPr>
          </w:p>
        </w:tc>
        <w:tc>
          <w:tcPr>
            <w:tcW w:w="420" w:type="dxa"/>
            <w:vAlign w:val="bottom"/>
            <w:tcBorders>
              <w:bottom w:val="single" w:sz="8" w:color="auto"/>
            </w:tcBorders>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auto"/>
            </w:tcBorders>
            <w:vMerge w:val="continue"/>
            <w:shd w:val="clear" w:color="auto" w:fill="CCEEFF"/>
          </w:tcPr>
          <w:p>
            <w:pPr>
              <w:spacing w:after="0"/>
              <w:rPr>
                <w:sz w:val="3"/>
                <w:szCs w:val="3"/>
                <w:color w:val="auto"/>
              </w:rPr>
            </w:pPr>
          </w:p>
        </w:tc>
        <w:tc>
          <w:tcPr>
            <w:tcW w:w="660" w:type="dxa"/>
            <w:vAlign w:val="bottom"/>
            <w:tcBorders>
              <w:bottom w:val="single" w:sz="8" w:color="auto"/>
            </w:tcBorders>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auto"/>
            </w:tcBorders>
            <w:vMerge w:val="continue"/>
            <w:shd w:val="clear" w:color="auto" w:fill="CCEEFF"/>
          </w:tcPr>
          <w:p>
            <w:pPr>
              <w:spacing w:after="0"/>
              <w:rPr>
                <w:sz w:val="3"/>
                <w:szCs w:val="3"/>
                <w:color w:val="auto"/>
              </w:rPr>
            </w:pPr>
          </w:p>
        </w:tc>
        <w:tc>
          <w:tcPr>
            <w:tcW w:w="820" w:type="dxa"/>
            <w:vAlign w:val="bottom"/>
            <w:tcBorders>
              <w:bottom w:val="single" w:sz="8" w:color="auto"/>
            </w:tcBorders>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auto"/>
            </w:tcBorders>
            <w:vMerge w:val="continue"/>
            <w:shd w:val="clear" w:color="auto" w:fill="CCEEFF"/>
          </w:tcPr>
          <w:p>
            <w:pPr>
              <w:spacing w:after="0"/>
              <w:rPr>
                <w:sz w:val="3"/>
                <w:szCs w:val="3"/>
                <w:color w:val="auto"/>
              </w:rPr>
            </w:pPr>
          </w:p>
        </w:tc>
        <w:tc>
          <w:tcPr>
            <w:tcW w:w="640" w:type="dxa"/>
            <w:vAlign w:val="bottom"/>
            <w:tcBorders>
              <w:bottom w:val="single" w:sz="8" w:color="auto"/>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6985</wp:posOffset>
            </wp:positionV>
            <wp:extent cx="55911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1175" cy="6985"/>
                    </a:xfrm>
                    <a:prstGeom prst="rect">
                      <a:avLst/>
                    </a:prstGeom>
                    <a:noFill/>
                  </pic:spPr>
                </pic:pic>
              </a:graphicData>
            </a:graphic>
          </wp:anchor>
        </w:drawing>
      </w:r>
    </w:p>
    <w:p>
      <w:pPr>
        <w:spacing w:after="0"/>
        <w:rPr>
          <w:sz w:val="20"/>
          <w:szCs w:val="20"/>
          <w:color w:val="auto"/>
        </w:rPr>
      </w:pPr>
      <w:r>
        <w:rPr>
          <w:rFonts w:ascii="Arial" w:cs="Arial" w:eastAsia="Arial" w:hAnsi="Arial"/>
          <w:sz w:val="9"/>
          <w:szCs w:val="9"/>
          <w:color w:val="auto"/>
        </w:rPr>
        <w:t>_________</w:t>
      </w:r>
    </w:p>
    <w:p>
      <w:pPr>
        <w:ind w:left="260" w:hanging="254"/>
        <w:spacing w:after="0" w:line="224" w:lineRule="auto"/>
        <w:tabs>
          <w:tab w:leader="none" w:pos="260" w:val="left"/>
        </w:tabs>
        <w:numPr>
          <w:ilvl w:val="0"/>
          <w:numId w:val="10"/>
        </w:numPr>
        <w:rPr>
          <w:rFonts w:ascii="Arial" w:cs="Arial" w:eastAsia="Arial" w:hAnsi="Arial"/>
          <w:sz w:val="9"/>
          <w:szCs w:val="9"/>
          <w:color w:val="auto"/>
        </w:rPr>
      </w:pPr>
      <w:r>
        <w:rPr>
          <w:rFonts w:ascii="Arial" w:cs="Arial" w:eastAsia="Arial" w:hAnsi="Arial"/>
          <w:sz w:val="9"/>
          <w:szCs w:val="9"/>
          <w:color w:val="auto"/>
        </w:rPr>
        <w:t>Amounts may not sum due to rounding.</w:t>
      </w:r>
    </w:p>
    <w:p>
      <w:pPr>
        <w:ind w:left="260" w:hanging="254"/>
        <w:spacing w:after="0" w:line="224" w:lineRule="auto"/>
        <w:tabs>
          <w:tab w:leader="none" w:pos="260" w:val="left"/>
        </w:tabs>
        <w:numPr>
          <w:ilvl w:val="0"/>
          <w:numId w:val="10"/>
        </w:numPr>
        <w:rPr>
          <w:rFonts w:ascii="Arial" w:cs="Arial" w:eastAsia="Arial" w:hAnsi="Arial"/>
          <w:sz w:val="9"/>
          <w:szCs w:val="9"/>
          <w:color w:val="auto"/>
        </w:rPr>
      </w:pPr>
      <w:r>
        <w:rPr>
          <w:rFonts w:ascii="Arial" w:cs="Arial" w:eastAsia="Arial" w:hAnsi="Arial"/>
          <w:sz w:val="9"/>
          <w:szCs w:val="9"/>
          <w:color w:val="auto"/>
        </w:rPr>
        <w:t>Elimination includes Cruise investment in GM common stock at December 31, 2019 and 2018.</w:t>
      </w:r>
    </w:p>
    <w:p>
      <w:pPr>
        <w:ind w:left="260" w:hanging="254"/>
        <w:spacing w:after="0" w:line="224" w:lineRule="auto"/>
        <w:tabs>
          <w:tab w:leader="none" w:pos="260" w:val="left"/>
        </w:tabs>
        <w:numPr>
          <w:ilvl w:val="0"/>
          <w:numId w:val="10"/>
        </w:numPr>
        <w:rPr>
          <w:rFonts w:ascii="Arial" w:cs="Arial" w:eastAsia="Arial" w:hAnsi="Arial"/>
          <w:sz w:val="9"/>
          <w:szCs w:val="9"/>
          <w:color w:val="auto"/>
        </w:rPr>
      </w:pPr>
      <w:r>
        <w:rPr>
          <w:rFonts w:ascii="Arial" w:cs="Arial" w:eastAsia="Arial" w:hAnsi="Arial"/>
          <w:sz w:val="9"/>
          <w:szCs w:val="9"/>
          <w:color w:val="auto"/>
        </w:rPr>
        <w:t>Eliminations primarily include GM Financial accounts receivable of $678 million offset by Automotive accounts payable and Automotive accounts receivable of $78 million offset by GM Financial accounts payable at December 31, 2019 and GM Financial accounts receivable of $729 million offset by Automotive accounts payable and Automotive accounts receivable of $63 million offset by GM Financial accounts payable at December 31, 2018.</w:t>
      </w:r>
    </w:p>
    <w:p>
      <w:pPr>
        <w:ind w:left="260" w:hanging="254"/>
        <w:spacing w:after="0" w:line="224" w:lineRule="auto"/>
        <w:tabs>
          <w:tab w:leader="none" w:pos="260" w:val="left"/>
        </w:tabs>
        <w:numPr>
          <w:ilvl w:val="0"/>
          <w:numId w:val="10"/>
        </w:numPr>
        <w:rPr>
          <w:rFonts w:ascii="Arial" w:cs="Arial" w:eastAsia="Arial" w:hAnsi="Arial"/>
          <w:sz w:val="9"/>
          <w:szCs w:val="9"/>
          <w:color w:val="auto"/>
        </w:rPr>
      </w:pPr>
      <w:r>
        <w:rPr>
          <w:rFonts w:ascii="Arial" w:cs="Arial" w:eastAsia="Arial" w:hAnsi="Arial"/>
          <w:sz w:val="9"/>
          <w:szCs w:val="9"/>
          <w:color w:val="auto"/>
        </w:rPr>
        <w:t>Eliminations include GM Financial loan receivable of $517 million and $579 million offset by an Automotive loan payable at December 31, 2019 and 2018.</w:t>
      </w:r>
    </w:p>
    <w:p>
      <w:pPr>
        <w:ind w:left="260" w:hanging="254"/>
        <w:spacing w:after="0" w:line="224" w:lineRule="auto"/>
        <w:tabs>
          <w:tab w:leader="none" w:pos="260" w:val="left"/>
        </w:tabs>
        <w:numPr>
          <w:ilvl w:val="0"/>
          <w:numId w:val="10"/>
        </w:numPr>
        <w:rPr>
          <w:rFonts w:ascii="Arial" w:cs="Arial" w:eastAsia="Arial" w:hAnsi="Arial"/>
          <w:sz w:val="9"/>
          <w:szCs w:val="9"/>
          <w:color w:val="auto"/>
        </w:rPr>
      </w:pPr>
      <w:r>
        <w:rPr>
          <w:rFonts w:ascii="Arial" w:cs="Arial" w:eastAsia="Arial" w:hAnsi="Arial"/>
          <w:sz w:val="9"/>
          <w:szCs w:val="9"/>
          <w:color w:val="auto"/>
        </w:rPr>
        <w:t>Includes the reclassification of the current portion of Equipment on operating leases, net. The prior period has been recast to reflect the changes.</w:t>
      </w:r>
    </w:p>
    <w:p>
      <w:pPr>
        <w:ind w:left="260" w:hanging="254"/>
        <w:spacing w:after="0"/>
        <w:tabs>
          <w:tab w:leader="none" w:pos="260" w:val="left"/>
        </w:tabs>
        <w:numPr>
          <w:ilvl w:val="0"/>
          <w:numId w:val="10"/>
        </w:numPr>
        <w:rPr>
          <w:rFonts w:ascii="Arial" w:cs="Arial" w:eastAsia="Arial" w:hAnsi="Arial"/>
          <w:sz w:val="9"/>
          <w:szCs w:val="9"/>
          <w:color w:val="auto"/>
        </w:rPr>
      </w:pPr>
      <w:r>
        <w:rPr>
          <w:rFonts w:ascii="Arial" w:cs="Arial" w:eastAsia="Arial" w:hAnsi="Arial"/>
          <w:sz w:val="9"/>
          <w:szCs w:val="9"/>
          <w:color w:val="auto"/>
        </w:rPr>
        <w:t>Primarily reclassification of GM Financial Cumulative Perpetual Preferred Stock, Series A and B. The preferred stock is classified as noncontrolling interests in our consolidated balance sheets.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60"/>
          </w:cols>
          <w:pgMar w:left="220" w:top="297" w:right="2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Combining Cash Flow Information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(In millions) (Unaudited)(a)</w:t>
      </w:r>
    </w:p>
    <w:p>
      <w:pPr>
        <w:spacing w:after="0" w:line="235" w:lineRule="exact"/>
        <w:rPr>
          <w:sz w:val="20"/>
          <w:szCs w:val="20"/>
          <w:color w:val="auto"/>
        </w:rPr>
      </w:pPr>
    </w:p>
    <w:tbl>
      <w:tblPr>
        <w:tblLayout w:type="fixed"/>
        <w:tblInd w:w="3100" w:type="dxa"/>
        <w:tblCellMar>
          <w:top w:w="0" w:type="dxa"/>
          <w:left w:w="0" w:type="dxa"/>
          <w:bottom w:w="0" w:type="dxa"/>
          <w:right w:w="0" w:type="dxa"/>
        </w:tblCellMar>
      </w:tblPr>
      <w:tr>
        <w:trPr>
          <w:trHeight w:val="99"/>
        </w:trPr>
        <w:tc>
          <w:tcPr>
            <w:tcW w:w="7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gridSpan w:val="2"/>
          </w:tcPr>
          <w:p>
            <w:pPr>
              <w:ind w:left="180"/>
              <w:spacing w:after="0"/>
              <w:rPr>
                <w:sz w:val="20"/>
                <w:szCs w:val="20"/>
                <w:color w:val="auto"/>
              </w:rPr>
            </w:pPr>
            <w:r>
              <w:rPr>
                <w:rFonts w:ascii="Arial" w:cs="Arial" w:eastAsia="Arial" w:hAnsi="Arial"/>
                <w:sz w:val="7"/>
                <w:szCs w:val="7"/>
                <w:b w:val="1"/>
                <w:bCs w:val="1"/>
                <w:color w:val="auto"/>
              </w:rPr>
              <w:t>Year Ended December 31, 2019</w:t>
            </w: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gridSpan w:val="2"/>
          </w:tcPr>
          <w:p>
            <w:pPr>
              <w:ind w:left="180"/>
              <w:spacing w:after="0"/>
              <w:rPr>
                <w:sz w:val="20"/>
                <w:szCs w:val="20"/>
                <w:color w:val="auto"/>
              </w:rPr>
            </w:pPr>
            <w:r>
              <w:rPr>
                <w:rFonts w:ascii="Arial" w:cs="Arial" w:eastAsia="Arial" w:hAnsi="Arial"/>
                <w:sz w:val="7"/>
                <w:szCs w:val="7"/>
                <w:b w:val="1"/>
                <w:bCs w:val="1"/>
                <w:color w:val="auto"/>
              </w:rPr>
              <w:t>Year Ended December 31, 2018</w:t>
            </w:r>
          </w:p>
        </w:tc>
        <w:tc>
          <w:tcPr>
            <w:tcW w:w="660" w:type="dxa"/>
            <w:vAlign w:val="bottom"/>
            <w:tcBorders>
              <w:bottom w:val="single" w:sz="8" w:color="auto"/>
            </w:tcBorders>
          </w:tcPr>
          <w:p>
            <w:pPr>
              <w:spacing w:after="0"/>
              <w:rPr>
                <w:sz w:val="8"/>
                <w:szCs w:val="8"/>
                <w:color w:val="auto"/>
              </w:rPr>
            </w:pPr>
          </w:p>
        </w:tc>
      </w:tr>
      <w:tr>
        <w:trPr>
          <w:trHeight w:val="200"/>
        </w:trPr>
        <w:tc>
          <w:tcPr>
            <w:tcW w:w="780" w:type="dxa"/>
            <w:vAlign w:val="bottom"/>
          </w:tcPr>
          <w:p>
            <w:pPr>
              <w:ind w:left="160"/>
              <w:spacing w:after="0"/>
              <w:rPr>
                <w:sz w:val="20"/>
                <w:szCs w:val="20"/>
                <w:color w:val="auto"/>
              </w:rPr>
            </w:pPr>
            <w:r>
              <w:rPr>
                <w:rFonts w:ascii="Arial" w:cs="Arial" w:eastAsia="Arial" w:hAnsi="Arial"/>
                <w:sz w:val="7"/>
                <w:szCs w:val="7"/>
                <w:b w:val="1"/>
                <w:bCs w:val="1"/>
                <w:color w:val="auto"/>
              </w:rPr>
              <w:t>Automotive</w:t>
            </w:r>
          </w:p>
        </w:tc>
        <w:tc>
          <w:tcPr>
            <w:tcW w:w="620" w:type="dxa"/>
            <w:vAlign w:val="bottom"/>
          </w:tcPr>
          <w:p>
            <w:pPr>
              <w:ind w:left="220"/>
              <w:spacing w:after="0"/>
              <w:rPr>
                <w:sz w:val="20"/>
                <w:szCs w:val="20"/>
                <w:color w:val="auto"/>
              </w:rPr>
            </w:pPr>
            <w:r>
              <w:rPr>
                <w:rFonts w:ascii="Arial" w:cs="Arial" w:eastAsia="Arial" w:hAnsi="Arial"/>
                <w:sz w:val="7"/>
                <w:szCs w:val="7"/>
                <w:b w:val="1"/>
                <w:bCs w:val="1"/>
                <w:color w:val="auto"/>
              </w:rPr>
              <w:t>Cruise</w:t>
            </w:r>
          </w:p>
        </w:tc>
        <w:tc>
          <w:tcPr>
            <w:tcW w:w="840" w:type="dxa"/>
            <w:vAlign w:val="bottom"/>
          </w:tcPr>
          <w:p>
            <w:pPr>
              <w:ind w:left="260"/>
              <w:spacing w:after="0"/>
              <w:rPr>
                <w:sz w:val="20"/>
                <w:szCs w:val="20"/>
                <w:color w:val="auto"/>
              </w:rPr>
            </w:pPr>
            <w:r>
              <w:rPr>
                <w:rFonts w:ascii="Arial" w:cs="Arial" w:eastAsia="Arial" w:hAnsi="Arial"/>
                <w:sz w:val="7"/>
                <w:szCs w:val="7"/>
                <w:b w:val="1"/>
                <w:bCs w:val="1"/>
                <w:color w:val="auto"/>
              </w:rPr>
              <w:t>GM Financial</w:t>
            </w:r>
          </w:p>
        </w:tc>
        <w:tc>
          <w:tcPr>
            <w:tcW w:w="1300" w:type="dxa"/>
            <w:vAlign w:val="bottom"/>
          </w:tcPr>
          <w:p>
            <w:pPr>
              <w:ind w:left="120"/>
              <w:spacing w:after="0"/>
              <w:rPr>
                <w:sz w:val="20"/>
                <w:szCs w:val="20"/>
                <w:color w:val="auto"/>
              </w:rPr>
            </w:pPr>
            <w:r>
              <w:rPr>
                <w:rFonts w:ascii="Arial" w:cs="Arial" w:eastAsia="Arial" w:hAnsi="Arial"/>
                <w:sz w:val="7"/>
                <w:szCs w:val="7"/>
                <w:b w:val="1"/>
                <w:bCs w:val="1"/>
                <w:color w:val="auto"/>
              </w:rPr>
              <w:t>Reclassifications/Eliminations</w:t>
            </w:r>
          </w:p>
        </w:tc>
        <w:tc>
          <w:tcPr>
            <w:tcW w:w="760" w:type="dxa"/>
            <w:vAlign w:val="bottom"/>
            <w:gridSpan w:val="2"/>
          </w:tcPr>
          <w:p>
            <w:pPr>
              <w:ind w:left="140"/>
              <w:spacing w:after="0"/>
              <w:rPr>
                <w:sz w:val="20"/>
                <w:szCs w:val="20"/>
                <w:color w:val="auto"/>
              </w:rPr>
            </w:pPr>
            <w:r>
              <w:rPr>
                <w:rFonts w:ascii="Arial" w:cs="Arial" w:eastAsia="Arial" w:hAnsi="Arial"/>
                <w:sz w:val="7"/>
                <w:szCs w:val="7"/>
                <w:b w:val="1"/>
                <w:bCs w:val="1"/>
                <w:color w:val="auto"/>
              </w:rPr>
              <w:t>Combined</w:t>
            </w:r>
          </w:p>
        </w:tc>
        <w:tc>
          <w:tcPr>
            <w:tcW w:w="740" w:type="dxa"/>
            <w:vAlign w:val="bottom"/>
          </w:tcPr>
          <w:p>
            <w:pPr>
              <w:ind w:left="140"/>
              <w:spacing w:after="0"/>
              <w:rPr>
                <w:sz w:val="20"/>
                <w:szCs w:val="20"/>
                <w:color w:val="auto"/>
              </w:rPr>
            </w:pPr>
            <w:r>
              <w:rPr>
                <w:rFonts w:ascii="Arial" w:cs="Arial" w:eastAsia="Arial" w:hAnsi="Arial"/>
                <w:sz w:val="7"/>
                <w:szCs w:val="7"/>
                <w:b w:val="1"/>
                <w:bCs w:val="1"/>
                <w:color w:val="auto"/>
              </w:rPr>
              <w:t>Automotive</w:t>
            </w:r>
          </w:p>
        </w:tc>
        <w:tc>
          <w:tcPr>
            <w:tcW w:w="600" w:type="dxa"/>
            <w:vAlign w:val="bottom"/>
          </w:tcPr>
          <w:p>
            <w:pPr>
              <w:ind w:left="200"/>
              <w:spacing w:after="0"/>
              <w:rPr>
                <w:sz w:val="20"/>
                <w:szCs w:val="20"/>
                <w:color w:val="auto"/>
              </w:rPr>
            </w:pPr>
            <w:r>
              <w:rPr>
                <w:rFonts w:ascii="Arial" w:cs="Arial" w:eastAsia="Arial" w:hAnsi="Arial"/>
                <w:sz w:val="7"/>
                <w:szCs w:val="7"/>
                <w:b w:val="1"/>
                <w:bCs w:val="1"/>
                <w:color w:val="auto"/>
              </w:rPr>
              <w:t>Cruise</w:t>
            </w:r>
          </w:p>
        </w:tc>
        <w:tc>
          <w:tcPr>
            <w:tcW w:w="780" w:type="dxa"/>
            <w:vAlign w:val="bottom"/>
          </w:tcPr>
          <w:p>
            <w:pPr>
              <w:ind w:left="200"/>
              <w:spacing w:after="0"/>
              <w:rPr>
                <w:sz w:val="20"/>
                <w:szCs w:val="20"/>
                <w:color w:val="auto"/>
              </w:rPr>
            </w:pPr>
            <w:r>
              <w:rPr>
                <w:rFonts w:ascii="Arial" w:cs="Arial" w:eastAsia="Arial" w:hAnsi="Arial"/>
                <w:sz w:val="7"/>
                <w:szCs w:val="7"/>
                <w:b w:val="1"/>
                <w:bCs w:val="1"/>
                <w:color w:val="auto"/>
              </w:rPr>
              <w:t>GM Financial</w:t>
            </w:r>
          </w:p>
        </w:tc>
        <w:tc>
          <w:tcPr>
            <w:tcW w:w="1280" w:type="dxa"/>
            <w:vAlign w:val="bottom"/>
          </w:tcPr>
          <w:p>
            <w:pPr>
              <w:ind w:left="120"/>
              <w:spacing w:after="0"/>
              <w:rPr>
                <w:sz w:val="20"/>
                <w:szCs w:val="20"/>
                <w:color w:val="auto"/>
              </w:rPr>
            </w:pPr>
            <w:r>
              <w:rPr>
                <w:rFonts w:ascii="Arial" w:cs="Arial" w:eastAsia="Arial" w:hAnsi="Arial"/>
                <w:sz w:val="7"/>
                <w:szCs w:val="7"/>
                <w:b w:val="1"/>
                <w:bCs w:val="1"/>
                <w:color w:val="auto"/>
              </w:rPr>
              <w:t>Reclassifications/Eliminations</w:t>
            </w:r>
          </w:p>
        </w:tc>
        <w:tc>
          <w:tcPr>
            <w:tcW w:w="660" w:type="dxa"/>
            <w:vAlign w:val="bottom"/>
          </w:tcPr>
          <w:p>
            <w:pPr>
              <w:ind w:left="140"/>
              <w:spacing w:after="0"/>
              <w:rPr>
                <w:sz w:val="20"/>
                <w:szCs w:val="20"/>
                <w:color w:val="auto"/>
              </w:rPr>
            </w:pPr>
            <w:r>
              <w:rPr>
                <w:rFonts w:ascii="Arial" w:cs="Arial" w:eastAsia="Arial" w:hAnsi="Arial"/>
                <w:sz w:val="7"/>
                <w:szCs w:val="7"/>
                <w:b w:val="1"/>
                <w:bCs w:val="1"/>
                <w:color w:val="auto"/>
              </w:rPr>
              <w:t>Combined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7620</wp:posOffset>
            </wp:positionV>
            <wp:extent cx="53035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03520" cy="6985"/>
                    </a:xfrm>
                    <a:prstGeom prst="rect">
                      <a:avLst/>
                    </a:prstGeom>
                    <a:noFill/>
                  </pic:spPr>
                </pic:pic>
              </a:graphicData>
            </a:graphic>
          </wp:anchor>
        </w:drawing>
      </w:r>
    </w:p>
    <w:p>
      <w:pPr>
        <w:ind w:left="40"/>
        <w:spacing w:after="0"/>
        <w:rPr>
          <w:sz w:val="20"/>
          <w:szCs w:val="20"/>
          <w:color w:val="auto"/>
        </w:rPr>
      </w:pPr>
      <w:r>
        <w:rPr>
          <w:rFonts w:ascii="Arial" w:cs="Arial" w:eastAsia="Arial" w:hAnsi="Arial"/>
          <w:sz w:val="10"/>
          <w:szCs w:val="10"/>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2675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13716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p>
      <w:pPr>
        <w:spacing w:after="0" w:line="12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Income (loss) from continuing operations</w:t>
      </w:r>
    </w:p>
    <w:p>
      <w:pPr>
        <w:spacing w:after="0" w:line="101" w:lineRule="exact"/>
        <w:rPr>
          <w:sz w:val="20"/>
          <w:szCs w:val="20"/>
          <w:color w:val="auto"/>
        </w:rPr>
      </w:pPr>
    </w:p>
    <w:p>
      <w:pPr>
        <w:ind w:left="280" w:right="20" w:hanging="128"/>
        <w:spacing w:after="0" w:line="238" w:lineRule="auto"/>
        <w:rPr>
          <w:sz w:val="20"/>
          <w:szCs w:val="20"/>
          <w:color w:val="auto"/>
        </w:rPr>
      </w:pPr>
      <w:r>
        <w:rPr>
          <w:rFonts w:ascii="Arial" w:cs="Arial" w:eastAsia="Arial" w:hAnsi="Arial"/>
          <w:sz w:val="10"/>
          <w:szCs w:val="10"/>
          <w:color w:val="auto"/>
        </w:rPr>
        <w:t>Depreciation and impairment of Equipment on operating leases, net</w:t>
      </w:r>
    </w:p>
    <w:p>
      <w:pPr>
        <w:spacing w:after="0" w:line="31" w:lineRule="exact"/>
        <w:rPr>
          <w:sz w:val="20"/>
          <w:szCs w:val="20"/>
          <w:color w:val="auto"/>
        </w:rPr>
      </w:pPr>
    </w:p>
    <w:p>
      <w:pPr>
        <w:ind w:left="280" w:right="20" w:hanging="128"/>
        <w:spacing w:after="0" w:line="238" w:lineRule="auto"/>
        <w:rPr>
          <w:sz w:val="20"/>
          <w:szCs w:val="20"/>
          <w:color w:val="auto"/>
        </w:rPr>
      </w:pPr>
      <w:r>
        <w:rPr>
          <w:rFonts w:ascii="Arial" w:cs="Arial" w:eastAsia="Arial" w:hAnsi="Arial"/>
          <w:sz w:val="10"/>
          <w:szCs w:val="10"/>
          <w:color w:val="auto"/>
        </w:rPr>
        <w:t>Depreciation, amortization and impairment charges on Property, net</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Foreign currency remeasurement and transaction (gains) losses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Undistributed earnings of nonconsolidated affiliates, net</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Pension contributions and OPEB payments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Pension and OPEB income, net</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Provision (benefit) for deferred taxes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Change in other operating assets and liabilities(b)(c)</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Other operating activities(d)</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Net cash provided by (used in) operating activities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90"/>
              <w:spacing w:after="0"/>
              <w:rPr>
                <w:sz w:val="20"/>
                <w:szCs w:val="20"/>
                <w:color w:val="auto"/>
              </w:rPr>
            </w:pPr>
            <w:r>
              <w:rPr>
                <w:rFonts w:ascii="Arial" w:cs="Arial" w:eastAsia="Arial" w:hAnsi="Arial"/>
                <w:sz w:val="10"/>
                <w:szCs w:val="10"/>
                <w:color w:val="auto"/>
              </w:rPr>
              <w:t>5,844</w:t>
            </w:r>
          </w:p>
        </w:tc>
        <w:tc>
          <w:tcPr>
            <w:tcW w:w="100" w:type="dxa"/>
            <w:vAlign w:val="bottom"/>
          </w:tcPr>
          <w:p>
            <w:pPr>
              <w:spacing w:after="0"/>
              <w:rPr>
                <w:sz w:val="10"/>
                <w:szCs w:val="10"/>
                <w:color w:val="auto"/>
              </w:rPr>
            </w:pP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(750)</w:t>
            </w:r>
          </w:p>
        </w:tc>
        <w:tc>
          <w:tcPr>
            <w:tcW w:w="100" w:type="dxa"/>
            <w:vAlign w:val="bottom"/>
          </w:tcPr>
          <w:p>
            <w:pPr>
              <w:spacing w:after="0"/>
              <w:rPr>
                <w:sz w:val="10"/>
                <w:szCs w:val="10"/>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1,587</w:t>
            </w:r>
          </w:p>
        </w:tc>
        <w:tc>
          <w:tcPr>
            <w:tcW w:w="120" w:type="dxa"/>
            <w:vAlign w:val="bottom"/>
          </w:tcPr>
          <w:p>
            <w:pPr>
              <w:spacing w:after="0"/>
              <w:rPr>
                <w:sz w:val="10"/>
                <w:szCs w:val="10"/>
                <w:color w:val="auto"/>
              </w:rPr>
            </w:pPr>
          </w:p>
        </w:tc>
        <w:tc>
          <w:tcPr>
            <w:tcW w:w="420" w:type="dxa"/>
            <w:vAlign w:val="bottom"/>
          </w:tcPr>
          <w:p>
            <w:pPr>
              <w:jc w:val="right"/>
              <w:ind w:right="29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10"/>
                <w:szCs w:val="10"/>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6,667</w:t>
            </w:r>
          </w:p>
        </w:tc>
        <w:tc>
          <w:tcPr>
            <w:tcW w:w="100" w:type="dxa"/>
            <w:vAlign w:val="bottom"/>
          </w:tcPr>
          <w:p>
            <w:pPr>
              <w:spacing w:after="0"/>
              <w:rPr>
                <w:sz w:val="10"/>
                <w:szCs w:val="10"/>
                <w:color w:val="auto"/>
              </w:rPr>
            </w:pPr>
          </w:p>
        </w:tc>
        <w:tc>
          <w:tcPr>
            <w:tcW w:w="16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7,075</w:t>
            </w:r>
          </w:p>
        </w:tc>
        <w:tc>
          <w:tcPr>
            <w:tcW w:w="100" w:type="dxa"/>
            <w:vAlign w:val="bottom"/>
          </w:tcPr>
          <w:p>
            <w:pPr>
              <w:spacing w:after="0"/>
              <w:rPr>
                <w:sz w:val="10"/>
                <w:szCs w:val="10"/>
                <w:color w:val="auto"/>
              </w:rPr>
            </w:pPr>
          </w:p>
        </w:tc>
        <w:tc>
          <w:tcPr>
            <w:tcW w:w="560" w:type="dxa"/>
            <w:vAlign w:val="bottom"/>
          </w:tcPr>
          <w:p>
            <w:pPr>
              <w:jc w:val="right"/>
              <w:ind w:right="30"/>
              <w:spacing w:after="0"/>
              <w:rPr>
                <w:sz w:val="20"/>
                <w:szCs w:val="20"/>
                <w:color w:val="auto"/>
              </w:rPr>
            </w:pPr>
            <w:r>
              <w:rPr>
                <w:rFonts w:ascii="Arial" w:cs="Arial" w:eastAsia="Arial" w:hAnsi="Arial"/>
                <w:sz w:val="10"/>
                <w:szCs w:val="10"/>
                <w:color w:val="auto"/>
              </w:rPr>
              <w:t>$   (583)</w:t>
            </w:r>
          </w:p>
        </w:tc>
        <w:tc>
          <w:tcPr>
            <w:tcW w:w="100" w:type="dxa"/>
            <w:vAlign w:val="bottom"/>
          </w:tcPr>
          <w:p>
            <w:pPr>
              <w:spacing w:after="0"/>
              <w:rPr>
                <w:sz w:val="10"/>
                <w:szCs w:val="10"/>
                <w:color w:val="auto"/>
              </w:rPr>
            </w:pP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1,579</w:t>
            </w:r>
          </w:p>
        </w:tc>
        <w:tc>
          <w:tcPr>
            <w:tcW w:w="100" w:type="dxa"/>
            <w:vAlign w:val="bottom"/>
          </w:tcPr>
          <w:p>
            <w:pPr>
              <w:spacing w:after="0"/>
              <w:rPr>
                <w:sz w:val="10"/>
                <w:szCs w:val="10"/>
                <w:color w:val="auto"/>
              </w:rPr>
            </w:pPr>
          </w:p>
        </w:tc>
        <w:tc>
          <w:tcPr>
            <w:tcW w:w="36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0"/>
                <w:szCs w:val="10"/>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8,075</w:t>
            </w:r>
          </w:p>
        </w:tc>
      </w:tr>
      <w:tr>
        <w:trPr>
          <w:trHeight w:val="259"/>
        </w:trPr>
        <w:tc>
          <w:tcPr>
            <w:tcW w:w="200" w:type="dxa"/>
            <w:vAlign w:val="bottom"/>
          </w:tcPr>
          <w:p>
            <w:pPr>
              <w:spacing w:after="0"/>
              <w:rPr>
                <w:sz w:val="22"/>
                <w:szCs w:val="22"/>
                <w:color w:val="auto"/>
              </w:rPr>
            </w:pPr>
          </w:p>
        </w:tc>
        <w:tc>
          <w:tcPr>
            <w:tcW w:w="520" w:type="dxa"/>
            <w:vAlign w:val="bottom"/>
          </w:tcPr>
          <w:p>
            <w:pPr>
              <w:jc w:val="right"/>
              <w:ind w:right="90"/>
              <w:spacing w:after="0"/>
              <w:rPr>
                <w:sz w:val="20"/>
                <w:szCs w:val="20"/>
                <w:color w:val="auto"/>
              </w:rPr>
            </w:pPr>
            <w:r>
              <w:rPr>
                <w:rFonts w:ascii="Arial" w:cs="Arial" w:eastAsia="Arial" w:hAnsi="Arial"/>
                <w:sz w:val="10"/>
                <w:szCs w:val="10"/>
                <w:color w:val="auto"/>
              </w:rPr>
              <w:t>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2"/>
                <w:szCs w:val="22"/>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7,277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7,332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140</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2"/>
                <w:szCs w:val="22"/>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7,464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7,604</w:t>
            </w:r>
          </w:p>
        </w:tc>
      </w:tr>
      <w:tr>
        <w:trPr>
          <w:trHeight w:val="259"/>
        </w:trPr>
        <w:tc>
          <w:tcPr>
            <w:tcW w:w="200" w:type="dxa"/>
            <w:vAlign w:val="bottom"/>
          </w:tcPr>
          <w:p>
            <w:pPr>
              <w:spacing w:after="0"/>
              <w:rPr>
                <w:sz w:val="22"/>
                <w:szCs w:val="22"/>
                <w:color w:val="auto"/>
              </w:rPr>
            </w:pPr>
          </w:p>
        </w:tc>
        <w:tc>
          <w:tcPr>
            <w:tcW w:w="520" w:type="dxa"/>
            <w:vAlign w:val="bottom"/>
          </w:tcPr>
          <w:p>
            <w:pPr>
              <w:jc w:val="right"/>
              <w:ind w:right="90"/>
              <w:spacing w:after="0"/>
              <w:rPr>
                <w:sz w:val="20"/>
                <w:szCs w:val="20"/>
                <w:color w:val="auto"/>
              </w:rPr>
            </w:pPr>
            <w:r>
              <w:rPr>
                <w:rFonts w:ascii="Arial" w:cs="Arial" w:eastAsia="Arial" w:hAnsi="Arial"/>
                <w:sz w:val="10"/>
                <w:szCs w:val="10"/>
                <w:color w:val="auto"/>
              </w:rPr>
              <w:t>6,656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jc w:val="right"/>
              <w:ind w:right="90"/>
              <w:spacing w:after="0"/>
              <w:rPr>
                <w:sz w:val="20"/>
                <w:szCs w:val="20"/>
                <w:color w:val="auto"/>
              </w:rPr>
            </w:pPr>
            <w:r>
              <w:rPr>
                <w:rFonts w:ascii="Arial" w:cs="Arial" w:eastAsia="Arial" w:hAnsi="Arial"/>
                <w:sz w:val="10"/>
                <w:szCs w:val="10"/>
                <w:color w:val="auto"/>
              </w:rPr>
              <w:t>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73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6,786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5,991</w:t>
            </w:r>
          </w:p>
        </w:tc>
        <w:tc>
          <w:tcPr>
            <w:tcW w:w="10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6,065</w:t>
            </w:r>
          </w:p>
        </w:tc>
      </w:tr>
      <w:tr>
        <w:trPr>
          <w:trHeight w:val="216"/>
        </w:trPr>
        <w:tc>
          <w:tcPr>
            <w:tcW w:w="20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156</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168</w:t>
            </w:r>
          </w:p>
        </w:tc>
      </w:tr>
      <w:tr>
        <w:trPr>
          <w:trHeight w:val="216"/>
        </w:trPr>
        <w:tc>
          <w:tcPr>
            <w:tcW w:w="200" w:type="dxa"/>
            <w:vAlign w:val="bottom"/>
          </w:tcPr>
          <w:p>
            <w:pPr>
              <w:spacing w:after="0"/>
              <w:rPr>
                <w:sz w:val="18"/>
                <w:szCs w:val="18"/>
                <w:color w:val="auto"/>
              </w:rPr>
            </w:pPr>
          </w:p>
        </w:tc>
        <w:tc>
          <w:tcPr>
            <w:tcW w:w="520" w:type="dxa"/>
            <w:vAlign w:val="bottom"/>
          </w:tcPr>
          <w:p>
            <w:pPr>
              <w:jc w:val="right"/>
              <w:ind w:right="90"/>
              <w:spacing w:after="0"/>
              <w:rPr>
                <w:sz w:val="20"/>
                <w:szCs w:val="20"/>
                <w:color w:val="auto"/>
              </w:rPr>
            </w:pPr>
            <w:r>
              <w:rPr>
                <w:rFonts w:ascii="Arial" w:cs="Arial" w:eastAsia="Arial" w:hAnsi="Arial"/>
                <w:sz w:val="10"/>
                <w:szCs w:val="10"/>
                <w:color w:val="auto"/>
              </w:rPr>
              <w:t>706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(121)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585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42</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(183)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(141)</w:t>
            </w:r>
          </w:p>
        </w:tc>
      </w:tr>
      <w:tr>
        <w:trPr>
          <w:trHeight w:val="216"/>
        </w:trPr>
        <w:tc>
          <w:tcPr>
            <w:tcW w:w="20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(985)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(2,069)</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(2,069)</w:t>
            </w:r>
          </w:p>
        </w:tc>
      </w:tr>
      <w:tr>
        <w:trPr>
          <w:trHeight w:val="216"/>
        </w:trPr>
        <w:tc>
          <w:tcPr>
            <w:tcW w:w="20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(485)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(1,281)</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(1,280)</w:t>
            </w:r>
          </w:p>
        </w:tc>
      </w:tr>
      <w:tr>
        <w:trPr>
          <w:trHeight w:val="216"/>
        </w:trPr>
        <w:tc>
          <w:tcPr>
            <w:tcW w:w="20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(283)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424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(133)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(212)</w:t>
            </w:r>
          </w:p>
        </w:tc>
        <w:tc>
          <w:tcPr>
            <w:tcW w:w="10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0"/>
                <w:szCs w:val="10"/>
                <w:color w:val="auto"/>
              </w:rPr>
              <w:t>(134)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234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(112)</w:t>
            </w:r>
          </w:p>
        </w:tc>
      </w:tr>
      <w:tr>
        <w:trPr>
          <w:trHeight w:val="216"/>
        </w:trPr>
        <w:tc>
          <w:tcPr>
            <w:tcW w:w="20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(5,088)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ind w:right="90"/>
              <w:spacing w:after="0"/>
              <w:rPr>
                <w:sz w:val="20"/>
                <w:szCs w:val="20"/>
                <w:color w:val="auto"/>
              </w:rPr>
            </w:pPr>
            <w:r>
              <w:rPr>
                <w:rFonts w:ascii="Arial" w:cs="Arial" w:eastAsia="Arial" w:hAnsi="Arial"/>
                <w:sz w:val="10"/>
                <w:szCs w:val="10"/>
                <w:color w:val="auto"/>
              </w:rPr>
              <w:t>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438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764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(3,789)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1,568</w:t>
            </w:r>
          </w:p>
        </w:tc>
        <w:tc>
          <w:tcPr>
            <w:tcW w:w="10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(139)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(2,864)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0"/>
                <w:szCs w:val="10"/>
                <w:color w:val="auto"/>
              </w:rPr>
              <w:t>(1,376)</w:t>
            </w:r>
          </w:p>
        </w:tc>
      </w:tr>
      <w:tr>
        <w:trPr>
          <w:trHeight w:val="222"/>
        </w:trPr>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1,050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118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(1,602)</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(437)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(873)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327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46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(1,663)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(388)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(1,678)</w:t>
            </w:r>
          </w:p>
        </w:tc>
      </w:tr>
      <w:tr>
        <w:trPr>
          <w:trHeight w:val="189"/>
        </w:trPr>
        <w:tc>
          <w:tcPr>
            <w:tcW w:w="200" w:type="dxa"/>
            <w:vAlign w:val="bottom"/>
          </w:tcPr>
          <w:p>
            <w:pPr>
              <w:spacing w:after="0"/>
              <w:rPr>
                <w:sz w:val="16"/>
                <w:szCs w:val="16"/>
                <w:color w:val="auto"/>
              </w:rPr>
            </w:pPr>
          </w:p>
        </w:tc>
        <w:tc>
          <w:tcPr>
            <w:tcW w:w="520" w:type="dxa"/>
            <w:vAlign w:val="bottom"/>
          </w:tcPr>
          <w:p>
            <w:pPr>
              <w:jc w:val="right"/>
              <w:ind w:right="90"/>
              <w:spacing w:after="0"/>
              <w:rPr>
                <w:sz w:val="20"/>
                <w:szCs w:val="20"/>
                <w:color w:val="auto"/>
              </w:rPr>
            </w:pPr>
            <w:r>
              <w:rPr>
                <w:rFonts w:ascii="Arial" w:cs="Arial" w:eastAsia="Arial" w:hAnsi="Arial"/>
                <w:sz w:val="10"/>
                <w:szCs w:val="10"/>
                <w:color w:val="auto"/>
              </w:rPr>
              <w:t>7,392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(753)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8,069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313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15,021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11,737</w:t>
            </w:r>
          </w:p>
        </w:tc>
        <w:tc>
          <w:tcPr>
            <w:tcW w:w="100" w:type="dxa"/>
            <w:vAlign w:val="bottom"/>
          </w:tcPr>
          <w:p>
            <w:pPr>
              <w:spacing w:after="0"/>
              <w:rPr>
                <w:sz w:val="16"/>
                <w:szCs w:val="16"/>
                <w:color w:val="auto"/>
              </w:rPr>
            </w:pPr>
          </w:p>
        </w:tc>
        <w:tc>
          <w:tcPr>
            <w:tcW w:w="560" w:type="dxa"/>
            <w:vAlign w:val="bottom"/>
          </w:tcPr>
          <w:p>
            <w:pPr>
              <w:jc w:val="right"/>
              <w:ind w:right="30"/>
              <w:spacing w:after="0"/>
              <w:rPr>
                <w:sz w:val="20"/>
                <w:szCs w:val="20"/>
                <w:color w:val="auto"/>
              </w:rPr>
            </w:pPr>
            <w:r>
              <w:rPr>
                <w:rFonts w:ascii="Arial" w:cs="Arial" w:eastAsia="Arial" w:hAnsi="Arial"/>
                <w:sz w:val="10"/>
                <w:szCs w:val="10"/>
                <w:color w:val="auto"/>
              </w:rPr>
              <w:t>(605)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7,372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(3,248)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15,256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-1250315</wp:posOffset>
            </wp:positionV>
            <wp:extent cx="7267575" cy="164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16446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-949325</wp:posOffset>
            </wp:positionV>
            <wp:extent cx="72675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-675640</wp:posOffset>
            </wp:positionV>
            <wp:extent cx="72675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-401320</wp:posOffset>
            </wp:positionV>
            <wp:extent cx="72675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-127635</wp:posOffset>
            </wp:positionV>
            <wp:extent cx="72675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145415</wp:posOffset>
            </wp:positionV>
            <wp:extent cx="72675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13716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3000" w:space="100"/>
            <w:col w:w="8360"/>
          </w:cols>
          <w:pgMar w:left="220" w:top="297" w:right="219" w:bottom="1440" w:gutter="0" w:footer="0" w:header="0"/>
          <w:type w:val="continuous"/>
        </w:sectPr>
      </w:pPr>
    </w:p>
    <w:p>
      <w:pPr>
        <w:ind w:left="140"/>
        <w:spacing w:after="0"/>
        <w:rPr>
          <w:sz w:val="20"/>
          <w:szCs w:val="20"/>
          <w:color w:val="auto"/>
        </w:rPr>
      </w:pPr>
      <w:r>
        <w:rPr>
          <w:rFonts w:ascii="Arial" w:cs="Arial" w:eastAsia="Arial" w:hAnsi="Arial"/>
          <w:sz w:val="10"/>
          <w:szCs w:val="10"/>
          <w:color w:val="auto"/>
        </w:rPr>
        <w:t>Expenditures for property</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Available-for-sale marketable securities, acquisitions(e)</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Available-for-sale marketable securities, liquidations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Purchases of finance receivables, net(b)(c)</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Principal collections and recoveries on finance receivables(b)(c)</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Purchases of leased vehicles, net</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Proceeds from termination of leased vehicles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Other investing activities(f)</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Net cash used in investing activities – continuing operations</w:t>
      </w:r>
    </w:p>
    <w:p>
      <w:pPr>
        <w:spacing w:after="0" w:line="101" w:lineRule="exact"/>
        <w:rPr>
          <w:sz w:val="20"/>
          <w:szCs w:val="20"/>
          <w:color w:val="auto"/>
        </w:rPr>
      </w:pPr>
    </w:p>
    <w:p>
      <w:pPr>
        <w:ind w:left="280" w:right="380" w:hanging="128"/>
        <w:spacing w:after="0" w:line="238" w:lineRule="auto"/>
        <w:rPr>
          <w:sz w:val="20"/>
          <w:szCs w:val="20"/>
          <w:color w:val="auto"/>
        </w:rPr>
      </w:pPr>
      <w:r>
        <w:rPr>
          <w:rFonts w:ascii="Arial" w:cs="Arial" w:eastAsia="Arial" w:hAnsi="Arial"/>
          <w:sz w:val="10"/>
          <w:szCs w:val="10"/>
          <w:color w:val="auto"/>
        </w:rPr>
        <w:t>Net cash provided by investing activities – discontinued operations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Net cash used in investing activities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720" w:type="dxa"/>
            <w:vAlign w:val="bottom"/>
          </w:tcPr>
          <w:p>
            <w:pPr>
              <w:jc w:val="right"/>
              <w:ind w:right="50"/>
              <w:spacing w:after="0"/>
              <w:rPr>
                <w:sz w:val="20"/>
                <w:szCs w:val="20"/>
                <w:color w:val="auto"/>
              </w:rPr>
            </w:pPr>
            <w:r>
              <w:rPr>
                <w:rFonts w:ascii="Arial" w:cs="Arial" w:eastAsia="Arial" w:hAnsi="Arial"/>
                <w:sz w:val="10"/>
                <w:szCs w:val="10"/>
                <w:color w:val="auto"/>
              </w:rPr>
              <w:t>(7,485)</w:t>
            </w:r>
          </w:p>
        </w:tc>
        <w:tc>
          <w:tcPr>
            <w:tcW w:w="100" w:type="dxa"/>
            <w:vAlign w:val="bottom"/>
          </w:tcPr>
          <w:p>
            <w:pPr>
              <w:spacing w:after="0"/>
              <w:rPr>
                <w:sz w:val="10"/>
                <w:szCs w:val="10"/>
                <w:color w:val="auto"/>
              </w:rPr>
            </w:pPr>
          </w:p>
        </w:tc>
        <w:tc>
          <w:tcPr>
            <w:tcW w:w="600" w:type="dxa"/>
            <w:vAlign w:val="bottom"/>
          </w:tcPr>
          <w:p>
            <w:pPr>
              <w:jc w:val="right"/>
              <w:ind w:right="50"/>
              <w:spacing w:after="0"/>
              <w:rPr>
                <w:sz w:val="20"/>
                <w:szCs w:val="20"/>
                <w:color w:val="auto"/>
              </w:rPr>
            </w:pPr>
            <w:r>
              <w:rPr>
                <w:rFonts w:ascii="Arial" w:cs="Arial" w:eastAsia="Arial" w:hAnsi="Arial"/>
                <w:sz w:val="10"/>
                <w:szCs w:val="10"/>
                <w:color w:val="auto"/>
              </w:rPr>
              <w:t>(60)</w:t>
            </w:r>
          </w:p>
        </w:tc>
        <w:tc>
          <w:tcPr>
            <w:tcW w:w="100" w:type="dxa"/>
            <w:vAlign w:val="bottom"/>
          </w:tcPr>
          <w:p>
            <w:pPr>
              <w:spacing w:after="0"/>
              <w:rPr>
                <w:sz w:val="10"/>
                <w:szCs w:val="10"/>
                <w:color w:val="auto"/>
              </w:rPr>
            </w:pP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(47)</w:t>
            </w:r>
          </w:p>
        </w:tc>
        <w:tc>
          <w:tcPr>
            <w:tcW w:w="120" w:type="dxa"/>
            <w:vAlign w:val="bottom"/>
          </w:tcPr>
          <w:p>
            <w:pPr>
              <w:spacing w:after="0"/>
              <w:rPr>
                <w:sz w:val="10"/>
                <w:szCs w:val="1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(7,592)</w:t>
            </w:r>
          </w:p>
        </w:tc>
        <w:tc>
          <w:tcPr>
            <w:tcW w:w="100" w:type="dxa"/>
            <w:vAlign w:val="bottom"/>
          </w:tcPr>
          <w:p>
            <w:pPr>
              <w:spacing w:after="0"/>
              <w:rPr>
                <w:sz w:val="10"/>
                <w:szCs w:val="10"/>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(8,686)</w:t>
            </w:r>
          </w:p>
        </w:tc>
        <w:tc>
          <w:tcPr>
            <w:tcW w:w="100" w:type="dxa"/>
            <w:vAlign w:val="bottom"/>
          </w:tcPr>
          <w:p>
            <w:pPr>
              <w:spacing w:after="0"/>
              <w:rPr>
                <w:sz w:val="10"/>
                <w:szCs w:val="10"/>
                <w:color w:val="auto"/>
              </w:rPr>
            </w:pPr>
          </w:p>
        </w:tc>
        <w:tc>
          <w:tcPr>
            <w:tcW w:w="560" w:type="dxa"/>
            <w:vAlign w:val="bottom"/>
          </w:tcPr>
          <w:p>
            <w:pPr>
              <w:jc w:val="right"/>
              <w:ind w:right="30"/>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0"/>
                <w:szCs w:val="10"/>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(60)</w:t>
            </w:r>
          </w:p>
        </w:tc>
        <w:tc>
          <w:tcPr>
            <w:tcW w:w="100" w:type="dxa"/>
            <w:vAlign w:val="bottom"/>
          </w:tcPr>
          <w:p>
            <w:pPr>
              <w:spacing w:after="0"/>
              <w:rPr>
                <w:sz w:val="10"/>
                <w:szCs w:val="1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(8,761)</w:t>
            </w:r>
          </w:p>
        </w:tc>
      </w:tr>
      <w:tr>
        <w:trPr>
          <w:trHeight w:val="216"/>
        </w:trPr>
        <w:tc>
          <w:tcPr>
            <w:tcW w:w="720" w:type="dxa"/>
            <w:vAlign w:val="bottom"/>
          </w:tcPr>
          <w:p>
            <w:pPr>
              <w:jc w:val="right"/>
              <w:ind w:right="50"/>
              <w:spacing w:after="0"/>
              <w:rPr>
                <w:sz w:val="20"/>
                <w:szCs w:val="20"/>
                <w:color w:val="auto"/>
              </w:rPr>
            </w:pPr>
            <w:r>
              <w:rPr>
                <w:rFonts w:ascii="Arial" w:cs="Arial" w:eastAsia="Arial" w:hAnsi="Arial"/>
                <w:sz w:val="10"/>
                <w:szCs w:val="10"/>
                <w:color w:val="auto"/>
              </w:rPr>
              <w:t>(2,756)</w:t>
            </w:r>
          </w:p>
        </w:tc>
        <w:tc>
          <w:tcPr>
            <w:tcW w:w="10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0"/>
                <w:szCs w:val="10"/>
                <w:color w:val="auto"/>
              </w:rPr>
              <w:t>(1,319)</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(4,075)</w:t>
            </w: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(2,820)</w:t>
            </w:r>
          </w:p>
        </w:tc>
        <w:tc>
          <w:tcPr>
            <w:tcW w:w="10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0"/>
                <w:szCs w:val="10"/>
                <w:color w:val="auto"/>
              </w:rPr>
              <w:t>(90)</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70"/>
              <w:spacing w:after="0"/>
              <w:rPr>
                <w:sz w:val="20"/>
                <w:szCs w:val="20"/>
                <w:color w:val="auto"/>
              </w:rPr>
            </w:pPr>
            <w:r>
              <w:rPr>
                <w:rFonts w:ascii="Arial" w:cs="Arial" w:eastAsia="Arial" w:hAnsi="Arial"/>
                <w:sz w:val="10"/>
                <w:szCs w:val="10"/>
                <w:color w:val="auto"/>
              </w:rPr>
              <w:t>90</w:t>
            </w:r>
          </w:p>
        </w:tc>
        <w:tc>
          <w:tcPr>
            <w:tcW w:w="1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(2,820)</w:t>
            </w:r>
          </w:p>
        </w:tc>
      </w:tr>
      <w:tr>
        <w:trPr>
          <w:trHeight w:val="216"/>
        </w:trPr>
        <w:tc>
          <w:tcPr>
            <w:tcW w:w="720" w:type="dxa"/>
            <w:vAlign w:val="bottom"/>
          </w:tcPr>
          <w:p>
            <w:pPr>
              <w:jc w:val="right"/>
              <w:ind w:right="90"/>
              <w:spacing w:after="0"/>
              <w:rPr>
                <w:sz w:val="20"/>
                <w:szCs w:val="20"/>
                <w:color w:val="auto"/>
              </w:rPr>
            </w:pPr>
            <w:r>
              <w:rPr>
                <w:rFonts w:ascii="Arial" w:cs="Arial" w:eastAsia="Arial" w:hAnsi="Arial"/>
                <w:sz w:val="10"/>
                <w:szCs w:val="10"/>
                <w:color w:val="auto"/>
              </w:rPr>
              <w:t>5,203</w:t>
            </w:r>
          </w:p>
        </w:tc>
        <w:tc>
          <w:tcPr>
            <w:tcW w:w="10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1,110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30"/>
              <w:spacing w:after="0"/>
              <w:rPr>
                <w:sz w:val="20"/>
                <w:szCs w:val="20"/>
                <w:color w:val="auto"/>
              </w:rPr>
            </w:pPr>
            <w:r>
              <w:rPr>
                <w:rFonts w:ascii="Arial" w:cs="Arial" w:eastAsia="Arial" w:hAnsi="Arial"/>
                <w:sz w:val="10"/>
                <w:szCs w:val="10"/>
                <w:color w:val="auto"/>
              </w:rPr>
              <w:t>(48)</w:t>
            </w:r>
          </w:p>
        </w:tc>
        <w:tc>
          <w:tcPr>
            <w:tcW w:w="1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6,265</w:t>
            </w:r>
          </w:p>
        </w:tc>
        <w:tc>
          <w:tcPr>
            <w:tcW w:w="10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5,108</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5,108</w:t>
            </w:r>
          </w:p>
        </w:tc>
      </w:tr>
      <w:tr>
        <w:trPr>
          <w:trHeight w:val="216"/>
        </w:trPr>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(25,328)</w:t>
            </w:r>
          </w:p>
        </w:tc>
        <w:tc>
          <w:tcPr>
            <w:tcW w:w="1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0"/>
                <w:szCs w:val="10"/>
                <w:color w:val="auto"/>
              </w:rPr>
              <w:t>790</w:t>
            </w:r>
          </w:p>
        </w:tc>
        <w:tc>
          <w:tcPr>
            <w:tcW w:w="1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(24,538)</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(28,888)</w:t>
            </w:r>
          </w:p>
        </w:tc>
        <w:tc>
          <w:tcPr>
            <w:tcW w:w="1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0"/>
                <w:szCs w:val="10"/>
                <w:color w:val="auto"/>
              </w:rPr>
              <w:t>3,217</w:t>
            </w:r>
          </w:p>
        </w:tc>
        <w:tc>
          <w:tcPr>
            <w:tcW w:w="1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(25,671)</w:t>
            </w:r>
          </w:p>
        </w:tc>
      </w:tr>
      <w:tr>
        <w:trPr>
          <w:trHeight w:val="216"/>
        </w:trPr>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23,526</w:t>
            </w: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0"/>
                <w:szCs w:val="10"/>
                <w:color w:val="auto"/>
              </w:rPr>
              <w:t>(1,521)</w:t>
            </w:r>
          </w:p>
        </w:tc>
        <w:tc>
          <w:tcPr>
            <w:tcW w:w="1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22,005</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17,357</w:t>
            </w: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0"/>
                <w:szCs w:val="10"/>
                <w:color w:val="auto"/>
              </w:rPr>
              <w:t>(309)</w:t>
            </w:r>
          </w:p>
        </w:tc>
        <w:tc>
          <w:tcPr>
            <w:tcW w:w="1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17,048</w:t>
            </w:r>
          </w:p>
        </w:tc>
      </w:tr>
      <w:tr>
        <w:trPr>
          <w:trHeight w:val="216"/>
        </w:trPr>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(16,404)</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(16,404)</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(16,736)</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(16,736)</w:t>
            </w:r>
          </w:p>
        </w:tc>
      </w:tr>
      <w:tr>
        <w:trPr>
          <w:trHeight w:val="216"/>
        </w:trPr>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13,302</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13,302</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10,864</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10,864</w:t>
            </w:r>
          </w:p>
        </w:tc>
      </w:tr>
      <w:tr>
        <w:trPr>
          <w:trHeight w:val="222"/>
        </w:trPr>
        <w:tc>
          <w:tcPr>
            <w:tcW w:w="720" w:type="dxa"/>
            <w:vAlign w:val="bottom"/>
          </w:tcPr>
          <w:p>
            <w:pPr>
              <w:jc w:val="right"/>
              <w:ind w:right="50"/>
              <w:spacing w:after="0"/>
              <w:rPr>
                <w:sz w:val="20"/>
                <w:szCs w:val="20"/>
                <w:color w:val="auto"/>
              </w:rPr>
            </w:pPr>
            <w:r>
              <w:rPr>
                <w:rFonts w:ascii="Arial" w:cs="Arial" w:eastAsia="Arial" w:hAnsi="Arial"/>
                <w:sz w:val="10"/>
                <w:szCs w:val="10"/>
                <w:color w:val="auto"/>
              </w:rPr>
              <w:t>(540)</w:t>
            </w: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0"/>
                <w:szCs w:val="10"/>
                <w:color w:val="auto"/>
              </w:rPr>
              <w:t>680</w:t>
            </w:r>
          </w:p>
        </w:tc>
        <w:tc>
          <w:tcPr>
            <w:tcW w:w="12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138</w:t>
            </w:r>
          </w:p>
        </w:tc>
        <w:tc>
          <w:tcPr>
            <w:tcW w:w="1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(1,283)</w:t>
            </w:r>
          </w:p>
        </w:tc>
        <w:tc>
          <w:tcPr>
            <w:tcW w:w="1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(53)</w:t>
            </w:r>
          </w:p>
        </w:tc>
        <w:tc>
          <w:tcPr>
            <w:tcW w:w="1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0"/>
                <w:szCs w:val="10"/>
                <w:color w:val="auto"/>
              </w:rPr>
              <w:t>1,394</w:t>
            </w:r>
          </w:p>
        </w:tc>
        <w:tc>
          <w:tcPr>
            <w:tcW w:w="12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39</w:t>
            </w:r>
          </w:p>
        </w:tc>
      </w:tr>
      <w:tr>
        <w:trPr>
          <w:trHeight w:val="189"/>
        </w:trPr>
        <w:tc>
          <w:tcPr>
            <w:tcW w:w="72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(5,578)</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(268)</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(4,954)</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(99)</w:t>
            </w:r>
          </w:p>
        </w:tc>
        <w:tc>
          <w:tcPr>
            <w:tcW w:w="120" w:type="dxa"/>
            <w:vAlign w:val="bottom"/>
          </w:tcPr>
          <w:p>
            <w:pPr>
              <w:spacing w:after="0"/>
              <w:rPr>
                <w:sz w:val="16"/>
                <w:szCs w:val="16"/>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(10,899)</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(7,681)</w:t>
            </w:r>
          </w:p>
        </w:tc>
        <w:tc>
          <w:tcPr>
            <w:tcW w:w="100" w:type="dxa"/>
            <w:vAlign w:val="bottom"/>
          </w:tcPr>
          <w:p>
            <w:pPr>
              <w:spacing w:after="0"/>
              <w:rPr>
                <w:sz w:val="16"/>
                <w:szCs w:val="16"/>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(124)</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(17,516)</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4,392</w:t>
            </w:r>
          </w:p>
        </w:tc>
        <w:tc>
          <w:tcPr>
            <w:tcW w:w="120" w:type="dxa"/>
            <w:vAlign w:val="bottom"/>
          </w:tcPr>
          <w:p>
            <w:pPr>
              <w:spacing w:after="0"/>
              <w:rPr>
                <w:sz w:val="16"/>
                <w:szCs w:val="16"/>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(20,929)</w:t>
            </w:r>
          </w:p>
        </w:tc>
      </w:tr>
      <w:tr>
        <w:trPr>
          <w:trHeight w:val="265"/>
        </w:trPr>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166</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166</w:t>
            </w:r>
          </w:p>
        </w:tc>
      </w:tr>
      <w:tr>
        <w:trPr>
          <w:trHeight w:val="189"/>
        </w:trPr>
        <w:tc>
          <w:tcPr>
            <w:tcW w:w="72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(5,578)</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(268)</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(4,954)</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(99)</w:t>
            </w:r>
          </w:p>
        </w:tc>
        <w:tc>
          <w:tcPr>
            <w:tcW w:w="120" w:type="dxa"/>
            <w:vAlign w:val="bottom"/>
          </w:tcPr>
          <w:p>
            <w:pPr>
              <w:spacing w:after="0"/>
              <w:rPr>
                <w:sz w:val="16"/>
                <w:szCs w:val="16"/>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(10,899)</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(7,515)</w:t>
            </w:r>
          </w:p>
        </w:tc>
        <w:tc>
          <w:tcPr>
            <w:tcW w:w="100" w:type="dxa"/>
            <w:vAlign w:val="bottom"/>
          </w:tcPr>
          <w:p>
            <w:pPr>
              <w:spacing w:after="0"/>
              <w:rPr>
                <w:sz w:val="16"/>
                <w:szCs w:val="16"/>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(124)</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(17,516)</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4,392</w:t>
            </w:r>
          </w:p>
        </w:tc>
        <w:tc>
          <w:tcPr>
            <w:tcW w:w="120" w:type="dxa"/>
            <w:vAlign w:val="bottom"/>
          </w:tcPr>
          <w:p>
            <w:pPr>
              <w:spacing w:after="0"/>
              <w:rPr>
                <w:sz w:val="16"/>
                <w:szCs w:val="16"/>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(20,763)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-1250315</wp:posOffset>
            </wp:positionV>
            <wp:extent cx="72675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-976630</wp:posOffset>
            </wp:positionV>
            <wp:extent cx="72675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-702945</wp:posOffset>
            </wp:positionV>
            <wp:extent cx="72675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-429260</wp:posOffset>
            </wp:positionV>
            <wp:extent cx="72675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-127635</wp:posOffset>
            </wp:positionV>
            <wp:extent cx="726757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145415</wp:posOffset>
            </wp:positionV>
            <wp:extent cx="72675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13716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2980" w:space="120"/>
            <w:col w:w="8360"/>
          </w:cols>
          <w:pgMar w:left="220" w:top="297" w:right="219" w:bottom="1440" w:gutter="0" w:footer="0" w:header="0"/>
          <w:type w:val="continuous"/>
        </w:sectPr>
      </w:pPr>
    </w:p>
    <w:p>
      <w:pPr>
        <w:ind w:left="140"/>
        <w:spacing w:after="0"/>
        <w:rPr>
          <w:sz w:val="20"/>
          <w:szCs w:val="20"/>
          <w:color w:val="auto"/>
        </w:rPr>
      </w:pPr>
      <w:r>
        <w:rPr>
          <w:rFonts w:ascii="Arial" w:cs="Arial" w:eastAsia="Arial" w:hAnsi="Arial"/>
          <w:sz w:val="10"/>
          <w:szCs w:val="10"/>
          <w:color w:val="auto"/>
        </w:rPr>
        <w:t>Net increase (decrease) in short-term debt</w:t>
      </w:r>
    </w:p>
    <w:p>
      <w:pPr>
        <w:spacing w:after="0" w:line="101" w:lineRule="exact"/>
        <w:rPr>
          <w:sz w:val="20"/>
          <w:szCs w:val="20"/>
          <w:color w:val="auto"/>
        </w:rPr>
      </w:pPr>
    </w:p>
    <w:p>
      <w:pPr>
        <w:ind w:left="280" w:right="40" w:hanging="128"/>
        <w:spacing w:after="0" w:line="238" w:lineRule="auto"/>
        <w:rPr>
          <w:sz w:val="20"/>
          <w:szCs w:val="20"/>
          <w:color w:val="auto"/>
        </w:rPr>
      </w:pPr>
      <w:r>
        <w:rPr>
          <w:rFonts w:ascii="Arial" w:cs="Arial" w:eastAsia="Arial" w:hAnsi="Arial"/>
          <w:sz w:val="10"/>
          <w:szCs w:val="10"/>
          <w:color w:val="auto"/>
        </w:rPr>
        <w:t>Proceeds from issuance of debt (original maturities greater than three months)(f)</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Payments on debt (original maturities greater than three months)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Payment to purchase common stock(e)</w:t>
      </w:r>
    </w:p>
    <w:p>
      <w:pPr>
        <w:spacing w:after="0" w:line="101" w:lineRule="exact"/>
        <w:rPr>
          <w:sz w:val="20"/>
          <w:szCs w:val="20"/>
          <w:color w:val="auto"/>
        </w:rPr>
      </w:pPr>
    </w:p>
    <w:p>
      <w:pPr>
        <w:ind w:left="280" w:right="160" w:hanging="128"/>
        <w:spacing w:after="0" w:line="238" w:lineRule="auto"/>
        <w:rPr>
          <w:sz w:val="20"/>
          <w:szCs w:val="20"/>
          <w:color w:val="auto"/>
        </w:rPr>
      </w:pPr>
      <w:r>
        <w:rPr>
          <w:rFonts w:ascii="Arial" w:cs="Arial" w:eastAsia="Arial" w:hAnsi="Arial"/>
          <w:sz w:val="10"/>
          <w:szCs w:val="10"/>
          <w:color w:val="auto"/>
        </w:rPr>
        <w:t>Proceeds from issuance of subsidiary preferred and common stock(f)</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Dividends paid(d)</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Other financing activities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Net cash provided by (used in) financing activities</w:t>
      </w:r>
    </w:p>
    <w:p>
      <w:pPr>
        <w:spacing w:after="0" w:line="48" w:lineRule="exact"/>
        <w:rPr>
          <w:sz w:val="20"/>
          <w:szCs w:val="20"/>
          <w:color w:val="auto"/>
        </w:rPr>
      </w:pPr>
    </w:p>
    <w:p>
      <w:pPr>
        <w:ind w:left="280" w:right="60" w:hanging="128"/>
        <w:spacing w:after="0" w:line="238" w:lineRule="auto"/>
        <w:rPr>
          <w:sz w:val="20"/>
          <w:szCs w:val="20"/>
          <w:color w:val="auto"/>
        </w:rPr>
      </w:pPr>
      <w:r>
        <w:rPr>
          <w:rFonts w:ascii="Arial" w:cs="Arial" w:eastAsia="Arial" w:hAnsi="Arial"/>
          <w:sz w:val="10"/>
          <w:szCs w:val="10"/>
          <w:color w:val="auto"/>
        </w:rPr>
        <w:t>Effect of exchange rate changes on cash, cash equivalents and restricted cash</w:t>
      </w:r>
    </w:p>
    <w:p>
      <w:pPr>
        <w:spacing w:after="0" w:line="31" w:lineRule="exact"/>
        <w:rPr>
          <w:sz w:val="20"/>
          <w:szCs w:val="20"/>
          <w:color w:val="auto"/>
        </w:rPr>
      </w:pPr>
    </w:p>
    <w:p>
      <w:pPr>
        <w:ind w:left="280" w:right="20" w:hanging="128"/>
        <w:spacing w:after="0" w:line="238" w:lineRule="auto"/>
        <w:rPr>
          <w:sz w:val="20"/>
          <w:szCs w:val="20"/>
          <w:color w:val="auto"/>
        </w:rPr>
      </w:pPr>
      <w:r>
        <w:rPr>
          <w:rFonts w:ascii="Arial" w:cs="Arial" w:eastAsia="Arial" w:hAnsi="Arial"/>
          <w:sz w:val="10"/>
          <w:szCs w:val="10"/>
          <w:color w:val="auto"/>
        </w:rPr>
        <w:t>Net increase (decrease) in cash, cash equivalents and restricted cash</w:t>
      </w:r>
    </w:p>
    <w:p>
      <w:pPr>
        <w:spacing w:after="0" w:line="31" w:lineRule="exact"/>
        <w:rPr>
          <w:sz w:val="20"/>
          <w:szCs w:val="20"/>
          <w:color w:val="auto"/>
        </w:rPr>
      </w:pPr>
    </w:p>
    <w:p>
      <w:pPr>
        <w:ind w:left="40" w:right="80"/>
        <w:spacing w:after="0" w:line="449" w:lineRule="auto"/>
        <w:rPr>
          <w:sz w:val="20"/>
          <w:szCs w:val="20"/>
          <w:color w:val="auto"/>
        </w:rPr>
      </w:pPr>
      <w:r>
        <w:rPr>
          <w:rFonts w:ascii="Arial" w:cs="Arial" w:eastAsia="Arial" w:hAnsi="Arial"/>
          <w:sz w:val="10"/>
          <w:szCs w:val="10"/>
          <w:color w:val="auto"/>
        </w:rPr>
        <w:t xml:space="preserve">Cash, cash equivalents and restricted cash at beginning of period </w:t>
      </w:r>
      <w:r>
        <w:rPr>
          <w:rFonts w:ascii="Arial" w:cs="Arial" w:eastAsia="Arial" w:hAnsi="Arial"/>
          <w:sz w:val="10"/>
          <w:szCs w:val="10"/>
          <w:b w:val="1"/>
          <w:bCs w:val="1"/>
          <w:color w:val="auto"/>
        </w:rPr>
        <w:t>Cash, cash equivalents and restricted cash at end of period</w:t>
      </w:r>
    </w:p>
    <w:p>
      <w:pPr>
        <w:spacing w:after="0" w:line="1" w:lineRule="exact"/>
        <w:rPr>
          <w:sz w:val="20"/>
          <w:szCs w:val="20"/>
          <w:color w:val="auto"/>
        </w:rPr>
      </w:pPr>
    </w:p>
    <w:p>
      <w:pPr>
        <w:ind w:left="160" w:hanging="128"/>
        <w:spacing w:after="0" w:line="238" w:lineRule="auto"/>
        <w:rPr>
          <w:sz w:val="20"/>
          <w:szCs w:val="20"/>
          <w:color w:val="auto"/>
        </w:rPr>
      </w:pPr>
      <w:r>
        <w:rPr>
          <w:rFonts w:ascii="Arial" w:cs="Arial" w:eastAsia="Arial" w:hAnsi="Arial"/>
          <w:sz w:val="10"/>
          <w:szCs w:val="10"/>
          <w:color w:val="auto"/>
        </w:rPr>
        <w:t>Cash, cash equivalents and restricted cash – continuing operations at end of period</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_________</w:t>
      </w:r>
    </w:p>
    <w:p>
      <w:pPr>
        <w:ind w:left="260" w:hanging="254"/>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180" w:type="dxa"/>
            <w:vAlign w:val="bottom"/>
          </w:tcPr>
          <w:p>
            <w:pPr>
              <w:spacing w:after="0"/>
              <w:rPr>
                <w:sz w:val="10"/>
                <w:szCs w:val="10"/>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(304)</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(312)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62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tcPr>
          <w:p>
            <w:pPr>
              <w:jc w:val="right"/>
              <w:ind w:right="70"/>
              <w:spacing w:after="0"/>
              <w:rPr>
                <w:sz w:val="20"/>
                <w:szCs w:val="20"/>
                <w:color w:val="auto"/>
              </w:rPr>
            </w:pPr>
            <w:r>
              <w:rPr>
                <w:rFonts w:ascii="Arial" w:cs="Arial" w:eastAsia="Arial" w:hAnsi="Arial"/>
                <w:sz w:val="10"/>
                <w:szCs w:val="10"/>
                <w:color w:val="auto"/>
              </w:rPr>
              <w:t>1,124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1,186</w:t>
            </w:r>
          </w:p>
        </w:tc>
      </w:tr>
      <w:tr>
        <w:trPr>
          <w:trHeight w:val="259"/>
        </w:trPr>
        <w:tc>
          <w:tcPr>
            <w:tcW w:w="180" w:type="dxa"/>
            <w:vAlign w:val="bottom"/>
          </w:tcPr>
          <w:p>
            <w:pPr>
              <w:spacing w:after="0"/>
              <w:rPr>
                <w:sz w:val="22"/>
                <w:szCs w:val="22"/>
                <w:color w:val="auto"/>
              </w:rPr>
            </w:pPr>
          </w:p>
        </w:tc>
        <w:tc>
          <w:tcPr>
            <w:tcW w:w="540" w:type="dxa"/>
            <w:vAlign w:val="bottom"/>
          </w:tcPr>
          <w:p>
            <w:pPr>
              <w:jc w:val="right"/>
              <w:ind w:right="90"/>
              <w:spacing w:after="0"/>
              <w:rPr>
                <w:sz w:val="20"/>
                <w:szCs w:val="20"/>
                <w:color w:val="auto"/>
              </w:rPr>
            </w:pPr>
            <w:r>
              <w:rPr>
                <w:rFonts w:ascii="Arial" w:cs="Arial" w:eastAsia="Arial" w:hAnsi="Arial"/>
                <w:sz w:val="10"/>
                <w:szCs w:val="10"/>
                <w:color w:val="auto"/>
              </w:rPr>
              <w:t>1,403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540" w:type="dxa"/>
            <w:vAlign w:val="bottom"/>
          </w:tcPr>
          <w:p>
            <w:pPr>
              <w:jc w:val="right"/>
              <w:ind w:right="70"/>
              <w:spacing w:after="0"/>
              <w:rPr>
                <w:sz w:val="20"/>
                <w:szCs w:val="20"/>
                <w:color w:val="auto"/>
              </w:rPr>
            </w:pPr>
            <w:r>
              <w:rPr>
                <w:rFonts w:ascii="Arial" w:cs="Arial" w:eastAsia="Arial" w:hAnsi="Arial"/>
                <w:sz w:val="10"/>
                <w:szCs w:val="10"/>
                <w:color w:val="auto"/>
              </w:rPr>
              <w:t>35,535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2"/>
                <w:szCs w:val="22"/>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36,937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4,908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ind w:right="70"/>
              <w:spacing w:after="0"/>
              <w:rPr>
                <w:sz w:val="20"/>
                <w:szCs w:val="20"/>
                <w:color w:val="auto"/>
              </w:rPr>
            </w:pPr>
            <w:r>
              <w:rPr>
                <w:rFonts w:ascii="Arial" w:cs="Arial" w:eastAsia="Arial" w:hAnsi="Arial"/>
                <w:sz w:val="10"/>
                <w:szCs w:val="10"/>
                <w:color w:val="auto"/>
              </w:rPr>
              <w:t>277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70"/>
              <w:spacing w:after="0"/>
              <w:rPr>
                <w:sz w:val="20"/>
                <w:szCs w:val="20"/>
                <w:color w:val="auto"/>
              </w:rPr>
            </w:pPr>
            <w:r>
              <w:rPr>
                <w:rFonts w:ascii="Arial" w:cs="Arial" w:eastAsia="Arial" w:hAnsi="Arial"/>
                <w:sz w:val="10"/>
                <w:szCs w:val="10"/>
                <w:color w:val="auto"/>
              </w:rPr>
              <w:t>38,893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(277)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43,801</w:t>
            </w:r>
          </w:p>
        </w:tc>
      </w:tr>
      <w:tr>
        <w:trPr>
          <w:trHeight w:val="216"/>
        </w:trPr>
        <w:tc>
          <w:tcPr>
            <w:tcW w:w="18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(1,075)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(38,082)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(39,156)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(4,412)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(28,841)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(33,323)</w:t>
            </w:r>
          </w:p>
        </w:tc>
      </w:tr>
      <w:tr>
        <w:trPr>
          <w:trHeight w:val="216"/>
        </w:trPr>
        <w:tc>
          <w:tcPr>
            <w:tcW w:w="18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(190)</w:t>
            </w:r>
          </w:p>
        </w:tc>
      </w:tr>
      <w:tr>
        <w:trPr>
          <w:trHeight w:val="259"/>
        </w:trPr>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2"/>
                <w:szCs w:val="22"/>
                <w:color w:val="auto"/>
              </w:rPr>
            </w:pPr>
          </w:p>
        </w:tc>
        <w:tc>
          <w:tcPr>
            <w:tcW w:w="460" w:type="dxa"/>
            <w:vAlign w:val="bottom"/>
          </w:tcPr>
          <w:p>
            <w:pPr>
              <w:jc w:val="right"/>
              <w:ind w:right="90"/>
              <w:spacing w:after="0"/>
              <w:rPr>
                <w:sz w:val="20"/>
                <w:szCs w:val="20"/>
                <w:color w:val="auto"/>
              </w:rPr>
            </w:pPr>
            <w:r>
              <w:rPr>
                <w:rFonts w:ascii="Arial" w:cs="Arial" w:eastAsia="Arial" w:hAnsi="Arial"/>
                <w:sz w:val="10"/>
                <w:szCs w:val="10"/>
                <w:color w:val="auto"/>
              </w:rPr>
              <w:t>1,150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(693)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457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720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ind w:right="70"/>
              <w:spacing w:after="0"/>
              <w:rPr>
                <w:sz w:val="20"/>
                <w:szCs w:val="20"/>
                <w:color w:val="auto"/>
              </w:rPr>
            </w:pPr>
            <w:r>
              <w:rPr>
                <w:rFonts w:ascii="Arial" w:cs="Arial" w:eastAsia="Arial" w:hAnsi="Arial"/>
                <w:sz w:val="10"/>
                <w:szCs w:val="10"/>
                <w:color w:val="auto"/>
              </w:rPr>
              <w:t>2,750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70"/>
              <w:spacing w:after="0"/>
              <w:rPr>
                <w:sz w:val="20"/>
                <w:szCs w:val="20"/>
                <w:color w:val="auto"/>
              </w:rPr>
            </w:pPr>
            <w:r>
              <w:rPr>
                <w:rFonts w:ascii="Arial" w:cs="Arial" w:eastAsia="Arial" w:hAnsi="Arial"/>
                <w:sz w:val="10"/>
                <w:szCs w:val="10"/>
                <w:color w:val="auto"/>
              </w:rPr>
              <w:t>492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(1,100)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2,862</w:t>
            </w:r>
          </w:p>
        </w:tc>
      </w:tr>
      <w:tr>
        <w:trPr>
          <w:trHeight w:val="216"/>
        </w:trPr>
        <w:tc>
          <w:tcPr>
            <w:tcW w:w="18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(2,199)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Arial" w:cs="Arial" w:eastAsia="Arial" w:hAnsi="Arial"/>
                <w:sz w:val="10"/>
                <w:szCs w:val="10"/>
                <w:color w:val="auto"/>
              </w:rPr>
              <w:t>(63)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(491)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403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(2,350)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(2,151)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(434)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375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(2,242)</w:t>
            </w:r>
          </w:p>
        </w:tc>
      </w:tr>
      <w:tr>
        <w:trPr>
          <w:trHeight w:val="222"/>
        </w:trPr>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(161)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(116)</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(253)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(514)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(146)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(640)</w:t>
            </w:r>
          </w:p>
        </w:tc>
      </w:tr>
      <w:tr>
        <w:trPr>
          <w:trHeight w:val="189"/>
        </w:trPr>
        <w:tc>
          <w:tcPr>
            <w:tcW w:w="180" w:type="dxa"/>
            <w:vAlign w:val="bottom"/>
          </w:tcPr>
          <w:p>
            <w:pPr>
              <w:spacing w:after="0"/>
              <w:rPr>
                <w:sz w:val="16"/>
                <w:szCs w:val="16"/>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(2,088)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ind w:right="90"/>
              <w:spacing w:after="0"/>
              <w:rPr>
                <w:sz w:val="20"/>
                <w:szCs w:val="20"/>
                <w:color w:val="auto"/>
              </w:rPr>
            </w:pPr>
            <w:r>
              <w:rPr>
                <w:rFonts w:ascii="Arial" w:cs="Arial" w:eastAsia="Arial" w:hAnsi="Arial"/>
                <w:sz w:val="10"/>
                <w:szCs w:val="10"/>
                <w:color w:val="auto"/>
              </w:rPr>
              <w:t>1,084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(3,458)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(216)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(4,677)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(1,487)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ind w:right="70"/>
              <w:spacing w:after="0"/>
              <w:rPr>
                <w:sz w:val="20"/>
                <w:szCs w:val="20"/>
                <w:color w:val="auto"/>
              </w:rPr>
            </w:pPr>
            <w:r>
              <w:rPr>
                <w:rFonts w:ascii="Arial" w:cs="Arial" w:eastAsia="Arial" w:hAnsi="Arial"/>
                <w:sz w:val="10"/>
                <w:szCs w:val="10"/>
                <w:color w:val="auto"/>
              </w:rPr>
              <w:t>2,997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70"/>
              <w:spacing w:after="0"/>
              <w:rPr>
                <w:sz w:val="20"/>
                <w:szCs w:val="20"/>
                <w:color w:val="auto"/>
              </w:rPr>
            </w:pPr>
            <w:r>
              <w:rPr>
                <w:rFonts w:ascii="Arial" w:cs="Arial" w:eastAsia="Arial" w:hAnsi="Arial"/>
                <w:sz w:val="10"/>
                <w:szCs w:val="10"/>
                <w:color w:val="auto"/>
              </w:rPr>
              <w:t>11,088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(1,144)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11,454</w:t>
            </w:r>
          </w:p>
        </w:tc>
      </w:tr>
      <w:tr>
        <w:trPr>
          <w:trHeight w:val="265"/>
        </w:trPr>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(231)</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(68)</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(299)</w:t>
            </w:r>
          </w:p>
        </w:tc>
      </w:tr>
      <w:tr>
        <w:trPr>
          <w:trHeight w:val="232"/>
        </w:trPr>
        <w:tc>
          <w:tcPr>
            <w:tcW w:w="1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0"/>
                <w:szCs w:val="10"/>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0"/>
                <w:szCs w:val="10"/>
                <w:color w:val="auto"/>
              </w:rPr>
              <w:t>(341)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0"/>
                <w:szCs w:val="10"/>
                <w:color w:val="auto"/>
              </w:rPr>
              <w:t>(553)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2,504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jc w:val="right"/>
              <w:ind w:right="70"/>
              <w:spacing w:after="0"/>
              <w:rPr>
                <w:sz w:val="20"/>
                <w:szCs w:val="20"/>
                <w:color w:val="auto"/>
              </w:rPr>
            </w:pPr>
            <w:r>
              <w:rPr>
                <w:rFonts w:ascii="Arial" w:cs="Arial" w:eastAsia="Arial" w:hAnsi="Arial"/>
                <w:sz w:val="10"/>
                <w:szCs w:val="10"/>
                <w:color w:val="auto"/>
              </w:rPr>
              <w:t>2,268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0"/>
                <w:szCs w:val="10"/>
                <w:color w:val="auto"/>
              </w:rPr>
              <w:t>876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5,648</w:t>
            </w:r>
          </w:p>
        </w:tc>
      </w:tr>
      <w:tr>
        <w:trPr>
          <w:trHeight w:val="222"/>
        </w:trPr>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13,762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2,291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7,443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23,496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11,258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6,567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17,848</w:t>
            </w:r>
          </w:p>
        </w:tc>
      </w:tr>
      <w:tr>
        <w:trPr>
          <w:trHeight w:val="185"/>
        </w:trPr>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90"/>
              <w:spacing w:after="0"/>
              <w:rPr>
                <w:sz w:val="20"/>
                <w:szCs w:val="20"/>
                <w:color w:val="auto"/>
              </w:rPr>
            </w:pPr>
            <w:r>
              <w:rPr>
                <w:rFonts w:ascii="Arial" w:cs="Arial" w:eastAsia="Arial" w:hAnsi="Arial"/>
                <w:sz w:val="10"/>
                <w:szCs w:val="10"/>
                <w:color w:val="auto"/>
              </w:rPr>
              <w:t>13,487</w:t>
            </w:r>
          </w:p>
        </w:tc>
        <w:tc>
          <w:tcPr>
            <w:tcW w:w="100" w:type="dxa"/>
            <w:vAlign w:val="bottom"/>
          </w:tcPr>
          <w:p>
            <w:pPr>
              <w:spacing w:after="0"/>
              <w:rPr>
                <w:sz w:val="16"/>
                <w:szCs w:val="16"/>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90"/>
              <w:spacing w:after="0"/>
              <w:rPr>
                <w:sz w:val="20"/>
                <w:szCs w:val="20"/>
                <w:color w:val="auto"/>
              </w:rPr>
            </w:pPr>
            <w:r>
              <w:rPr>
                <w:rFonts w:ascii="Arial" w:cs="Arial" w:eastAsia="Arial" w:hAnsi="Arial"/>
                <w:sz w:val="10"/>
                <w:szCs w:val="10"/>
                <w:color w:val="auto"/>
              </w:rPr>
              <w:t>2,355</w:t>
            </w:r>
          </w:p>
        </w:tc>
        <w:tc>
          <w:tcPr>
            <w:tcW w:w="100" w:type="dxa"/>
            <w:vAlign w:val="bottom"/>
          </w:tcPr>
          <w:p>
            <w:pPr>
              <w:spacing w:after="0"/>
              <w:rPr>
                <w:sz w:val="16"/>
                <w:szCs w:val="16"/>
                <w:color w:val="auto"/>
              </w:rPr>
            </w:pPr>
          </w:p>
        </w:tc>
        <w:tc>
          <w:tcPr>
            <w:tcW w:w="16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0"/>
              <w:spacing w:after="0"/>
              <w:rPr>
                <w:sz w:val="20"/>
                <w:szCs w:val="20"/>
                <w:color w:val="auto"/>
              </w:rPr>
            </w:pPr>
            <w:r>
              <w:rPr>
                <w:rFonts w:ascii="Arial" w:cs="Arial" w:eastAsia="Arial" w:hAnsi="Arial"/>
                <w:sz w:val="10"/>
                <w:szCs w:val="10"/>
                <w:color w:val="auto"/>
              </w:rPr>
              <w:t>7,102</w:t>
            </w:r>
          </w:p>
        </w:tc>
        <w:tc>
          <w:tcPr>
            <w:tcW w:w="120" w:type="dxa"/>
            <w:vAlign w:val="bottom"/>
          </w:tcPr>
          <w:p>
            <w:pPr>
              <w:spacing w:after="0"/>
              <w:rPr>
                <w:sz w:val="16"/>
                <w:szCs w:val="16"/>
                <w:color w:val="auto"/>
              </w:rPr>
            </w:pPr>
          </w:p>
        </w:tc>
        <w:tc>
          <w:tcPr>
            <w:tcW w:w="420" w:type="dxa"/>
            <w:vAlign w:val="bottom"/>
          </w:tcPr>
          <w:p>
            <w:pPr>
              <w:jc w:val="right"/>
              <w:ind w:right="29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22,943</w:t>
            </w:r>
          </w:p>
        </w:tc>
        <w:tc>
          <w:tcPr>
            <w:tcW w:w="100" w:type="dxa"/>
            <w:vAlign w:val="bottom"/>
          </w:tcPr>
          <w:p>
            <w:pPr>
              <w:spacing w:after="0"/>
              <w:rPr>
                <w:sz w:val="16"/>
                <w:szCs w:val="16"/>
                <w:color w:val="auto"/>
              </w:rPr>
            </w:pPr>
          </w:p>
        </w:tc>
        <w:tc>
          <w:tcPr>
            <w:tcW w:w="16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13,762</w:t>
            </w:r>
          </w:p>
        </w:tc>
        <w:tc>
          <w:tcPr>
            <w:tcW w:w="100" w:type="dxa"/>
            <w:vAlign w:val="bottom"/>
          </w:tcPr>
          <w:p>
            <w:pPr>
              <w:spacing w:after="0"/>
              <w:rPr>
                <w:sz w:val="16"/>
                <w:szCs w:val="16"/>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70"/>
              <w:spacing w:after="0"/>
              <w:rPr>
                <w:sz w:val="20"/>
                <w:szCs w:val="20"/>
                <w:color w:val="auto"/>
              </w:rPr>
            </w:pPr>
            <w:r>
              <w:rPr>
                <w:rFonts w:ascii="Arial" w:cs="Arial" w:eastAsia="Arial" w:hAnsi="Arial"/>
                <w:sz w:val="10"/>
                <w:szCs w:val="10"/>
                <w:color w:val="auto"/>
              </w:rPr>
              <w:t>2,291</w:t>
            </w:r>
          </w:p>
        </w:tc>
        <w:tc>
          <w:tcPr>
            <w:tcW w:w="100" w:type="dxa"/>
            <w:vAlign w:val="bottom"/>
          </w:tcPr>
          <w:p>
            <w:pPr>
              <w:spacing w:after="0"/>
              <w:rPr>
                <w:sz w:val="16"/>
                <w:szCs w:val="16"/>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0"/>
              <w:spacing w:after="0"/>
              <w:rPr>
                <w:sz w:val="20"/>
                <w:szCs w:val="20"/>
                <w:color w:val="auto"/>
              </w:rPr>
            </w:pPr>
            <w:r>
              <w:rPr>
                <w:rFonts w:ascii="Arial" w:cs="Arial" w:eastAsia="Arial" w:hAnsi="Arial"/>
                <w:sz w:val="10"/>
                <w:szCs w:val="10"/>
                <w:color w:val="auto"/>
              </w:rPr>
              <w:t>7,443</w:t>
            </w:r>
          </w:p>
        </w:tc>
        <w:tc>
          <w:tcPr>
            <w:tcW w:w="100" w:type="dxa"/>
            <w:vAlign w:val="bottom"/>
          </w:tcPr>
          <w:p>
            <w:pPr>
              <w:spacing w:after="0"/>
              <w:rPr>
                <w:sz w:val="16"/>
                <w:szCs w:val="16"/>
                <w:color w:val="auto"/>
              </w:rPr>
            </w:pPr>
          </w:p>
        </w:tc>
        <w:tc>
          <w:tcPr>
            <w:tcW w:w="36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23,496</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90"/>
              <w:spacing w:after="0"/>
              <w:rPr>
                <w:sz w:val="20"/>
                <w:szCs w:val="20"/>
                <w:color w:val="auto"/>
              </w:rPr>
            </w:pPr>
            <w:r>
              <w:rPr>
                <w:rFonts w:ascii="Arial" w:cs="Arial" w:eastAsia="Arial" w:hAnsi="Arial"/>
                <w:sz w:val="10"/>
                <w:szCs w:val="10"/>
                <w:color w:val="auto"/>
              </w:rPr>
              <w:t>13,487</w:t>
            </w:r>
          </w:p>
        </w:tc>
        <w:tc>
          <w:tcPr>
            <w:tcW w:w="100" w:type="dxa"/>
            <w:vAlign w:val="bottom"/>
          </w:tcPr>
          <w:p>
            <w:pPr>
              <w:spacing w:after="0"/>
              <w:rPr>
                <w:sz w:val="17"/>
                <w:szCs w:val="17"/>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90"/>
              <w:spacing w:after="0"/>
              <w:rPr>
                <w:sz w:val="20"/>
                <w:szCs w:val="20"/>
                <w:color w:val="auto"/>
              </w:rPr>
            </w:pPr>
            <w:r>
              <w:rPr>
                <w:rFonts w:ascii="Arial" w:cs="Arial" w:eastAsia="Arial" w:hAnsi="Arial"/>
                <w:sz w:val="10"/>
                <w:szCs w:val="10"/>
                <w:color w:val="auto"/>
              </w:rPr>
              <w:t>2,355</w:t>
            </w:r>
          </w:p>
        </w:tc>
        <w:tc>
          <w:tcPr>
            <w:tcW w:w="100" w:type="dxa"/>
            <w:vAlign w:val="bottom"/>
          </w:tcPr>
          <w:p>
            <w:pPr>
              <w:spacing w:after="0"/>
              <w:rPr>
                <w:sz w:val="17"/>
                <w:szCs w:val="17"/>
                <w:color w:val="auto"/>
              </w:rPr>
            </w:pPr>
          </w:p>
        </w:tc>
        <w:tc>
          <w:tcPr>
            <w:tcW w:w="16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0"/>
              <w:spacing w:after="0"/>
              <w:rPr>
                <w:sz w:val="20"/>
                <w:szCs w:val="20"/>
                <w:color w:val="auto"/>
              </w:rPr>
            </w:pPr>
            <w:r>
              <w:rPr>
                <w:rFonts w:ascii="Arial" w:cs="Arial" w:eastAsia="Arial" w:hAnsi="Arial"/>
                <w:sz w:val="10"/>
                <w:szCs w:val="10"/>
                <w:color w:val="auto"/>
              </w:rPr>
              <w:t>7,102</w:t>
            </w:r>
          </w:p>
        </w:tc>
        <w:tc>
          <w:tcPr>
            <w:tcW w:w="120" w:type="dxa"/>
            <w:vAlign w:val="bottom"/>
          </w:tcPr>
          <w:p>
            <w:pPr>
              <w:spacing w:after="0"/>
              <w:rPr>
                <w:sz w:val="17"/>
                <w:szCs w:val="17"/>
                <w:color w:val="auto"/>
              </w:rPr>
            </w:pPr>
          </w:p>
        </w:tc>
        <w:tc>
          <w:tcPr>
            <w:tcW w:w="420" w:type="dxa"/>
            <w:vAlign w:val="bottom"/>
          </w:tcPr>
          <w:p>
            <w:pPr>
              <w:jc w:val="right"/>
              <w:ind w:right="29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22,943</w:t>
            </w:r>
          </w:p>
        </w:tc>
        <w:tc>
          <w:tcPr>
            <w:tcW w:w="100" w:type="dxa"/>
            <w:vAlign w:val="bottom"/>
          </w:tcPr>
          <w:p>
            <w:pPr>
              <w:spacing w:after="0"/>
              <w:rPr>
                <w:sz w:val="17"/>
                <w:szCs w:val="17"/>
                <w:color w:val="auto"/>
              </w:rPr>
            </w:pPr>
          </w:p>
        </w:tc>
        <w:tc>
          <w:tcPr>
            <w:tcW w:w="16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13,762</w:t>
            </w:r>
          </w:p>
        </w:tc>
        <w:tc>
          <w:tcPr>
            <w:tcW w:w="100" w:type="dxa"/>
            <w:vAlign w:val="bottom"/>
          </w:tcPr>
          <w:p>
            <w:pPr>
              <w:spacing w:after="0"/>
              <w:rPr>
                <w:sz w:val="17"/>
                <w:szCs w:val="17"/>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70"/>
              <w:spacing w:after="0"/>
              <w:rPr>
                <w:sz w:val="20"/>
                <w:szCs w:val="20"/>
                <w:color w:val="auto"/>
              </w:rPr>
            </w:pPr>
            <w:r>
              <w:rPr>
                <w:rFonts w:ascii="Arial" w:cs="Arial" w:eastAsia="Arial" w:hAnsi="Arial"/>
                <w:sz w:val="10"/>
                <w:szCs w:val="10"/>
                <w:color w:val="auto"/>
              </w:rPr>
              <w:t>2,291</w:t>
            </w:r>
          </w:p>
        </w:tc>
        <w:tc>
          <w:tcPr>
            <w:tcW w:w="100" w:type="dxa"/>
            <w:vAlign w:val="bottom"/>
          </w:tcPr>
          <w:p>
            <w:pPr>
              <w:spacing w:after="0"/>
              <w:rPr>
                <w:sz w:val="17"/>
                <w:szCs w:val="17"/>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0"/>
              <w:spacing w:after="0"/>
              <w:rPr>
                <w:sz w:val="20"/>
                <w:szCs w:val="20"/>
                <w:color w:val="auto"/>
              </w:rPr>
            </w:pPr>
            <w:r>
              <w:rPr>
                <w:rFonts w:ascii="Arial" w:cs="Arial" w:eastAsia="Arial" w:hAnsi="Arial"/>
                <w:sz w:val="10"/>
                <w:szCs w:val="10"/>
                <w:color w:val="auto"/>
              </w:rPr>
              <w:t>7,443</w:t>
            </w:r>
          </w:p>
        </w:tc>
        <w:tc>
          <w:tcPr>
            <w:tcW w:w="100" w:type="dxa"/>
            <w:vAlign w:val="bottom"/>
          </w:tcPr>
          <w:p>
            <w:pPr>
              <w:spacing w:after="0"/>
              <w:rPr>
                <w:sz w:val="17"/>
                <w:szCs w:val="17"/>
                <w:color w:val="auto"/>
              </w:rPr>
            </w:pPr>
          </w:p>
        </w:tc>
        <w:tc>
          <w:tcPr>
            <w:tcW w:w="36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23,496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-1605915</wp:posOffset>
            </wp:positionV>
            <wp:extent cx="72675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-1332230</wp:posOffset>
            </wp:positionV>
            <wp:extent cx="7267575" cy="164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16446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-1031240</wp:posOffset>
            </wp:positionV>
            <wp:extent cx="72675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-757555</wp:posOffset>
            </wp:positionV>
            <wp:extent cx="7267575" cy="164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16446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-429260</wp:posOffset>
            </wp:positionV>
            <wp:extent cx="726757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-155575</wp:posOffset>
            </wp:positionV>
            <wp:extent cx="7267575" cy="164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16446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3020" w:space="80"/>
            <w:col w:w="8360"/>
          </w:cols>
          <w:pgMar w:left="220" w:top="297" w:right="219" w:bottom="1440" w:gutter="0" w:footer="0" w:header="0"/>
          <w:type w:val="continuous"/>
        </w:sectPr>
      </w:pPr>
    </w:p>
    <w:p>
      <w:pPr>
        <w:ind w:left="260" w:hanging="254"/>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Includes reclassifications of $663 million and $2.6 billion in the years ended December 31, 2019 and 2018 for purchases/collections of wholesale finance receivables resulting from vehicles sold by GM to dealers that have arranged their inventory floor plan financing through GM Financial.</w:t>
      </w:r>
    </w:p>
    <w:p>
      <w:pPr>
        <w:spacing w:after="0" w:line="4" w:lineRule="exact"/>
        <w:rPr>
          <w:rFonts w:ascii="Arial" w:cs="Arial" w:eastAsia="Arial" w:hAnsi="Arial"/>
          <w:sz w:val="8"/>
          <w:szCs w:val="8"/>
          <w:color w:val="auto"/>
        </w:rPr>
      </w:pPr>
    </w:p>
    <w:p>
      <w:pPr>
        <w:ind w:left="260" w:hanging="254"/>
        <w:spacing w:after="0" w:line="253" w:lineRule="auto"/>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Eliminations include $790 million and $611 million in Purchases of finance receivables, net in the years ended December 31, 2019 and 2018 and $858 million and $309 million in Principal collections and recoveries on finance receivables in the years ended December 31, 2019 and 2018 primarily related to the re-timing of cash receipts and payments between Automotive and GM Financial.</w:t>
      </w:r>
    </w:p>
    <w:p>
      <w:pPr>
        <w:ind w:left="260" w:hanging="254"/>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Eliminations include dividends issued by GM Financial to Automotive.</w:t>
      </w:r>
    </w:p>
    <w:p>
      <w:pPr>
        <w:spacing w:after="0" w:line="4" w:lineRule="exact"/>
        <w:rPr>
          <w:rFonts w:ascii="Arial" w:cs="Arial" w:eastAsia="Arial" w:hAnsi="Arial"/>
          <w:sz w:val="8"/>
          <w:szCs w:val="8"/>
          <w:color w:val="auto"/>
        </w:rPr>
      </w:pPr>
    </w:p>
    <w:p>
      <w:pPr>
        <w:ind w:left="260" w:hanging="254"/>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Reclassifications include $90 million in the year ended December 31, 2018 for Cruise's investment in GM common stock.</w:t>
      </w:r>
    </w:p>
    <w:p>
      <w:pPr>
        <w:spacing w:after="0" w:line="4" w:lineRule="exact"/>
        <w:rPr>
          <w:rFonts w:ascii="Arial" w:cs="Arial" w:eastAsia="Arial" w:hAnsi="Arial"/>
          <w:sz w:val="8"/>
          <w:szCs w:val="8"/>
          <w:color w:val="auto"/>
        </w:rPr>
      </w:pPr>
    </w:p>
    <w:p>
      <w:pPr>
        <w:ind w:left="260" w:hanging="254"/>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Eliminations include $680 million and $1.4 billion in the years ended December 31, 2019 and 2018 primarily for Automotive cash injections in Cruise, inclusive of our investments of $687 million and $1.1 billion in Cruise Preferred Shares in the years ended December 31, 2019 and 2018.</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sectPr>
      <w:pgSz w:w="11900" w:h="16838" w:orient="portrait"/>
      <w:cols w:equalWidth="0" w:num="1">
        <w:col w:w="11460"/>
      </w:cols>
      <w:pgMar w:left="220" w:top="297"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2020-02-05T08:28:26Z</dcterms:created>
  <dcterms:modified xsi:type="dcterms:W3CDTF">2020-02-05T08:28:26Z</dcterms:modified>
</cp:coreProperties>
</file>