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001-34960</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148"/>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32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48265-3000</w:t>
            </w:r>
          </w:p>
        </w:tc>
      </w:tr>
      <w:tr>
        <w:trPr>
          <w:trHeight w:val="190"/>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 2.03 below.</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On April 5, 2022, General Motors Company (“GM”) entered into a Fourth Amended and Restated 364-Day Revolving Credit Agreement with JPMorgan Chase Bank, N.A., as administrative agent, Citibank, N.A., as syndication agent, Bank of America, N.A., as co-syndication agent, and the lenders named therein (the “Facility”). The Facility is unsecured and consists of a 364-day, $2.0 billion facility and matures on April 4, 2023.</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Facility is available to GM as well as certain of its wholly owned subsidiaries. However, GM has allocated the Facility for exclusive use by General Motors Financial Company, Inc. The Facility allows for borrowing in U.S. Dollars only.</w:t>
      </w:r>
    </w:p>
    <w:p>
      <w:pPr>
        <w:spacing w:after="0" w:line="162"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GM has guaranteed the obligations of subsidiary borrowers under the Facility. Consistent with the terms of GM’s current revolving credit facilities, if GM fails to maintain an investment grade corporate rating from two or more of the following credit rating agencies: Fitch Ratings, Moody’s Investor Service and Standard &amp; Poor’s, GM will be required to cause certain of its domestic subsidiaries to guarantee its obligations under the terms of the Facility.</w:t>
      </w:r>
    </w:p>
    <w:p>
      <w:pPr>
        <w:spacing w:after="0" w:line="180" w:lineRule="exact"/>
        <w:rPr>
          <w:sz w:val="20"/>
          <w:szCs w:val="20"/>
          <w:color w:val="auto"/>
        </w:rPr>
      </w:pPr>
    </w:p>
    <w:p>
      <w:pPr>
        <w:jc w:val="both"/>
        <w:ind w:left="4" w:right="400"/>
        <w:spacing w:after="0" w:line="266" w:lineRule="auto"/>
        <w:rPr>
          <w:sz w:val="20"/>
          <w:szCs w:val="20"/>
          <w:color w:val="auto"/>
        </w:rPr>
      </w:pPr>
      <w:r>
        <w:rPr>
          <w:rFonts w:ascii="Times New Roman" w:cs="Times New Roman" w:eastAsia="Times New Roman" w:hAnsi="Times New Roman"/>
          <w:sz w:val="18"/>
          <w:szCs w:val="18"/>
          <w:color w:val="auto"/>
        </w:rPr>
        <w:t>Interest rates on obligations under the Facility are based on prevailing annual interest rates for loans bearing interest at the Term SOFR Rate or an alternative base rate, both subject to an applicable margin. This applicable margin will be based upon the credit rating assigned to the Facility or to senior, unsecured long-term indebtedness of GM.</w:t>
      </w:r>
    </w:p>
    <w:p>
      <w:pPr>
        <w:spacing w:after="0" w:line="176"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The Facility contains representations, warranties and covenants that are typical for this type of facility. These covenants include restrictions on mergers or sales of assets and secured debt borrowings, subject to exceptions and limitations. The Facility also requires that GM maintain at least $4.0 billion in global liquidity and at least $2.0 billion in U.S. liquidity.</w:t>
      </w:r>
    </w:p>
    <w:p>
      <w:pPr>
        <w:spacing w:after="0" w:line="176" w:lineRule="exact"/>
        <w:rPr>
          <w:sz w:val="20"/>
          <w:szCs w:val="20"/>
          <w:color w:val="auto"/>
        </w:rPr>
      </w:pPr>
    </w:p>
    <w:p>
      <w:pPr>
        <w:jc w:val="both"/>
        <w:ind w:left="4" w:right="40"/>
        <w:spacing w:after="0" w:line="312" w:lineRule="auto"/>
        <w:rPr>
          <w:sz w:val="20"/>
          <w:szCs w:val="20"/>
          <w:color w:val="auto"/>
        </w:rPr>
      </w:pPr>
      <w:r>
        <w:rPr>
          <w:rFonts w:ascii="Times New Roman" w:cs="Times New Roman" w:eastAsia="Times New Roman" w:hAnsi="Times New Roman"/>
          <w:sz w:val="17"/>
          <w:szCs w:val="17"/>
          <w:color w:val="auto"/>
        </w:rPr>
        <w:t>Certain of the lenders under the Facility and/or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40"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constitute a complete summary of the Facility and is qualified in its entirety by reference to the text of the Facility filed herewith.</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ind w:left="24"/>
        <w:spacing w:after="0"/>
        <w:tabs>
          <w:tab w:leader="none" w:pos="764"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jc w:val="both"/>
        <w:ind w:left="784" w:right="20" w:hanging="782"/>
        <w:spacing w:after="0" w:line="266" w:lineRule="auto"/>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4">
        <w:r>
          <w:rPr>
            <w:rFonts w:ascii="Times New Roman" w:cs="Times New Roman" w:eastAsia="Times New Roman" w:hAnsi="Times New Roman"/>
            <w:sz w:val="18"/>
            <w:szCs w:val="18"/>
            <w:u w:val="single" w:color="auto"/>
            <w:color w:val="0000EE"/>
          </w:rPr>
          <w:t>Fourth Amended and Restated 364-Day Revolving Credit Agreement among General Motors Company, General Motors Financial Company,</w:t>
        </w:r>
      </w:hyperlink>
      <w:r>
        <w:rPr>
          <w:rFonts w:ascii="Times New Roman" w:cs="Times New Roman" w:eastAsia="Times New Roman" w:hAnsi="Times New Roman"/>
          <w:sz w:val="18"/>
          <w:szCs w:val="18"/>
          <w:u w:val="single" w:color="auto"/>
          <w:color w:val="0000EE"/>
        </w:rPr>
        <w:t xml:space="preserve"> </w:t>
      </w:r>
      <w:hyperlink w:anchor="page4">
        <w:r>
          <w:rPr>
            <w:rFonts w:ascii="Times New Roman" w:cs="Times New Roman" w:eastAsia="Times New Roman" w:hAnsi="Times New Roman"/>
            <w:sz w:val="18"/>
            <w:szCs w:val="18"/>
            <w:u w:val="single" w:color="auto"/>
            <w:color w:val="0000EE"/>
          </w:rPr>
          <w:t>Inc., the subsidiary borrowers from time to time parties thereto, the several lenders from time to time parties thereto, JPMorgan Chase Bank,</w:t>
        </w:r>
      </w:hyperlink>
      <w:r>
        <w:rPr>
          <w:rFonts w:ascii="Times New Roman" w:cs="Times New Roman" w:eastAsia="Times New Roman" w:hAnsi="Times New Roman"/>
          <w:sz w:val="18"/>
          <w:szCs w:val="18"/>
          <w:u w:val="single" w:color="auto"/>
          <w:color w:val="0000EE"/>
        </w:rPr>
        <w:t xml:space="preserve"> </w:t>
      </w:r>
      <w:hyperlink w:anchor="page4">
        <w:r>
          <w:rPr>
            <w:rFonts w:ascii="Times New Roman" w:cs="Times New Roman" w:eastAsia="Times New Roman" w:hAnsi="Times New Roman"/>
            <w:sz w:val="18"/>
            <w:szCs w:val="18"/>
            <w:u w:val="single" w:color="auto"/>
            <w:color w:val="0000EE"/>
          </w:rPr>
          <w:t>N.A., as administrative agent, Citibank, N.A., as syndication agent, and Bank of America, N.A., as co-syndication agent</w:t>
        </w:r>
      </w:hyperlink>
    </w:p>
    <w:p>
      <w:pPr>
        <w:spacing w:after="0" w:line="68" w:lineRule="exact"/>
        <w:rPr>
          <w:rFonts w:ascii="Times New Roman" w:cs="Times New Roman" w:eastAsia="Times New Roman" w:hAnsi="Times New Roman"/>
          <w:sz w:val="18"/>
          <w:szCs w:val="18"/>
          <w:u w:val="single" w:color="auto"/>
          <w:color w:val="0000EE"/>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u w:val="single" w:color="auto"/>
          <w:color w:val="0000EE"/>
        </w:rPr>
      </w:pPr>
    </w:p>
    <w:p>
      <w:pPr>
        <w:ind w:left="224" w:right="12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0964"/>
          </w:cols>
          <w:pgMar w:left="436"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70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5, 2022</w:t>
            </w: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 Kim</w:t>
            </w:r>
          </w:p>
        </w:tc>
      </w:tr>
      <w:tr>
        <w:trPr>
          <w:trHeight w:val="205"/>
        </w:trPr>
        <w:tc>
          <w:tcPr>
            <w:tcW w:w="3240" w:type="dxa"/>
            <w:vAlign w:val="bottom"/>
          </w:tcPr>
          <w:p>
            <w:pPr>
              <w:spacing w:after="0"/>
              <w:rPr>
                <w:sz w:val="17"/>
                <w:szCs w:val="17"/>
                <w:color w:val="auto"/>
              </w:rPr>
            </w:pPr>
          </w:p>
        </w:tc>
        <w:tc>
          <w:tcPr>
            <w:tcW w:w="250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24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0320"/>
          </w:cols>
          <w:pgMar w:left="440" w:top="293" w:right="11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ind w:left="3000"/>
        <w:spacing w:after="0" w:line="26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MATERAL AND WOULD LIKELY CAUSE COMPETITIVE HARM TO THE REGISTRANT IF PUBLICLY DISCLOSED. [***] INDICATES THAT INFORMATION HAS BEEN REDACTED.</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FOURTH AMENDED AND RESTATED 364-DAY REVOLVING CREDIT AGREEMENT</w:t>
      </w:r>
    </w:p>
    <w:p>
      <w:pPr>
        <w:spacing w:after="0" w:line="22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20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SUBSIDIARY BORROWERS FROM TIME TO TIME PARTIES HERETO,</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Dated as of April 5, 2022</w:t>
            </w: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6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338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rPr>
              <w:t>CITIBANK, N.A.,</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i w:val="1"/>
                <w:iCs w:val="1"/>
                <w:color w:val="auto"/>
                <w:w w:val="99"/>
              </w:rPr>
              <w:t>as Administrative Agent, Global Coordinator,</w:t>
            </w:r>
          </w:p>
        </w:tc>
        <w:tc>
          <w:tcPr>
            <w:tcW w:w="46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i w:val="1"/>
                <w:iCs w:val="1"/>
                <w:color w:val="auto"/>
                <w:w w:val="99"/>
              </w:rPr>
              <w:t>as Syndication Agent and as Global Coordinator,</w:t>
            </w:r>
          </w:p>
        </w:tc>
        <w:tc>
          <w:tcPr>
            <w:tcW w:w="0" w:type="dxa"/>
            <w:vAlign w:val="bottom"/>
          </w:tcPr>
          <w:p>
            <w:pPr>
              <w:spacing w:after="0"/>
              <w:rPr>
                <w:sz w:val="1"/>
                <w:szCs w:val="1"/>
                <w:color w:val="auto"/>
              </w:rPr>
            </w:pPr>
          </w:p>
        </w:tc>
      </w:tr>
      <w:tr>
        <w:trPr>
          <w:trHeight w:val="236"/>
        </w:trPr>
        <w:tc>
          <w:tcPr>
            <w:tcW w:w="5660" w:type="dxa"/>
            <w:vAlign w:val="bottom"/>
            <w:gridSpan w:val="3"/>
          </w:tcPr>
          <w:p>
            <w:pPr>
              <w:jc w:val="center"/>
              <w:ind w:right="1030"/>
              <w:spacing w:after="0"/>
              <w:rPr>
                <w:sz w:val="20"/>
                <w:szCs w:val="20"/>
                <w:color w:val="auto"/>
              </w:rPr>
            </w:pPr>
            <w:r>
              <w:rPr>
                <w:rFonts w:ascii="Times New Roman" w:cs="Times New Roman" w:eastAsia="Times New Roman" w:hAnsi="Times New Roman"/>
                <w:sz w:val="18"/>
                <w:szCs w:val="18"/>
                <w:i w:val="1"/>
                <w:iCs w:val="1"/>
                <w:color w:val="auto"/>
                <w:w w:val="99"/>
              </w:rPr>
              <w:t>Joint Lead Arranger and Joint Bookrunner</w:t>
            </w:r>
          </w:p>
        </w:tc>
        <w:tc>
          <w:tcPr>
            <w:tcW w:w="46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i w:val="1"/>
                <w:iCs w:val="1"/>
                <w:color w:val="auto"/>
              </w:rPr>
              <w:t>Joint Lead Arranger and Joint Bookrunner</w:t>
            </w:r>
          </w:p>
        </w:tc>
        <w:tc>
          <w:tcPr>
            <w:tcW w:w="0" w:type="dxa"/>
            <w:vAlign w:val="bottom"/>
          </w:tcPr>
          <w:p>
            <w:pPr>
              <w:spacing w:after="0"/>
              <w:rPr>
                <w:sz w:val="1"/>
                <w:szCs w:val="1"/>
                <w:color w:val="auto"/>
              </w:rPr>
            </w:pPr>
          </w:p>
        </w:tc>
      </w:tr>
      <w:tr>
        <w:trPr>
          <w:trHeight w:val="454"/>
        </w:trPr>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THE TORONTO</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38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rPr>
              <w:t>DOMINION BANK, NEW</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2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LLOYDS BANK PLC</w:t>
            </w:r>
            <w:r>
              <w:rPr>
                <w:rFonts w:ascii="Times New Roman" w:cs="Times New Roman" w:eastAsia="Times New Roman" w:hAnsi="Times New Roman"/>
                <w:sz w:val="15"/>
                <w:szCs w:val="15"/>
                <w:color w:val="auto"/>
              </w:rPr>
              <w:t>1,2</w:t>
            </w:r>
          </w:p>
        </w:tc>
        <w:tc>
          <w:tcPr>
            <w:tcW w:w="2340" w:type="dxa"/>
            <w:vAlign w:val="bottom"/>
          </w:tcPr>
          <w:p>
            <w:pPr>
              <w:spacing w:after="0"/>
              <w:rPr>
                <w:sz w:val="21"/>
                <w:szCs w:val="21"/>
                <w:color w:val="auto"/>
              </w:rPr>
            </w:pPr>
          </w:p>
        </w:tc>
        <w:tc>
          <w:tcPr>
            <w:tcW w:w="338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YORK BRANCH</w:t>
            </w:r>
            <w:r>
              <w:rPr>
                <w:rFonts w:ascii="Times New Roman" w:cs="Times New Roman" w:eastAsia="Times New Roman" w:hAnsi="Times New Roman"/>
                <w:sz w:val="15"/>
                <w:szCs w:val="15"/>
                <w:color w:val="auto"/>
                <w:w w:val="99"/>
              </w:rPr>
              <w:t>1,2</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38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i w:val="1"/>
                <w:iCs w:val="1"/>
                <w:color w:val="auto"/>
              </w:rPr>
              <w:t>as North American Regional</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60" w:type="dxa"/>
            <w:vAlign w:val="bottom"/>
            <w:gridSpan w:val="3"/>
          </w:tcPr>
          <w:p>
            <w:pPr>
              <w:jc w:val="center"/>
              <w:ind w:right="1030"/>
              <w:spacing w:after="0"/>
              <w:rPr>
                <w:sz w:val="20"/>
                <w:szCs w:val="20"/>
                <w:color w:val="auto"/>
              </w:rPr>
            </w:pPr>
            <w:r>
              <w:rPr>
                <w:rFonts w:ascii="Times New Roman" w:cs="Times New Roman" w:eastAsia="Times New Roman" w:hAnsi="Times New Roman"/>
                <w:sz w:val="18"/>
                <w:szCs w:val="18"/>
                <w:i w:val="1"/>
                <w:iCs w:val="1"/>
                <w:color w:val="auto"/>
                <w:w w:val="99"/>
              </w:rPr>
              <w:t>as European Regional Coordinator</w:t>
            </w:r>
          </w:p>
        </w:tc>
        <w:tc>
          <w:tcPr>
            <w:tcW w:w="1540" w:type="dxa"/>
            <w:vAlign w:val="bottom"/>
          </w:tcPr>
          <w:p>
            <w:pPr>
              <w:spacing w:after="0"/>
              <w:rPr>
                <w:sz w:val="21"/>
                <w:szCs w:val="21"/>
                <w:color w:val="auto"/>
              </w:rPr>
            </w:pPr>
          </w:p>
        </w:tc>
        <w:tc>
          <w:tcPr>
            <w:tcW w:w="1840" w:type="dxa"/>
            <w:vAlign w:val="bottom"/>
          </w:tcPr>
          <w:p>
            <w:pPr>
              <w:jc w:val="center"/>
              <w:ind w:right="470"/>
              <w:spacing w:after="0"/>
              <w:rPr>
                <w:sz w:val="20"/>
                <w:szCs w:val="20"/>
                <w:color w:val="auto"/>
              </w:rPr>
            </w:pPr>
            <w:r>
              <w:rPr>
                <w:rFonts w:ascii="Times New Roman" w:cs="Times New Roman" w:eastAsia="Times New Roman" w:hAnsi="Times New Roman"/>
                <w:sz w:val="18"/>
                <w:szCs w:val="18"/>
                <w:i w:val="1"/>
                <w:iCs w:val="1"/>
                <w:color w:val="auto"/>
                <w:w w:val="97"/>
              </w:rPr>
              <w:t>Coordinator</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1220" w:type="dxa"/>
            <w:vAlign w:val="bottom"/>
          </w:tcPr>
          <w:p>
            <w:pPr>
              <w:spacing w:after="0"/>
              <w:rPr>
                <w:sz w:val="24"/>
                <w:szCs w:val="24"/>
                <w:color w:val="auto"/>
              </w:rPr>
            </w:pPr>
          </w:p>
        </w:tc>
        <w:tc>
          <w:tcPr>
            <w:tcW w:w="21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BANCO BILBAO</w:t>
            </w: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20" w:type="dxa"/>
            <w:vAlign w:val="bottom"/>
            <w:gridSpan w:val="2"/>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8"/>
              </w:rPr>
              <w:t>CREDIT AGRICOLE</w:t>
            </w:r>
          </w:p>
        </w:tc>
        <w:tc>
          <w:tcPr>
            <w:tcW w:w="0" w:type="dxa"/>
            <w:vAlign w:val="bottom"/>
          </w:tcPr>
          <w:p>
            <w:pPr>
              <w:spacing w:after="0"/>
              <w:rPr>
                <w:sz w:val="1"/>
                <w:szCs w:val="1"/>
                <w:color w:val="auto"/>
              </w:rPr>
            </w:pPr>
          </w:p>
        </w:tc>
      </w:tr>
      <w:tr>
        <w:trPr>
          <w:trHeight w:val="203"/>
        </w:trPr>
        <w:tc>
          <w:tcPr>
            <w:tcW w:w="12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BARCLAYS</w:t>
            </w:r>
          </w:p>
        </w:tc>
        <w:tc>
          <w:tcPr>
            <w:tcW w:w="21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6"/>
              </w:rPr>
              <w:t>VIZCAYA</w:t>
            </w:r>
          </w:p>
        </w:tc>
        <w:tc>
          <w:tcPr>
            <w:tcW w:w="234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COMMERZBANK</w:t>
            </w:r>
          </w:p>
        </w:tc>
        <w:tc>
          <w:tcPr>
            <w:tcW w:w="3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210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8"/>
              </w:rPr>
              <w:t>ARGENTARIA,</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BNP PARIBAS</w:t>
            </w:r>
            <w:r>
              <w:rPr>
                <w:rFonts w:ascii="Times New Roman" w:cs="Times New Roman" w:eastAsia="Times New Roman" w:hAnsi="Times New Roman"/>
                <w:sz w:val="15"/>
                <w:szCs w:val="15"/>
                <w:color w:val="auto"/>
                <w:w w:val="99"/>
              </w:rPr>
              <w:t>1,2</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AG, NEW YORK</w:t>
            </w:r>
          </w:p>
        </w:tc>
        <w:tc>
          <w:tcPr>
            <w:tcW w:w="3120" w:type="dxa"/>
            <w:vAlign w:val="bottom"/>
            <w:gridSpan w:val="2"/>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8"/>
              </w:rPr>
              <w:t>CORPORATE AND</w:t>
            </w:r>
          </w:p>
        </w:tc>
        <w:tc>
          <w:tcPr>
            <w:tcW w:w="0" w:type="dxa"/>
            <w:vAlign w:val="bottom"/>
          </w:tcPr>
          <w:p>
            <w:pPr>
              <w:spacing w:after="0"/>
              <w:rPr>
                <w:sz w:val="1"/>
                <w:szCs w:val="1"/>
                <w:color w:val="auto"/>
              </w:rPr>
            </w:pPr>
          </w:p>
        </w:tc>
      </w:tr>
      <w:tr>
        <w:trPr>
          <w:trHeight w:val="94"/>
        </w:trPr>
        <w:tc>
          <w:tcPr>
            <w:tcW w:w="12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BANK PLC</w:t>
            </w:r>
            <w:r>
              <w:rPr>
                <w:rFonts w:ascii="Times New Roman" w:cs="Times New Roman" w:eastAsia="Times New Roman" w:hAnsi="Times New Roman"/>
                <w:sz w:val="15"/>
                <w:szCs w:val="15"/>
                <w:color w:val="auto"/>
                <w:w w:val="98"/>
              </w:rPr>
              <w:t>1,2</w:t>
            </w:r>
          </w:p>
        </w:tc>
        <w:tc>
          <w:tcPr>
            <w:tcW w:w="2100" w:type="dxa"/>
            <w:vAlign w:val="bottom"/>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3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220" w:type="dxa"/>
            <w:vAlign w:val="bottom"/>
            <w:vMerge w:val="continue"/>
          </w:tcPr>
          <w:p>
            <w:pPr>
              <w:spacing w:after="0"/>
              <w:rPr>
                <w:sz w:val="12"/>
                <w:szCs w:val="12"/>
                <w:color w:val="auto"/>
              </w:rPr>
            </w:pPr>
          </w:p>
        </w:tc>
        <w:tc>
          <w:tcPr>
            <w:tcW w:w="210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S.A. NEW YORK</w:t>
            </w:r>
          </w:p>
        </w:tc>
        <w:tc>
          <w:tcPr>
            <w:tcW w:w="23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BRANCH</w:t>
            </w:r>
            <w:r>
              <w:rPr>
                <w:rFonts w:ascii="Times New Roman" w:cs="Times New Roman" w:eastAsia="Times New Roman" w:hAnsi="Times New Roman"/>
                <w:sz w:val="15"/>
                <w:szCs w:val="15"/>
                <w:color w:val="auto"/>
              </w:rPr>
              <w:t>1,2</w:t>
            </w:r>
          </w:p>
        </w:tc>
        <w:tc>
          <w:tcPr>
            <w:tcW w:w="3120" w:type="dxa"/>
            <w:vAlign w:val="bottom"/>
            <w:gridSpan w:val="2"/>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rPr>
              <w:t>INVESTMENT BANK</w:t>
            </w: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23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1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BRANCH</w:t>
            </w:r>
            <w:r>
              <w:rPr>
                <w:rFonts w:ascii="Times New Roman" w:cs="Times New Roman" w:eastAsia="Times New Roman" w:hAnsi="Times New Roman"/>
                <w:sz w:val="15"/>
                <w:szCs w:val="15"/>
                <w:color w:val="auto"/>
              </w:rPr>
              <w:t>1,2</w:t>
            </w:r>
          </w:p>
        </w:tc>
        <w:tc>
          <w:tcPr>
            <w:tcW w:w="2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DEUTSCHE</w:t>
            </w:r>
          </w:p>
        </w:tc>
        <w:tc>
          <w:tcPr>
            <w:tcW w:w="2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20" w:type="dxa"/>
            <w:vAlign w:val="bottom"/>
            <w:gridSpan w:val="2"/>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MORGAN STANLEY</w:t>
            </w:r>
          </w:p>
        </w:tc>
        <w:tc>
          <w:tcPr>
            <w:tcW w:w="0" w:type="dxa"/>
            <w:vAlign w:val="bottom"/>
          </w:tcPr>
          <w:p>
            <w:pPr>
              <w:spacing w:after="0"/>
              <w:rPr>
                <w:sz w:val="1"/>
                <w:szCs w:val="1"/>
                <w:color w:val="auto"/>
              </w:rPr>
            </w:pPr>
          </w:p>
        </w:tc>
      </w:tr>
      <w:tr>
        <w:trPr>
          <w:trHeight w:val="95"/>
        </w:trPr>
        <w:tc>
          <w:tcPr>
            <w:tcW w:w="12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BANK</w:t>
            </w:r>
          </w:p>
        </w:tc>
        <w:tc>
          <w:tcPr>
            <w:tcW w:w="210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9"/>
              </w:rPr>
              <w:t>GOLDMAN SACHS</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BANK OF AMERICA, N.A.</w:t>
            </w:r>
            <w:r>
              <w:rPr>
                <w:rFonts w:ascii="Times New Roman" w:cs="Times New Roman" w:eastAsia="Times New Roman" w:hAnsi="Times New Roman"/>
                <w:sz w:val="15"/>
                <w:szCs w:val="15"/>
                <w:color w:val="auto"/>
              </w:rPr>
              <w:t>1</w:t>
            </w:r>
          </w:p>
        </w:tc>
        <w:tc>
          <w:tcPr>
            <w:tcW w:w="15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MIZUHO BANK,</w:t>
            </w:r>
          </w:p>
        </w:tc>
        <w:tc>
          <w:tcPr>
            <w:tcW w:w="3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2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3120" w:type="dxa"/>
            <w:vAlign w:val="bottom"/>
            <w:gridSpan w:val="2"/>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SENIOR FUNDING,</w:t>
            </w:r>
          </w:p>
        </w:tc>
        <w:tc>
          <w:tcPr>
            <w:tcW w:w="0" w:type="dxa"/>
            <w:vAlign w:val="bottom"/>
          </w:tcPr>
          <w:p>
            <w:pPr>
              <w:spacing w:after="0"/>
              <w:rPr>
                <w:sz w:val="1"/>
                <w:szCs w:val="1"/>
                <w:color w:val="auto"/>
              </w:rPr>
            </w:pPr>
          </w:p>
        </w:tc>
      </w:tr>
      <w:tr>
        <w:trPr>
          <w:trHeight w:val="97"/>
        </w:trPr>
        <w:tc>
          <w:tcPr>
            <w:tcW w:w="12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SECURITIES</w:t>
            </w:r>
          </w:p>
        </w:tc>
        <w:tc>
          <w:tcPr>
            <w:tcW w:w="210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9"/>
              </w:rPr>
              <w:t>BANK USA</w:t>
            </w:r>
            <w:r>
              <w:rPr>
                <w:rFonts w:ascii="Times New Roman" w:cs="Times New Roman" w:eastAsia="Times New Roman" w:hAnsi="Times New Roman"/>
                <w:sz w:val="15"/>
                <w:szCs w:val="15"/>
                <w:color w:val="auto"/>
                <w:w w:val="99"/>
              </w:rPr>
              <w:t>1,2</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Co-Syndication Agent</w:t>
            </w:r>
          </w:p>
        </w:tc>
        <w:tc>
          <w:tcPr>
            <w:tcW w:w="15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6"/>
              </w:rPr>
              <w:t>LTD.</w:t>
            </w:r>
            <w:r>
              <w:rPr>
                <w:rFonts w:ascii="Times New Roman" w:cs="Times New Roman" w:eastAsia="Times New Roman" w:hAnsi="Times New Roman"/>
                <w:sz w:val="15"/>
                <w:szCs w:val="15"/>
                <w:color w:val="auto"/>
                <w:w w:val="96"/>
              </w:rPr>
              <w:t>1,2</w:t>
            </w:r>
          </w:p>
        </w:tc>
        <w:tc>
          <w:tcPr>
            <w:tcW w:w="3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3120" w:type="dxa"/>
            <w:vAlign w:val="bottom"/>
            <w:gridSpan w:val="2"/>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INC.</w:t>
            </w:r>
            <w:r>
              <w:rPr>
                <w:rFonts w:ascii="Times New Roman" w:cs="Times New Roman" w:eastAsia="Times New Roman" w:hAnsi="Times New Roman"/>
                <w:sz w:val="15"/>
                <w:szCs w:val="15"/>
                <w:color w:val="auto"/>
                <w:w w:val="99"/>
              </w:rPr>
              <w:t>1,2</w:t>
            </w:r>
          </w:p>
        </w:tc>
        <w:tc>
          <w:tcPr>
            <w:tcW w:w="0" w:type="dxa"/>
            <w:vAlign w:val="bottom"/>
          </w:tcPr>
          <w:p>
            <w:pPr>
              <w:spacing w:after="0"/>
              <w:rPr>
                <w:sz w:val="1"/>
                <w:szCs w:val="1"/>
                <w:color w:val="auto"/>
              </w:rPr>
            </w:pPr>
          </w:p>
        </w:tc>
      </w:tr>
      <w:tr>
        <w:trPr>
          <w:trHeight w:val="113"/>
        </w:trPr>
        <w:tc>
          <w:tcPr>
            <w:tcW w:w="12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w:t>
            </w:r>
            <w:r>
              <w:rPr>
                <w:rFonts w:ascii="Times New Roman" w:cs="Times New Roman" w:eastAsia="Times New Roman" w:hAnsi="Times New Roman"/>
                <w:sz w:val="15"/>
                <w:szCs w:val="15"/>
                <w:color w:val="auto"/>
                <w:w w:val="99"/>
              </w:rPr>
              <w:t>1,2</w:t>
            </w:r>
          </w:p>
        </w:tc>
        <w:tc>
          <w:tcPr>
            <w:tcW w:w="2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3320" w:type="dxa"/>
            <w:vAlign w:val="bottom"/>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7"/>
              </w:rPr>
              <w:t>RBC CAPITAL</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SUMITOMO</w:t>
            </w:r>
          </w:p>
        </w:tc>
        <w:tc>
          <w:tcPr>
            <w:tcW w:w="1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BANCO</w:t>
            </w:r>
          </w:p>
        </w:tc>
        <w:tc>
          <w:tcPr>
            <w:tcW w:w="0" w:type="dxa"/>
            <w:vAlign w:val="bottom"/>
          </w:tcPr>
          <w:p>
            <w:pPr>
              <w:spacing w:after="0"/>
              <w:rPr>
                <w:sz w:val="1"/>
                <w:szCs w:val="1"/>
                <w:color w:val="auto"/>
              </w:rPr>
            </w:pPr>
          </w:p>
        </w:tc>
      </w:tr>
      <w:tr>
        <w:trPr>
          <w:trHeight w:val="108"/>
        </w:trPr>
        <w:tc>
          <w:tcPr>
            <w:tcW w:w="3320" w:type="dxa"/>
            <w:vAlign w:val="bottom"/>
            <w:gridSpan w:val="2"/>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BANK</w:t>
            </w:r>
          </w:p>
        </w:tc>
        <w:tc>
          <w:tcPr>
            <w:tcW w:w="12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SANTANDER,</w:t>
            </w:r>
          </w:p>
        </w:tc>
        <w:tc>
          <w:tcPr>
            <w:tcW w:w="0" w:type="dxa"/>
            <w:vAlign w:val="bottom"/>
          </w:tcPr>
          <w:p>
            <w:pPr>
              <w:spacing w:after="0"/>
              <w:rPr>
                <w:sz w:val="1"/>
                <w:szCs w:val="1"/>
                <w:color w:val="auto"/>
              </w:rPr>
            </w:pPr>
          </w:p>
        </w:tc>
      </w:tr>
      <w:tr>
        <w:trPr>
          <w:trHeight w:val="108"/>
        </w:trPr>
        <w:tc>
          <w:tcPr>
            <w:tcW w:w="3320" w:type="dxa"/>
            <w:vAlign w:val="bottom"/>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rPr>
              <w:t>MARKETS</w:t>
            </w:r>
            <w:r>
              <w:rPr>
                <w:rFonts w:ascii="Times New Roman" w:cs="Times New Roman" w:eastAsia="Times New Roman" w:hAnsi="Times New Roman"/>
                <w:sz w:val="15"/>
                <w:szCs w:val="15"/>
                <w:color w:val="auto"/>
              </w:rPr>
              <w:t>1</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MITSUI</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SOCIÉTÉ</w:t>
            </w:r>
          </w:p>
        </w:tc>
        <w:tc>
          <w:tcPr>
            <w:tcW w:w="18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gridSpan w:val="2"/>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OF NOVA</w:t>
            </w:r>
          </w:p>
        </w:tc>
        <w:tc>
          <w:tcPr>
            <w:tcW w:w="12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S.A., NEW</w:t>
            </w:r>
          </w:p>
        </w:tc>
        <w:tc>
          <w:tcPr>
            <w:tcW w:w="0" w:type="dxa"/>
            <w:vAlign w:val="bottom"/>
          </w:tcPr>
          <w:p>
            <w:pPr>
              <w:spacing w:after="0"/>
              <w:rPr>
                <w:sz w:val="1"/>
                <w:szCs w:val="1"/>
                <w:color w:val="auto"/>
              </w:rPr>
            </w:pPr>
          </w:p>
        </w:tc>
      </w:tr>
      <w:tr>
        <w:trPr>
          <w:trHeight w:val="108"/>
        </w:trPr>
        <w:tc>
          <w:tcPr>
            <w:tcW w:w="3320" w:type="dxa"/>
            <w:vAlign w:val="bottom"/>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7"/>
              </w:rPr>
              <w:t>ROYAL BANK OF</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BANKING</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GÉNÉRALE</w:t>
            </w:r>
            <w:r>
              <w:rPr>
                <w:rFonts w:ascii="Times New Roman" w:cs="Times New Roman" w:eastAsia="Times New Roman" w:hAnsi="Times New Roman"/>
                <w:sz w:val="15"/>
                <w:szCs w:val="15"/>
                <w:color w:val="auto"/>
              </w:rPr>
              <w:t>1,2</w:t>
            </w:r>
          </w:p>
        </w:tc>
        <w:tc>
          <w:tcPr>
            <w:tcW w:w="18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gridSpan w:val="2"/>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SCOTIA</w:t>
            </w:r>
            <w:r>
              <w:rPr>
                <w:rFonts w:ascii="Times New Roman" w:cs="Times New Roman" w:eastAsia="Times New Roman" w:hAnsi="Times New Roman"/>
                <w:sz w:val="15"/>
                <w:szCs w:val="15"/>
                <w:color w:val="auto"/>
              </w:rPr>
              <w:t>1,2</w:t>
            </w:r>
          </w:p>
        </w:tc>
        <w:tc>
          <w:tcPr>
            <w:tcW w:w="12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7"/>
              </w:rPr>
              <w:t>YORK</w:t>
            </w:r>
          </w:p>
        </w:tc>
        <w:tc>
          <w:tcPr>
            <w:tcW w:w="0" w:type="dxa"/>
            <w:vAlign w:val="bottom"/>
          </w:tcPr>
          <w:p>
            <w:pPr>
              <w:spacing w:after="0"/>
              <w:rPr>
                <w:sz w:val="1"/>
                <w:szCs w:val="1"/>
                <w:color w:val="auto"/>
              </w:rPr>
            </w:pPr>
          </w:p>
        </w:tc>
      </w:tr>
      <w:tr>
        <w:trPr>
          <w:trHeight w:val="108"/>
        </w:trPr>
        <w:tc>
          <w:tcPr>
            <w:tcW w:w="3320" w:type="dxa"/>
            <w:vAlign w:val="bottom"/>
            <w:gridSpan w:val="2"/>
            <w:vMerge w:val="restart"/>
          </w:tcPr>
          <w:p>
            <w:pPr>
              <w:jc w:val="center"/>
              <w:ind w:right="470"/>
              <w:spacing w:after="0"/>
              <w:rPr>
                <w:sz w:val="20"/>
                <w:szCs w:val="20"/>
                <w:color w:val="auto"/>
              </w:rPr>
            </w:pPr>
            <w:r>
              <w:rPr>
                <w:rFonts w:ascii="Times New Roman" w:cs="Times New Roman" w:eastAsia="Times New Roman" w:hAnsi="Times New Roman"/>
                <w:sz w:val="18"/>
                <w:szCs w:val="18"/>
                <w:color w:val="auto"/>
                <w:w w:val="99"/>
              </w:rPr>
              <w:t>CANADA</w:t>
            </w:r>
            <w:r>
              <w:rPr>
                <w:rFonts w:ascii="Times New Roman" w:cs="Times New Roman" w:eastAsia="Times New Roman" w:hAnsi="Times New Roman"/>
                <w:sz w:val="15"/>
                <w:szCs w:val="15"/>
                <w:color w:val="auto"/>
                <w:w w:val="99"/>
              </w:rPr>
              <w:t>2</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CORPORATION</w:t>
            </w:r>
            <w:r>
              <w:rPr>
                <w:rFonts w:ascii="Times New Roman" w:cs="Times New Roman" w:eastAsia="Times New Roman" w:hAnsi="Times New Roman"/>
                <w:sz w:val="15"/>
                <w:szCs w:val="15"/>
                <w:color w:val="auto"/>
                <w:w w:val="99"/>
              </w:rPr>
              <w:t>1,2</w:t>
            </w:r>
          </w:p>
        </w:tc>
        <w:tc>
          <w:tcPr>
            <w:tcW w:w="154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20" w:type="dxa"/>
            <w:vAlign w:val="bottom"/>
            <w:gridSpan w:val="2"/>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BRANCH</w:t>
            </w:r>
            <w:r>
              <w:rPr>
                <w:rFonts w:ascii="Times New Roman" w:cs="Times New Roman" w:eastAsia="Times New Roman" w:hAnsi="Times New Roman"/>
                <w:sz w:val="15"/>
                <w:szCs w:val="15"/>
                <w:color w:val="auto"/>
                <w:w w:val="99"/>
              </w:rPr>
              <w:t>1</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As Joint Bookrunners and Joint Lead Arrangers when noted (</w:t>
      </w:r>
      <w:r>
        <w:rPr>
          <w:rFonts w:ascii="Times New Roman" w:cs="Times New Roman" w:eastAsia="Times New Roman" w:hAnsi="Times New Roman"/>
          <w:sz w:val="15"/>
          <w:szCs w:val="15"/>
          <w:i w:val="1"/>
          <w:iCs w:val="1"/>
          <w:color w:val="auto"/>
        </w:rPr>
        <w:t>1</w:t>
      </w:r>
      <w:r>
        <w:rPr>
          <w:rFonts w:ascii="Times New Roman" w:cs="Times New Roman" w:eastAsia="Times New Roman" w:hAnsi="Times New Roman"/>
          <w:sz w:val="18"/>
          <w:szCs w:val="18"/>
          <w:i w:val="1"/>
          <w:iCs w:val="1"/>
          <w:color w:val="auto"/>
        </w:rPr>
        <w:t>) and as Documentation Agents when noted (</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w:t>
      </w:r>
    </w:p>
    <w:p>
      <w:pPr>
        <w:sectPr>
          <w:pgSz w:w="11900" w:h="16838" w:orient="portrait"/>
          <w:cols w:equalWidth="0" w:num="1">
            <w:col w:w="10520"/>
          </w:cols>
          <w:pgMar w:left="9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766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373"/>
        </w:trPr>
        <w:tc>
          <w:tcPr>
            <w:tcW w:w="7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Foreign Currencies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Procedure for Borrowing</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Competitive Bid Procedure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 Fees,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Optional Prepayments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 on Term SOFR Tranches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2.18</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2.19</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 Rata Treatment and Payments; Evidence of Debt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2.20</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Requirements of Law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of Applicable Lending Office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Replacement/Termination of Lenders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Defaulting Lender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Reallocation of Payments for the Account of Defaulting Lenders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2.27</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Incremental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2.28</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 Conversion; Repayment of Converted Term Loans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[RESERVED]</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Condition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Change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Existence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Legal Bar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Default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Property</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Regulations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Company Act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the Subsidiary Borrowers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CONDITIONS PRECEDENT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Business; Existence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Reinstated Guarantors, etc.</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Books and Records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Ratings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Minimum Liquidity</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Indebtedness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Sale Restrictions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Fundamental Changes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EVENTS OF DEFAULT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THE AGENTS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Duties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Exculpatory Provisions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Bookrunners, Lead Arrangers, Global and Regional Coordinators, Documentation Agents, Syndication Agent and Co-Syndication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ERISA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Acknowledgements of Lenders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0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and 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Expenses; Limitation of Liability; Indemnity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Judgment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10.15</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Releases of Guarantees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10.16</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10.17</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WAIVERS OF JURY TRIAL</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10.18</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10.19</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Novation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10.20</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10.21</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60"/>
          </w:cols>
          <w:pgMar w:left="440" w:top="270"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SCHEDULES: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Commitments; Scheme Reference Number and Jurisdiction of Tax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-497840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Excluded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Pricing Grid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Subsidiary Businesses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Competitive Bid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Competitive Bid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Competitive Bid Accept/Reject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Incremental Loan Activation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Closing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Borrower Joinder Agreement</w:t>
      </w:r>
    </w:p>
    <w:p>
      <w:pPr>
        <w:spacing w:after="0" w:line="9" w:lineRule="exact"/>
        <w:rPr>
          <w:sz w:val="20"/>
          <w:szCs w:val="20"/>
          <w:color w:val="auto"/>
        </w:rPr>
      </w:pPr>
    </w:p>
    <w:p>
      <w:pPr>
        <w:ind w:right="3839"/>
        <w:spacing w:after="0" w:line="250" w:lineRule="auto"/>
        <w:rPr>
          <w:sz w:val="20"/>
          <w:szCs w:val="20"/>
          <w:color w:val="auto"/>
        </w:rPr>
      </w:pPr>
      <w:r>
        <w:rPr>
          <w:rFonts w:ascii="Times New Roman" w:cs="Times New Roman" w:eastAsia="Times New Roman" w:hAnsi="Times New Roman"/>
          <w:sz w:val="18"/>
          <w:szCs w:val="18"/>
          <w:color w:val="auto"/>
        </w:rPr>
        <w:t>Form of Exemption Certificate for Non-Partnership Non-U.S. Lenders Form of Exemption Certificate for Partnership Non-U.S. Lenders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Exemption Certificate for Non-Partnership Non-U.S.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Exemption Certificate for Partnership Non-U.S.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Borrowing Request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2">
            <w:col w:w="1080" w:space="20"/>
            <w:col w:w="8919"/>
          </w:cols>
          <w:pgMar w:left="440" w:top="270" w:right="1440" w:bottom="1440" w:gutter="0" w:footer="0" w:header="0"/>
        </w:sectPr>
      </w:pPr>
    </w:p>
    <w:bookmarkStart w:id="8" w:name="page9"/>
    <w:bookmarkEnd w:id="8"/>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 AMENDED AND RESTATED 364-DAY REVOLVING CREDIT AGREEMENT, dated as of April 5,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(as defined herein) from time to time parties hereto, the several banks and other financial institutions or entities from time to time parties hereto,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(and any of its branches and affiliates acting on its behalf in such capacity),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and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firstLine="991"/>
        <w:spacing w:after="0" w:line="289" w:lineRule="auto"/>
        <w:rPr>
          <w:sz w:val="20"/>
          <w:szCs w:val="20"/>
          <w:color w:val="auto"/>
        </w:rPr>
      </w:pPr>
      <w:r>
        <w:rPr>
          <w:rFonts w:ascii="Times New Roman" w:cs="Times New Roman" w:eastAsia="Times New Roman" w:hAnsi="Times New Roman"/>
          <w:sz w:val="17"/>
          <w:szCs w:val="17"/>
          <w:color w:val="auto"/>
        </w:rPr>
        <w:t>WHEREAS, the Company entered into that certain Third Amended and Restated 364-Day Revolving Credit Agreement, dated as of April 7, 2021 (the “</w:t>
      </w:r>
      <w:r>
        <w:rPr>
          <w:rFonts w:ascii="Times New Roman" w:cs="Times New Roman" w:eastAsia="Times New Roman" w:hAnsi="Times New Roman"/>
          <w:sz w:val="17"/>
          <w:szCs w:val="17"/>
          <w:u w:val="single" w:color="auto"/>
          <w:color w:val="auto"/>
        </w:rPr>
        <w:t>Existing 364-Day Credit Agreement</w:t>
      </w:r>
      <w:r>
        <w:rPr>
          <w:rFonts w:ascii="Times New Roman" w:cs="Times New Roman" w:eastAsia="Times New Roman" w:hAnsi="Times New Roman"/>
          <w:sz w:val="17"/>
          <w:szCs w:val="17"/>
          <w:color w:val="auto"/>
        </w:rPr>
        <w:t>”), with GMF, the other Subsidiary Borrowers (as defined therein) from time to time party thereto, the several lenders from time to time party thereto, JPMorgan Chase Bank, N.A., as administrative agent and the other agents party thereto; and</w:t>
      </w:r>
    </w:p>
    <w:p>
      <w:pPr>
        <w:spacing w:after="0" w:line="158"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hereto have agreed to amend and restate the Existing 364-Day Credit Agreement as provided in this Agreement, which Agreement shall become effective upon the satisfaction of the conditions set forth in Section 5.1;</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that on the Closing Date (as defined below), the Existing 364-Day Credit Agreement shall be amended and restated in its entirety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10-K</w:t>
      </w:r>
      <w:r>
        <w:rPr>
          <w:rFonts w:ascii="Times New Roman" w:cs="Times New Roman" w:eastAsia="Times New Roman" w:hAnsi="Times New Roman"/>
          <w:sz w:val="18"/>
          <w:szCs w:val="18"/>
          <w:color w:val="auto"/>
        </w:rPr>
        <w:t>” has the meaning assigned to such term in Section 4.1.</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Revolving Credit Agreement</w:t>
      </w:r>
      <w:r>
        <w:rPr>
          <w:rFonts w:ascii="Times New Roman" w:cs="Times New Roman" w:eastAsia="Times New Roman" w:hAnsi="Times New Roman"/>
          <w:sz w:val="18"/>
          <w:szCs w:val="18"/>
          <w:color w:val="auto"/>
        </w:rPr>
        <w:t>” means (i) that certain Fourth Amended and Restated Three Year Revolving Credit Agreement, dated as of April 7, 2021,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Fourth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94" w:lineRule="exact"/>
        <w:rPr>
          <w:sz w:val="20"/>
          <w:szCs w:val="20"/>
          <w:color w:val="auto"/>
        </w:rPr>
      </w:pPr>
    </w:p>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Total Available Commitments</w:t>
      </w:r>
      <w:r>
        <w:rPr>
          <w:rFonts w:ascii="Times New Roman" w:cs="Times New Roman" w:eastAsia="Times New Roman" w:hAnsi="Times New Roman"/>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ectPr>
          <w:pgSz w:w="11900" w:h="16838" w:orient="portrait"/>
          <w:cols w:equalWidth="0" w:num="1">
            <w:col w:w="11020"/>
          </w:cols>
          <w:pgMar w:left="440" w:top="270" w:right="439" w:bottom="1440" w:gutter="0" w:footer="0" w:header="0"/>
        </w:sectPr>
      </w:pPr>
    </w:p>
    <w:bookmarkStart w:id="9" w:name="page10"/>
    <w:bookmarkEnd w:id="9"/>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5-Year Revolving Credit Agreement</w:t>
      </w:r>
      <w:r>
        <w:rPr>
          <w:rFonts w:ascii="Times New Roman" w:cs="Times New Roman" w:eastAsia="Times New Roman" w:hAnsi="Times New Roman"/>
          <w:sz w:val="18"/>
          <w:szCs w:val="18"/>
          <w:color w:val="auto"/>
        </w:rPr>
        <w:t>” means (i) that certain Third Amended and Restated Five Year Revolving Credit Agreement, dated as of April 18, 2018, among the Company, GMF, GMB certain other subsidiaries of the Company from time to time party thereto as borrowers, the lenders from time to time party thereto and JPMorgan Chase Bank, N.A. as administrative agent, as amended by Amendment No. 1 to 5-Year Revolving Credit Agreement, dated as of April 7, 2021 and as the same may be further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92"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Total Available Commitments</w:t>
      </w:r>
      <w:r>
        <w:rPr>
          <w:rFonts w:ascii="Times New Roman" w:cs="Times New Roman" w:eastAsia="Times New Roman" w:hAnsi="Times New Roman"/>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0" w:lineRule="exact"/>
        <w:rPr>
          <w:sz w:val="20"/>
          <w:szCs w:val="20"/>
          <w:color w:val="auto"/>
        </w:rPr>
      </w:pPr>
    </w:p>
    <w:p>
      <w:pPr>
        <w:ind w:right="60" w:firstLine="991"/>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means for any day, a rate per annum (rounded upwards, if necessary, to the next 1/16 of 1.00%) equal to the greatest of (a) the Prime Rate in effect on such day, (b) the NYFRB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1.00% and (c) the Adjusted Term SOFR Rate for a one month Interest Period as published two U.S. Government Securities Business Days prior to such day (or if such day is not a Business Day, the immediately preceding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means Loans the rate of interest applicable to which is based upon the ABR.</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10.8.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and the UK Bribery Act.</w:t>
      </w:r>
    </w:p>
    <w:p>
      <w:pPr>
        <w:spacing w:after="0" w:line="225"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Benchmark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or Term Benchmark Loan (or, if applicable after the effectiveness of a Benchmark Replacement, Daily Simple SOFR Loans), as the case may be, the applicable rate per annum set forth under the relevant column heading in the Applicable Pricing Grid, based upon the Applicable Rating in effect on such day.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Pricing Grid</w:t>
      </w:r>
      <w:r>
        <w:rPr>
          <w:rFonts w:ascii="Times New Roman" w:cs="Times New Roman" w:eastAsia="Times New Roman" w:hAnsi="Times New Roman"/>
          <w:sz w:val="18"/>
          <w:szCs w:val="18"/>
          <w:color w:val="auto"/>
        </w:rPr>
        <w:t>” means the table set forth on Schedule 1.1C.</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Rating</w:t>
      </w:r>
      <w:r>
        <w:rPr>
          <w:rFonts w:ascii="Times New Roman" w:cs="Times New Roman" w:eastAsia="Times New Roman" w:hAnsi="Times New Roman"/>
          <w:sz w:val="18"/>
          <w:szCs w:val="18"/>
          <w:color w:val="auto"/>
        </w:rPr>
        <w:t xml:space="preserve">” means the Index Debt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the Company has obtained or maintained a Facility Rating from at least two of Moody’s, S&amp;P or Fitch, the “Applicable Rating” shall be the Facility Rating in effect at any time of determination.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10.2(b).</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has the meaning assigned to such term in Section 9.11.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has the meaning assigned to such term in Section 10.6(b).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G.</w:t>
      </w:r>
    </w:p>
    <w:p>
      <w:pPr>
        <w:spacing w:after="0" w:line="225" w:lineRule="exact"/>
        <w:rPr>
          <w:sz w:val="20"/>
          <w:szCs w:val="20"/>
          <w:color w:val="auto"/>
        </w:rPr>
      </w:pPr>
    </w:p>
    <w:p>
      <w:pPr>
        <w:ind w:right="3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1" w:name="page12"/>
    <w:bookmarkEnd w:id="11"/>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89"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with respect to any Term Benchmark Loan, the Term SOFR Rate; provided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of Section 2.18.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99" w:lineRule="exact"/>
        <w:rPr>
          <w:sz w:val="20"/>
          <w:szCs w:val="20"/>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Daily Simple SOFR;</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3" w:lineRule="exact"/>
        <w:rPr>
          <w:sz w:val="20"/>
          <w:szCs w:val="20"/>
          <w:color w:val="auto"/>
        </w:rPr>
      </w:pPr>
    </w:p>
    <w:p>
      <w:pPr>
        <w:ind w:right="94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2" w:name="page13"/>
    <w:bookmarkEnd w:id="12"/>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4" w:lineRule="exact"/>
        <w:rPr>
          <w:sz w:val="20"/>
          <w:szCs w:val="20"/>
          <w:color w:val="auto"/>
        </w:rPr>
      </w:pPr>
    </w:p>
    <w:p>
      <w:pPr>
        <w:ind w:right="220" w:firstLine="987"/>
        <w:spacing w:after="0" w:line="266"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3" w:name="page14"/>
    <w:bookmarkEnd w:id="13"/>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4" w:lineRule="exact"/>
        <w:rPr>
          <w:sz w:val="20"/>
          <w:szCs w:val="20"/>
          <w:color w:val="auto"/>
        </w:rPr>
      </w:pPr>
    </w:p>
    <w:p>
      <w:pPr>
        <w:jc w:val="both"/>
        <w:ind w:right="80" w:firstLine="987"/>
        <w:spacing w:after="0" w:line="261"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has the meaning assigned to such term in Section 10.7.</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4" w:name="page15"/>
    <w:bookmarkEnd w:id="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GMF or any other Subsidiary Borrower designated from time to time by the Company until (in the case of any Subsidiary Borrower) such time as such Subsidiary Borrower is removed as a party hereto pursuant to Section 10.1(d).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Joinder Agreement</w:t>
      </w:r>
      <w:r>
        <w:rPr>
          <w:rFonts w:ascii="Times New Roman" w:cs="Times New Roman" w:eastAsia="Times New Roman" w:hAnsi="Times New Roman"/>
          <w:sz w:val="18"/>
          <w:szCs w:val="18"/>
          <w:color w:val="auto"/>
        </w:rPr>
        <w:t>” means a joinder agreement substantially in the form of Exhibit H.</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any Business Day specified by the Company or any Subsidiary Borrower as a date on which the Company or such Subsidiary Borrower requests the relevant Lenders to make Loans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Loan in substantially the form of Exhibit 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Brazilian Reais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mean the lawful currency of the Federative Republic of Brazil.</w:t>
      </w:r>
    </w:p>
    <w:p>
      <w:pPr>
        <w:spacing w:after="0" w:line="225"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or a Sunday) on which banks are open for business in New York City or Chicago; provided that, in relation to Daily Simple SOFR Loans and any interest rate setting, fundings, disbursements, settlements or payments of any such Daily Simple SOFR Loan, or any other dealings of such Daily Simple SOFR Loan, any such day that is only a U.S. Government Securities Business Day.</w:t>
      </w:r>
    </w:p>
    <w:p>
      <w:pPr>
        <w:spacing w:after="0" w:line="15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5" w:name="page16"/>
    <w:bookmarkEnd w:id="1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Tax Law</w:t>
      </w:r>
      <w:r>
        <w:rPr>
          <w:rFonts w:ascii="Times New Roman" w:cs="Times New Roman" w:eastAsia="Times New Roman" w:hAnsi="Times New Roman"/>
          <w:sz w:val="18"/>
          <w:szCs w:val="18"/>
          <w:color w:val="auto"/>
        </w:rPr>
        <w:t>” has the meaning assigned to such term in Section 2.21(a).</w:t>
      </w:r>
    </w:p>
    <w:p>
      <w:pPr>
        <w:spacing w:after="0" w:line="225" w:lineRule="exact"/>
        <w:rPr>
          <w:sz w:val="20"/>
          <w:szCs w:val="20"/>
          <w:color w:val="auto"/>
        </w:rPr>
      </w:pPr>
    </w:p>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events: (a) any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(as such terms are used in Sections 13(d) and 14(d) of the Exchange Act) shall become, or obtain rights (whether by means of warrants, options or otherwise) to become,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w:t>
      </w:r>
      <w:r>
        <w:rPr>
          <w:rFonts w:ascii="Times New Roman" w:cs="Times New Roman" w:eastAsia="Times New Roman" w:hAnsi="Times New Roman"/>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64"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w:t>
      </w:r>
      <w:r>
        <w:rPr>
          <w:rFonts w:ascii="Times New Roman" w:cs="Times New Roman" w:eastAsia="Times New Roman" w:hAnsi="Times New Roman"/>
          <w:sz w:val="18"/>
          <w:szCs w:val="18"/>
          <w:color w:val="auto"/>
        </w:rPr>
        <w:t>” means any person that is primarily engaged in the issuance of securities based on, collateralized by or otherwise backed by one or more pools of assets consisting primarily of bank loans.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set forth in Section 5.1 shall have been satisfied, which date is April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 including pursuant to any Commitment Increase permitted pursuant to Section 2.27(a) 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176"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hereto.</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6" w:name="page17"/>
    <w:bookmarkEnd w:id="1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Competitive Bid</w:t>
      </w:r>
      <w:r>
        <w:rPr>
          <w:rFonts w:ascii="Times New Roman" w:cs="Times New Roman" w:eastAsia="Times New Roman" w:hAnsi="Times New Roman"/>
          <w:sz w:val="18"/>
          <w:szCs w:val="18"/>
          <w:color w:val="auto"/>
        </w:rPr>
        <w:t>” means an offer by a Lender to make a Competitive Loan in accordance with Section 2.9.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Bid Accept/Reject Letter</w:t>
      </w:r>
      <w:r>
        <w:rPr>
          <w:rFonts w:ascii="Times New Roman" w:cs="Times New Roman" w:eastAsia="Times New Roman" w:hAnsi="Times New Roman"/>
          <w:sz w:val="18"/>
          <w:szCs w:val="18"/>
          <w:color w:val="auto"/>
        </w:rPr>
        <w:t>” means a notification made by the Company pursuant to Section 2.9, substantially in the form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20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Bid Rate</w:t>
      </w:r>
      <w:r>
        <w:rPr>
          <w:rFonts w:ascii="Times New Roman" w:cs="Times New Roman" w:eastAsia="Times New Roman" w:hAnsi="Times New Roman"/>
          <w:sz w:val="18"/>
          <w:szCs w:val="18"/>
          <w:color w:val="auto"/>
        </w:rPr>
        <w:t xml:space="preserve">” means, with respect to any Competitive Bid (a) in the case of a Term Benchmark Competitive Loan, the Adjusted Term SOFR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the Margin and (b) in the case of a Fixed Rate Loan, the fixed rate of interest per annum, in each case specified by the Lender making such Competitive Loan in its related Competitive Bid.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Bid Request</w:t>
      </w:r>
      <w:r>
        <w:rPr>
          <w:rFonts w:ascii="Times New Roman" w:cs="Times New Roman" w:eastAsia="Times New Roman" w:hAnsi="Times New Roman"/>
          <w:sz w:val="18"/>
          <w:szCs w:val="18"/>
          <w:color w:val="auto"/>
        </w:rPr>
        <w:t>” means a request made pursuant to Section 2.9, substantially in the form of Exhibit 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Loan</w:t>
      </w:r>
      <w:r>
        <w:rPr>
          <w:rFonts w:ascii="Times New Roman" w:cs="Times New Roman" w:eastAsia="Times New Roman" w:hAnsi="Times New Roman"/>
          <w:sz w:val="18"/>
          <w:szCs w:val="18"/>
          <w:color w:val="auto"/>
        </w:rPr>
        <w:t>” means a Loan made pursuant to Section 2.9.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duly executed by a Responsible Officer, substantially in the form of Exhibit J.</w:t>
      </w:r>
    </w:p>
    <w:p>
      <w:pPr>
        <w:spacing w:after="0" w:line="225"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Domestic Liquidity</w:t>
      </w:r>
      <w:r>
        <w:rPr>
          <w:rFonts w:ascii="Times New Roman" w:cs="Times New Roman" w:eastAsia="Times New Roman" w:hAnsi="Times New Roman"/>
          <w:sz w:val="18"/>
          <w:szCs w:val="18"/>
          <w:color w:val="auto"/>
        </w:rPr>
        <w:t xml:space="preserve">” means, as of any date of determination, the sum of (a) the 3-Year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total available commitments (after giving effect to any applicable borrowing base limitations) under other then-effective committed credit facilities of the Company or any Domestic Subsidiary,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9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Global Liquidity</w:t>
      </w:r>
      <w:r>
        <w:rPr>
          <w:rFonts w:ascii="Times New Roman" w:cs="Times New Roman" w:eastAsia="Times New Roman" w:hAnsi="Times New Roman"/>
          <w:sz w:val="18"/>
          <w:szCs w:val="18"/>
          <w:color w:val="auto"/>
        </w:rPr>
        <w:t xml:space="preserve">” means as of any date of determination, the sum of (a) the 3-Year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total available commitments (after giving effect to any applicable borrowing base limitations) under other then-effective committed credit facilities of the Company or any of its Subsidiaries,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8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7" w:name="page18"/>
    <w:bookmarkEnd w:id="17"/>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Term Loan</w:t>
      </w:r>
      <w:r>
        <w:rPr>
          <w:rFonts w:ascii="Times New Roman" w:cs="Times New Roman" w:eastAsia="Times New Roman" w:hAnsi="Times New Roman"/>
          <w:sz w:val="18"/>
          <w:szCs w:val="18"/>
          <w:color w:val="auto"/>
        </w:rPr>
        <w:t>” has the meaning assigned to such term in Section 2.28(a).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Term Loan Maturity Date</w:t>
      </w:r>
      <w:r>
        <w:rPr>
          <w:rFonts w:ascii="Times New Roman" w:cs="Times New Roman" w:eastAsia="Times New Roman" w:hAnsi="Times New Roman"/>
          <w:sz w:val="18"/>
          <w:szCs w:val="18"/>
          <w:color w:val="auto"/>
        </w:rPr>
        <w:t>” means April 4, 2024, which date is the first anniversary of the Termination Date.</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31"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30" w:lineRule="exact"/>
        <w:rPr>
          <w:rFonts w:ascii="Times New Roman" w:cs="Times New Roman" w:eastAsia="Times New Roman" w:hAnsi="Times New Roman"/>
          <w:sz w:val="18"/>
          <w:szCs w:val="18"/>
          <w:color w:val="auto"/>
        </w:rPr>
      </w:pPr>
    </w:p>
    <w:p>
      <w:pPr>
        <w:ind w:left="980" w:right="2860" w:hanging="552"/>
        <w:spacing w:after="0" w:line="500" w:lineRule="auto"/>
        <w:tabs>
          <w:tab w:leader="none" w:pos="9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of the events specified in Section 8, whether or not any requirement for the giving of notice, the lapse of time, or both, has been satisfied.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8" w:name="page19"/>
    <w:bookmarkEnd w:id="18"/>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92"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Principal Trade Name</w:t>
      </w:r>
      <w:r>
        <w:rPr>
          <w:rFonts w:ascii="Times New Roman" w:cs="Times New Roman" w:eastAsia="Times New Roman" w:hAnsi="Times New Roman"/>
          <w:sz w:val="18"/>
          <w:szCs w:val="18"/>
          <w:color w:val="auto"/>
        </w:rPr>
        <w:t xml:space="preserve">” means a Principal Trade Name, designated by the Company as the “Designated Principal Trade Name” in a written notice to the Administrative Agent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only one Principal Trade Name may be designated as a “Designated Principal Trade Name” during the term of this Agreement.</w:t>
      </w:r>
    </w:p>
    <w:p>
      <w:pPr>
        <w:spacing w:after="0" w:line="176" w:lineRule="exact"/>
        <w:rPr>
          <w:sz w:val="20"/>
          <w:szCs w:val="20"/>
          <w:color w:val="auto"/>
        </w:rPr>
      </w:pPr>
    </w:p>
    <w:p>
      <w:pPr>
        <w:jc w:val="both"/>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property, any sale, transfer or other disposition thereof; and the terms “Dispose” and “Disposed of”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w:t>
      </w:r>
    </w:p>
    <w:p>
      <w:pPr>
        <w:spacing w:after="0" w:line="27" w:lineRule="exact"/>
        <w:rPr>
          <w:sz w:val="20"/>
          <w:szCs w:val="20"/>
          <w:color w:val="auto"/>
        </w:rPr>
      </w:pPr>
    </w:p>
    <w:p>
      <w:pPr>
        <w:ind w:left="4" w:right="120"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w:t>
      </w:r>
    </w:p>
    <w:p>
      <w:pPr>
        <w:spacing w:after="0" w:line="225" w:lineRule="exact"/>
        <w:rPr>
          <w:sz w:val="20"/>
          <w:szCs w:val="20"/>
          <w:color w:val="auto"/>
        </w:rPr>
      </w:pPr>
    </w:p>
    <w:p>
      <w:pPr>
        <w:jc w:val="both"/>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 Borrower</w:t>
      </w:r>
      <w:r>
        <w:rPr>
          <w:rFonts w:ascii="Times New Roman" w:cs="Times New Roman" w:eastAsia="Times New Roman" w:hAnsi="Times New Roman"/>
          <w:sz w:val="18"/>
          <w:szCs w:val="18"/>
          <w:color w:val="auto"/>
        </w:rPr>
        <w:t>” means any Subsidiary Borrower which is a Domestic Subsidiary.</w:t>
      </w:r>
    </w:p>
    <w:p>
      <w:pPr>
        <w:spacing w:after="0" w:line="225"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9" w:name="page20"/>
    <w:bookmarkEnd w:id="1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symbol or process attached to a contract or other record and adopted by a Person with the intent to sign, authenticate or accept such contract or record.</w:t>
      </w:r>
    </w:p>
    <w:p>
      <w:pPr>
        <w:spacing w:after="0" w:line="162"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76"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Default</w:t>
      </w:r>
      <w:r>
        <w:rPr>
          <w:rFonts w:ascii="Times New Roman" w:cs="Times New Roman" w:eastAsia="Times New Roman" w:hAnsi="Times New Roman"/>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4" w:lineRule="exact"/>
        <w:rPr>
          <w:sz w:val="20"/>
          <w:szCs w:val="20"/>
          <w:color w:val="auto"/>
        </w:rPr>
      </w:pPr>
    </w:p>
    <w:p>
      <w:pPr>
        <w:ind w:left="4" w:right="300" w:hanging="4"/>
        <w:spacing w:after="0" w:line="255"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86" w:lineRule="exact"/>
        <w:rPr>
          <w:sz w:val="20"/>
          <w:szCs w:val="20"/>
          <w:color w:val="auto"/>
        </w:rPr>
      </w:pPr>
    </w:p>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0" w:name="page21"/>
    <w:bookmarkEnd w:id="20"/>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 (ii) Brazilian Reais, the exchange rate (</w:t>
      </w:r>
      <w:r>
        <w:rPr>
          <w:rFonts w:ascii="Times New Roman" w:cs="Times New Roman" w:eastAsia="Times New Roman" w:hAnsi="Times New Roman"/>
          <w:sz w:val="18"/>
          <w:szCs w:val="18"/>
          <w:i w:val="1"/>
          <w:iCs w:val="1"/>
          <w:color w:val="auto"/>
        </w:rPr>
        <w:t>taxa de</w:t>
      </w:r>
      <w:r>
        <w:rPr>
          <w:rFonts w:ascii="Times New Roman" w:cs="Times New Roman" w:eastAsia="Times New Roman" w:hAnsi="Times New Roman"/>
          <w:sz w:val="18"/>
          <w:szCs w:val="18"/>
          <w:color w:val="auto"/>
        </w:rPr>
        <w:t xml:space="preserve"> câmbio) at which such currency may be exchanged into Dollars disclosed by the Central Bank of Brazil on its website (which, at the date hereof, is located at http://www.bcb.gov.br/estabilidadefinanceira/historicocotacoes), under option “Cotações de fechamento de todas as 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São Paulo Time, on such day for the purchase of Dollars with such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GM Holdings, (b) each of the Initial Excluded Subsidiaries, (c) each Subsidiary of the Company that</w:t>
      </w:r>
    </w:p>
    <w:p>
      <w:pPr>
        <w:spacing w:after="0" w:line="27" w:lineRule="exact"/>
        <w:rPr>
          <w:sz w:val="20"/>
          <w:szCs w:val="20"/>
          <w:color w:val="auto"/>
        </w:rPr>
      </w:pPr>
    </w:p>
    <w:p>
      <w:pPr>
        <w:ind w:left="4" w:right="20" w:hanging="4"/>
        <w:spacing w:after="0" w:line="250"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contract, agreement, instrument, indenture or other Contractual Obligation shall not have been entered into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spacing w:after="0" w:line="2"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Foreign Subsidiary, (e) each Unconsolidated Subsidiary, (f) each Finance Subsidiary of the Company, (g) each Subsidiary that is a dealership and (h) each Subsidiary acquired or formed after the Closing Date primarily to operate an Excluded Subsidiary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 Businesses</w:t>
      </w:r>
      <w:r>
        <w:rPr>
          <w:rFonts w:ascii="Times New Roman" w:cs="Times New Roman" w:eastAsia="Times New Roman" w:hAnsi="Times New Roman"/>
          <w:sz w:val="18"/>
          <w:szCs w:val="18"/>
          <w:color w:val="auto"/>
        </w:rPr>
        <w:t>” means the businesses and/or Subsidiaries indicated on Schedule 1.1E.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“Existing 364-Day Credit Agreement”</w:t>
      </w:r>
      <w:r>
        <w:rPr>
          <w:rFonts w:ascii="Times New Roman" w:cs="Times New Roman" w:eastAsia="Times New Roman" w:hAnsi="Times New Roman"/>
          <w:sz w:val="18"/>
          <w:szCs w:val="18"/>
          <w:color w:val="auto"/>
        </w:rPr>
        <w:t xml:space="preserve"> has the meaning assigned to such term in the recitals 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w:t>
      </w:r>
      <w:r>
        <w:rPr>
          <w:rFonts w:ascii="Times New Roman" w:cs="Times New Roman" w:eastAsia="Times New Roman" w:hAnsi="Times New Roman"/>
          <w:sz w:val="18"/>
          <w:szCs w:val="18"/>
          <w:color w:val="auto"/>
        </w:rPr>
        <w:t>” means any “Loan” under and as defined in the Existing 364-Day Credit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Required Lenders</w:t>
      </w:r>
      <w:r>
        <w:rPr>
          <w:rFonts w:ascii="Times New Roman" w:cs="Times New Roman" w:eastAsia="Times New Roman" w:hAnsi="Times New Roman"/>
          <w:sz w:val="18"/>
          <w:szCs w:val="18"/>
          <w:color w:val="auto"/>
        </w:rPr>
        <w:t>” means the “Required Lenders” under and as defined in the Existing 364-Day Credit Agreement.</w:t>
      </w:r>
    </w:p>
    <w:p>
      <w:pPr>
        <w:spacing w:after="0" w:line="225"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as to any Lender at any time, (a) prior to the Termination Date, an amount equal to the aggregate principal amount of all Loans held by such Lender then outstanding and (b) thereafter, the aggregate unpaid principal amount of all Converted Term Loans held by such Lender then outstanding.</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4"/>
          </w:cols>
          <w:pgMar w:left="436" w:top="270" w:right="519"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Commitments and the extensions of credit made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has the meaning assigned to such term in Section 2.10(a).</w:t>
      </w:r>
    </w:p>
    <w:p>
      <w:pPr>
        <w:spacing w:after="0" w:line="225" w:lineRule="exact"/>
        <w:rPr>
          <w:sz w:val="20"/>
          <w:szCs w:val="20"/>
          <w:color w:val="auto"/>
        </w:rPr>
      </w:pPr>
    </w:p>
    <w:p>
      <w:pPr>
        <w:jc w:val="both"/>
        <w:ind w:right="1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Facility Fee Rate</w:t>
      </w:r>
      <w:r>
        <w:rPr>
          <w:rFonts w:ascii="Times New Roman" w:cs="Times New Roman" w:eastAsia="Times New Roman" w:hAnsi="Times New Roman"/>
          <w:sz w:val="17"/>
          <w:szCs w:val="17"/>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Rating</w:t>
      </w:r>
      <w:r>
        <w:rPr>
          <w:rFonts w:ascii="Times New Roman" w:cs="Times New Roman" w:eastAsia="Times New Roman" w:hAnsi="Times New Roman"/>
          <w:sz w:val="18"/>
          <w:szCs w:val="18"/>
          <w:color w:val="auto"/>
        </w:rPr>
        <w:t>” means, as of any date, the credit rating provided by Moody’s, S&amp;P or Fitch, as applicable, for the Facility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83"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Effective Rate shall be less than zero, such rate shall be deemed to be zero for purposes of this Agreement.</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62"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w:t>
      </w:r>
      <w:r>
        <w:rPr>
          <w:rFonts w:ascii="Times New Roman" w:cs="Times New Roman" w:eastAsia="Times New Roman" w:hAnsi="Times New Roman"/>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w:t>
      </w:r>
    </w:p>
    <w:p>
      <w:pPr>
        <w:spacing w:after="0" w:line="180"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Finance Subsidiary</w:t>
      </w:r>
      <w:r>
        <w:rPr>
          <w:rFonts w:ascii="Times New Roman" w:cs="Times New Roman" w:eastAsia="Times New Roman" w:hAnsi="Times New Roman"/>
          <w:sz w:val="17"/>
          <w:szCs w:val="17"/>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 Global Treasury Centre Limited shall not be considered a Finance Subsidiary.</w:t>
      </w:r>
    </w:p>
    <w:p>
      <w:pPr>
        <w:spacing w:after="0" w:line="164"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a financial vice president, treasurer, assistant treasurer, or controller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 business segment of Fitch Group, Inc. and its successors.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22" w:name="page23"/>
    <w:bookmarkEnd w:id="22"/>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Fixed Rate Loan</w:t>
      </w:r>
      <w:r>
        <w:rPr>
          <w:rFonts w:ascii="Times New Roman" w:cs="Times New Roman" w:eastAsia="Times New Roman" w:hAnsi="Times New Roman"/>
          <w:sz w:val="18"/>
          <w:szCs w:val="18"/>
          <w:color w:val="auto"/>
        </w:rPr>
        <w:t>” means a Competitive Loan bearing interest at a fixed rate per annum specified by the Lender making such Loan in its related Competitive Bid.</w:t>
      </w:r>
    </w:p>
    <w:p>
      <w:pPr>
        <w:spacing w:after="0" w:line="162"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or the Adjusted Daily Simple SOFR shall be 0.00%.</w:t>
      </w:r>
    </w:p>
    <w:p>
      <w:pPr>
        <w:spacing w:after="0" w:line="18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76"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means the office of the Administrative Agent specified in Section 10.2 or such other office as may be specified from time to time by the Administrative Agent as its funding office with respect to the Facility by written notice to the Company, any relevant Subsidiary Borrower and the applicable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 Holdings</w:t>
      </w:r>
      <w:r>
        <w:rPr>
          <w:rFonts w:ascii="Times New Roman" w:cs="Times New Roman" w:eastAsia="Times New Roman" w:hAnsi="Times New Roman"/>
          <w:sz w:val="18"/>
          <w:szCs w:val="18"/>
          <w:color w:val="auto"/>
        </w:rPr>
        <w:t>” means General Motors Holdings LLC, a Delaware limited liability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GMB</w:t>
      </w:r>
      <w:r>
        <w:rPr>
          <w:rFonts w:ascii="Times New Roman" w:cs="Times New Roman" w:eastAsia="Times New Roman" w:hAnsi="Times New Roman"/>
          <w:sz w:val="18"/>
          <w:szCs w:val="18"/>
          <w:color w:val="auto"/>
        </w:rPr>
        <w:t>” means General Motors do Brasil Ltda, a Brazilian limited liability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Fourth Amended and Restated Guarantee Agreement to be executed and delivered by the Company, substantially in the form of Exhibit 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Joinder</w:t>
      </w:r>
      <w:r>
        <w:rPr>
          <w:rFonts w:ascii="Times New Roman" w:cs="Times New Roman" w:eastAsia="Times New Roman" w:hAnsi="Times New Roman"/>
          <w:sz w:val="18"/>
          <w:szCs w:val="18"/>
          <w:color w:val="auto"/>
        </w:rPr>
        <w:t>” means a joinder agreement substantially in the form of Annex I to the Guarantee.</w:t>
      </w:r>
    </w:p>
    <w:p>
      <w:pPr>
        <w:spacing w:after="0" w:line="225" w:lineRule="exact"/>
        <w:rPr>
          <w:sz w:val="20"/>
          <w:szCs w:val="20"/>
          <w:color w:val="auto"/>
        </w:rPr>
      </w:pPr>
    </w:p>
    <w:p>
      <w:pPr>
        <w:ind w:right="4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including any obligation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94"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Reinstatement Date</w:t>
      </w:r>
      <w:r>
        <w:rPr>
          <w:rFonts w:ascii="Times New Roman" w:cs="Times New Roman" w:eastAsia="Times New Roman" w:hAnsi="Times New Roman"/>
          <w:sz w:val="18"/>
          <w:szCs w:val="18"/>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89"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Release Date</w:t>
      </w:r>
      <w:r>
        <w:rPr>
          <w:rFonts w:ascii="Times New Roman" w:cs="Times New Roman" w:eastAsia="Times New Roman" w:hAnsi="Times New Roman"/>
          <w:sz w:val="18"/>
          <w:szCs w:val="18"/>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9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the Company (with respect to the Obligations of any Subsidiary Borrower) and, during any Reinstated Guarantee Period, the Subsidiary Guarantors. For the avoidance of doubt, GM Holdings does not and shall not constitute a Guarantor.</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4" w:name="page25"/>
    <w:bookmarkEnd w:id="2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as to each Incremental Lender, in respect of any Commitment Increase, the obligation of such Incremental Lender on and after the applicable Commitment Increase Date to make Incremental Loans under this Facility in a principal amount equal to the amount set forth under the heading “Incremental Commitment” opposite such Incremental Lender’s name on the applicable Incremental Loan Activation Notice.</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means (a) any Lender designated by the Company,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and the Administrative Agent and (c) each Lender which has made, or acquired pursuant to an assignment made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an Incremental Commitment.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Activation Notice</w:t>
      </w:r>
      <w:r>
        <w:rPr>
          <w:rFonts w:ascii="Times New Roman" w:cs="Times New Roman" w:eastAsia="Times New Roman" w:hAnsi="Times New Roman"/>
          <w:sz w:val="18"/>
          <w:szCs w:val="18"/>
          <w:color w:val="auto"/>
        </w:rPr>
        <w:t>” means a notice substantially in the form of Exhibit 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assigned to such term in Section 10.5.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10.5.</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as of any date, the credit rating provided by Moody’s, S&amp;P or Fitch, as applicable, for senior, unsecured, long-term Indebtedness of the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25" w:name="page26"/>
    <w:bookmarkEnd w:id="25"/>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9"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Participant</w:t>
      </w:r>
      <w:r>
        <w:rPr>
          <w:rFonts w:ascii="Times New Roman" w:cs="Times New Roman" w:eastAsia="Times New Roman" w:hAnsi="Times New Roman"/>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Excluded Subsidiary</w:t>
      </w:r>
      <w:r>
        <w:rPr>
          <w:rFonts w:ascii="Times New Roman" w:cs="Times New Roman" w:eastAsia="Times New Roman" w:hAnsi="Times New Roman"/>
          <w:sz w:val="18"/>
          <w:szCs w:val="18"/>
          <w:color w:val="auto"/>
        </w:rPr>
        <w:t>” means each Subsidiary listed on Schedule 1.1B.</w:t>
      </w:r>
    </w:p>
    <w:p>
      <w:pPr>
        <w:spacing w:after="0" w:line="225"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0"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ABR Loan, the fifteenth day of each March, June, September and December to occur while such Loan is outstanding and the final maturity date of such Loan, (b) with respect to any Daily Simple SOFR Loan, (1) each date that is on the numerically corresponding day in each calendar month that is one month after the Borrowing of such Loan (or, if there is no such numerically corresponding day in such month, then the last day of such month), (2) the Termination Date and (3) the Converted Term Loan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the Termination Date and the Converted Term Loan Maturity Date and (d) as to any Loan, the date of any repayment or prepayment made in respect thereof (to the extent of such repayment or prepayment).</w:t>
      </w:r>
    </w:p>
    <w:p>
      <w:pPr>
        <w:spacing w:after="0" w:line="192"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Period</w:t>
      </w:r>
      <w:r>
        <w:rPr>
          <w:rFonts w:ascii="Times New Roman" w:cs="Times New Roman" w:eastAsia="Times New Roman" w:hAnsi="Times New Roman"/>
          <w:sz w:val="17"/>
          <w:szCs w:val="17"/>
          <w:color w:val="auto"/>
        </w:rPr>
        <w:t>” means, (a)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as selected by the Company or relevant Subsidiary Borrower in its notice of borrowing, Competitive Bid Request or notice of conversion, as the case may be, given with respect thereto; and</w:t>
      </w:r>
    </w:p>
    <w:p>
      <w:pPr>
        <w:spacing w:after="0" w:line="3" w:lineRule="exact"/>
        <w:rPr>
          <w:sz w:val="20"/>
          <w:szCs w:val="20"/>
          <w:color w:val="auto"/>
        </w:rPr>
      </w:pPr>
    </w:p>
    <w:p>
      <w:pPr>
        <w:jc w:val="both"/>
        <w:ind w:left="4" w:right="20" w:hanging="4"/>
        <w:spacing w:after="0" w:line="255"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each period commencing on the last day of the next preceding Interest Period applicable to such Loan and ending one, three or six months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6" w:name="page27"/>
    <w:bookmarkEnd w:id="26"/>
    <w:p>
      <w:pPr>
        <w:ind w:left="4" w:hanging="4"/>
        <w:spacing w:after="0" w:line="266"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 Fixed Rate Loan, the period (which shall be not less than seven days or more than 360 days) commencing on the Borrowing Date thereof and ending on the date specified in the applicable Competitive Bid Accept/Reject Letter; provided, that all of the foregoing provisions relating to Interest Periods are subject to the following:</w:t>
      </w:r>
    </w:p>
    <w:p>
      <w:pPr>
        <w:spacing w:after="0" w:line="67" w:lineRule="exact"/>
        <w:rPr>
          <w:rFonts w:ascii="Times New Roman" w:cs="Times New Roman" w:eastAsia="Times New Roman" w:hAnsi="Times New Roman"/>
          <w:sz w:val="18"/>
          <w:szCs w:val="18"/>
          <w:color w:val="auto"/>
        </w:rPr>
      </w:pPr>
    </w:p>
    <w:p>
      <w:pPr>
        <w:ind w:left="984" w:right="60" w:firstLine="408"/>
        <w:spacing w:after="0" w:line="266" w:lineRule="auto"/>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67" w:lineRule="exact"/>
        <w:rPr>
          <w:rFonts w:ascii="Times New Roman" w:cs="Times New Roman" w:eastAsia="Times New Roman" w:hAnsi="Times New Roman"/>
          <w:sz w:val="18"/>
          <w:szCs w:val="18"/>
          <w:color w:val="auto"/>
        </w:rPr>
      </w:pPr>
    </w:p>
    <w:p>
      <w:pPr>
        <w:ind w:left="984" w:right="80" w:firstLine="408"/>
        <w:spacing w:after="0" w:line="261" w:lineRule="auto"/>
        <w:tabs>
          <w:tab w:leader="none" w:pos="16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relevant Subsidiary Borrower may not select an Interest Period under the Facility that would extend beyond the earliest Termination Date then in effect for the Facility unless the Loans are converted into Converted Term Loans pursuant to</w:t>
      </w:r>
    </w:p>
    <w:p>
      <w:pPr>
        <w:ind w:left="98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2.28, in which case the applicable Borrower may not select an Interest Period that would extend beyond the Converted Term Loan Maturity Date;</w:t>
      </w:r>
    </w:p>
    <w:p>
      <w:pPr>
        <w:spacing w:after="0" w:line="73" w:lineRule="exact"/>
        <w:rPr>
          <w:rFonts w:ascii="Times New Roman" w:cs="Times New Roman" w:eastAsia="Times New Roman" w:hAnsi="Times New Roman"/>
          <w:sz w:val="18"/>
          <w:szCs w:val="18"/>
          <w:color w:val="auto"/>
        </w:rPr>
      </w:pPr>
    </w:p>
    <w:p>
      <w:pPr>
        <w:ind w:left="984" w:right="240" w:firstLine="408"/>
        <w:spacing w:after="0" w:line="282" w:lineRule="auto"/>
        <w:tabs>
          <w:tab w:leader="none" w:pos="16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53" w:lineRule="exact"/>
        <w:rPr>
          <w:rFonts w:ascii="Times New Roman" w:cs="Times New Roman" w:eastAsia="Times New Roman" w:hAnsi="Times New Roman"/>
          <w:sz w:val="18"/>
          <w:szCs w:val="18"/>
          <w:color w:val="auto"/>
        </w:rPr>
      </w:pPr>
    </w:p>
    <w:p>
      <w:pPr>
        <w:ind w:left="984" w:right="320" w:firstLine="408"/>
        <w:spacing w:after="0" w:line="266" w:lineRule="auto"/>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2.18(e)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2.14.</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interparty claims), demands, damages or labilities of any kind.</w:t>
      </w:r>
    </w:p>
    <w:p>
      <w:pPr>
        <w:spacing w:after="0" w:line="225"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security interest, charge, conditional sale or other title retention agreement or other similar encumbrance.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7" w:name="page28"/>
    <w:bookmarkEnd w:id="27"/>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Guarantee, the Notes, each Borrower Joinder Agreement, each Guarantee Joinder and any amendment, waiver, supplement or other modification to any of the foregoing.</w:t>
      </w:r>
    </w:p>
    <w:p>
      <w:pPr>
        <w:spacing w:after="0" w:line="162"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collectively, (a) the Company and each Subsidiary Borrower and (b) during any Reinstated Guarantee Period, each Subsidiary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w:t>
      </w:r>
      <w:r>
        <w:rPr>
          <w:rFonts w:ascii="Times New Roman" w:cs="Times New Roman" w:eastAsia="Times New Roman" w:hAnsi="Times New Roman"/>
          <w:sz w:val="18"/>
          <w:szCs w:val="18"/>
          <w:color w:val="auto"/>
        </w:rPr>
        <w:t>” means, as to any Term Benchmark Competitive Loan, the margin to be added (or subtracted) from the Adjusted Term SOFR Rate to determine the rate of interest applicable to such Loan, as specified in the Competitive Bid relating to such Loan.</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76" w:lineRule="exact"/>
        <w:rPr>
          <w:sz w:val="20"/>
          <w:szCs w:val="20"/>
          <w:color w:val="auto"/>
        </w:rPr>
      </w:pPr>
    </w:p>
    <w:p>
      <w:pPr>
        <w:jc w:val="both"/>
        <w:ind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Indebtedness</w:t>
      </w:r>
      <w:r>
        <w:rPr>
          <w:rFonts w:ascii="Times New Roman" w:cs="Times New Roman" w:eastAsia="Times New Roman" w:hAnsi="Times New Roman"/>
          <w:sz w:val="17"/>
          <w:szCs w:val="17"/>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4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Loan Party</w:t>
      </w:r>
      <w:r>
        <w:rPr>
          <w:rFonts w:ascii="Times New Roman" w:cs="Times New Roman" w:eastAsia="Times New Roman" w:hAnsi="Times New Roman"/>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2021 10-K and thereafter in the most recent annual consolidated financial statements of the Company delivered or deemed delivered pursuant to Section 6.1 and (b) at all other times, the Company.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Book Value</w:t>
      </w:r>
      <w:r>
        <w:rPr>
          <w:rFonts w:ascii="Times New Roman" w:cs="Times New Roman" w:eastAsia="Times New Roman" w:hAnsi="Times New Roman"/>
          <w:sz w:val="18"/>
          <w:szCs w:val="18"/>
          <w:color w:val="auto"/>
        </w:rPr>
        <w:t xml:space="preserve">” means with respect to any asset of any Person (a) other than accounts receivable, the gross book value of such asset on the balance sheet of such Person,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depreciation in respect of such asset on such balance sheet and (b) with respect to accounts receivable, the gross book value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specific reserves attributable thereto.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8" w:name="page29"/>
    <w:bookmarkEnd w:id="2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has the meaning assigned to such term in Section 2.21(a).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has the meaning assigned to such term in Section 2.21(d).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Section 2.19(g).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3"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any other Borrower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any of the Subsidiary Borrowers or any of the Subsidiary Guarantors pursuant to the terms of any of the Loan Documents).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indebtedness for borrowed money, the aggregate outstanding principal amount thereof,</w:t>
      </w:r>
    </w:p>
    <w:p>
      <w:pPr>
        <w:spacing w:after="0" w:line="27" w:lineRule="exact"/>
        <w:rPr>
          <w:sz w:val="20"/>
          <w:szCs w:val="20"/>
          <w:color w:val="auto"/>
        </w:rPr>
      </w:pPr>
    </w:p>
    <w:p>
      <w:pPr>
        <w:ind w:left="4" w:right="380" w:hanging="4"/>
        <w:spacing w:after="0" w:line="260"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Hedging Obligations, the aggregate amount recorded by the applicable obligor as its termination liability thereunder and (c) with respect to any other obligations, the aggregate outstanding amount thereof.</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9" w:name="page30"/>
    <w:bookmarkEnd w:id="29"/>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(from and after such date as the NYFRB shall commence to publish such composite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Overnight Bank Funding Rate shall be less than zero, such rate shall be deemed to be zero for purposes of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and Competitive Loans of such Lender then outstanding constitutes of the aggregate Outstanding Amount of Extensions of Credit and Competitive Loans of the Lenders then outstanding.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980" w:firstLine="408"/>
        <w:spacing w:after="0" w:line="261" w:lineRule="auto"/>
        <w:tabs>
          <w:tab w:leader="none" w:pos="16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and to the extent required by GAAP, adequate reserves with respect thereto are maintained on the books of the relevant Person in conformity with GAAP;</w:t>
      </w:r>
    </w:p>
    <w:p>
      <w:pPr>
        <w:spacing w:after="0" w:line="71"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w:t>
      </w:r>
    </w:p>
    <w:p>
      <w:pPr>
        <w:spacing w:after="0" w:line="117" w:lineRule="exact"/>
        <w:rPr>
          <w:rFonts w:ascii="Times New Roman" w:cs="Times New Roman" w:eastAsia="Times New Roman" w:hAnsi="Times New Roman"/>
          <w:sz w:val="18"/>
          <w:szCs w:val="18"/>
          <w:color w:val="auto"/>
        </w:rPr>
      </w:pPr>
    </w:p>
    <w:p>
      <w:pPr>
        <w:jc w:val="both"/>
        <w:ind w:left="980" w:right="140" w:firstLine="408"/>
        <w:spacing w:after="0" w:line="266" w:lineRule="auto"/>
        <w:tabs>
          <w:tab w:leader="none" w:pos="1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0" w:name="page31"/>
    <w:bookmarkEnd w:id="30"/>
    <w:p>
      <w:pPr>
        <w:ind w:left="-20" w:firstLine="408"/>
        <w:spacing w:after="0" w:line="258" w:lineRule="auto"/>
        <w:tabs>
          <w:tab w:leader="none" w:pos="6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75" w:lineRule="exact"/>
        <w:rPr>
          <w:rFonts w:ascii="Times New Roman" w:cs="Times New Roman" w:eastAsia="Times New Roman" w:hAnsi="Times New Roman"/>
          <w:sz w:val="18"/>
          <w:szCs w:val="18"/>
          <w:color w:val="auto"/>
        </w:rPr>
      </w:pPr>
    </w:p>
    <w:p>
      <w:pPr>
        <w:ind w:left="-20" w:right="620" w:firstLine="408"/>
        <w:spacing w:after="0" w:line="282" w:lineRule="auto"/>
        <w:tabs>
          <w:tab w:leader="none" w:pos="6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53" w:lineRule="exact"/>
        <w:rPr>
          <w:rFonts w:ascii="Times New Roman" w:cs="Times New Roman" w:eastAsia="Times New Roman" w:hAnsi="Times New Roman"/>
          <w:sz w:val="18"/>
          <w:szCs w:val="18"/>
          <w:color w:val="auto"/>
        </w:rPr>
      </w:pPr>
    </w:p>
    <w:p>
      <w:pPr>
        <w:ind w:left="-20" w:right="20" w:firstLine="408"/>
        <w:spacing w:after="0" w:line="256"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79"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67" w:lineRule="exact"/>
        <w:rPr>
          <w:rFonts w:ascii="Times New Roman" w:cs="Times New Roman" w:eastAsia="Times New Roman" w:hAnsi="Times New Roman"/>
          <w:sz w:val="18"/>
          <w:szCs w:val="18"/>
          <w:color w:val="auto"/>
        </w:rPr>
      </w:pPr>
    </w:p>
    <w:p>
      <w:pPr>
        <w:ind w:left="-20" w:right="300" w:firstLine="408"/>
        <w:spacing w:after="0" w:line="255" w:lineRule="auto"/>
        <w:tabs>
          <w:tab w:leader="none" w:pos="5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80" w:lineRule="exact"/>
        <w:rPr>
          <w:rFonts w:ascii="Times New Roman" w:cs="Times New Roman" w:eastAsia="Times New Roman" w:hAnsi="Times New Roman"/>
          <w:sz w:val="18"/>
          <w:szCs w:val="18"/>
          <w:color w:val="auto"/>
        </w:rPr>
      </w:pPr>
    </w:p>
    <w:p>
      <w:pPr>
        <w:ind w:left="-20" w:right="180" w:firstLine="408"/>
        <w:spacing w:after="0" w:line="266" w:lineRule="auto"/>
        <w:tabs>
          <w:tab w:leader="none" w:pos="5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listed on Schedule 1.1D,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67" w:lineRule="exact"/>
        <w:rPr>
          <w:rFonts w:ascii="Times New Roman" w:cs="Times New Roman" w:eastAsia="Times New Roman" w:hAnsi="Times New Roman"/>
          <w:sz w:val="18"/>
          <w:szCs w:val="18"/>
          <w:color w:val="auto"/>
        </w:rPr>
      </w:pPr>
    </w:p>
    <w:p>
      <w:pPr>
        <w:jc w:val="both"/>
        <w:ind w:left="-20" w:right="60" w:firstLine="408"/>
        <w:spacing w:after="0" w:line="261"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Capital Stock of a Person at the time such Person becomes a Loan Party or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other Person becoming a Subsidiary;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Lien may not extend to any other property owned by the Company or any Principal Domestic Subsidiary;</w:t>
      </w:r>
    </w:p>
    <w:p>
      <w:pPr>
        <w:spacing w:after="0" w:line="71" w:lineRule="exact"/>
        <w:rPr>
          <w:rFonts w:ascii="Times New Roman" w:cs="Times New Roman" w:eastAsia="Times New Roman" w:hAnsi="Times New Roman"/>
          <w:sz w:val="18"/>
          <w:szCs w:val="18"/>
          <w:color w:val="auto"/>
        </w:rPr>
      </w:pPr>
    </w:p>
    <w:p>
      <w:pPr>
        <w:ind w:left="-20" w:right="120" w:firstLine="408"/>
        <w:spacing w:after="0" w:line="261" w:lineRule="auto"/>
        <w:tabs>
          <w:tab w:leader="none" w:pos="5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the Company or any Principal Domestic Subsidiary;</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020"/>
          </w:cols>
          <w:pgMar w:left="1440" w:top="270" w:right="439" w:bottom="1440" w:gutter="0" w:footer="0" w:header="0"/>
        </w:sectPr>
      </w:pPr>
    </w:p>
    <w:bookmarkStart w:id="31" w:name="page32"/>
    <w:bookmarkEnd w:id="31"/>
    <w:p>
      <w:pPr>
        <w:ind w:left="-7" w:firstLine="408"/>
        <w:spacing w:after="0" w:line="266" w:lineRule="auto"/>
        <w:tabs>
          <w:tab w:leader="none" w:pos="69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67" w:lineRule="exact"/>
        <w:rPr>
          <w:rFonts w:ascii="Times New Roman" w:cs="Times New Roman" w:eastAsia="Times New Roman" w:hAnsi="Times New Roman"/>
          <w:sz w:val="18"/>
          <w:szCs w:val="18"/>
          <w:color w:val="auto"/>
        </w:rPr>
      </w:pPr>
    </w:p>
    <w:p>
      <w:pPr>
        <w:ind w:left="-7" w:right="160" w:firstLine="408"/>
        <w:spacing w:after="0" w:line="282" w:lineRule="auto"/>
        <w:tabs>
          <w:tab w:leader="none" w:pos="6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out of claims under a judgment rendered, decree or claim filed so long as such judgments, decrees or claims do not constitute an Event of Default;</w:t>
      </w:r>
    </w:p>
    <w:p>
      <w:pPr>
        <w:spacing w:after="0" w:line="53"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consisting of rights reserved to or vested in any Governmental Authority by any statutory provision;</w:t>
      </w:r>
    </w:p>
    <w:p>
      <w:pPr>
        <w:spacing w:after="0" w:line="117"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lessors pursuant to Sale/Leaseback Transactions;</w:t>
      </w:r>
    </w:p>
    <w:p>
      <w:pPr>
        <w:spacing w:after="0" w:line="117" w:lineRule="exact"/>
        <w:rPr>
          <w:rFonts w:ascii="Times New Roman" w:cs="Times New Roman" w:eastAsia="Times New Roman" w:hAnsi="Times New Roman"/>
          <w:sz w:val="18"/>
          <w:szCs w:val="18"/>
          <w:color w:val="auto"/>
        </w:rPr>
      </w:pPr>
    </w:p>
    <w:p>
      <w:pPr>
        <w:ind w:left="-7" w:right="120" w:firstLine="408"/>
        <w:spacing w:after="0" w:line="253" w:lineRule="auto"/>
        <w:tabs>
          <w:tab w:leader="none" w:pos="6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(vii) purchasing and supply agreements,</w:t>
      </w:r>
    </w:p>
    <w:p>
      <w:pPr>
        <w:spacing w:after="0" w:line="5" w:lineRule="exact"/>
        <w:rPr>
          <w:rFonts w:ascii="Times New Roman" w:cs="Times New Roman" w:eastAsia="Times New Roman" w:hAnsi="Times New Roman"/>
          <w:sz w:val="18"/>
          <w:szCs w:val="18"/>
          <w:color w:val="auto"/>
        </w:rPr>
      </w:pPr>
    </w:p>
    <w:p>
      <w:pPr>
        <w:ind w:left="413" w:hanging="413"/>
        <w:spacing w:after="0"/>
        <w:tabs>
          <w:tab w:leader="none" w:pos="4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deposits, (ix) judicial appeals and (x) service contracts;</w:t>
      </w:r>
    </w:p>
    <w:p>
      <w:pPr>
        <w:spacing w:after="0" w:line="98" w:lineRule="exact"/>
        <w:rPr>
          <w:rFonts w:ascii="Times New Roman" w:cs="Times New Roman" w:eastAsia="Times New Roman" w:hAnsi="Times New Roman"/>
          <w:sz w:val="18"/>
          <w:szCs w:val="18"/>
          <w:color w:val="auto"/>
        </w:rPr>
      </w:pPr>
    </w:p>
    <w:p>
      <w:pPr>
        <w:ind w:left="633" w:hanging="232"/>
        <w:spacing w:after="0"/>
        <w:tabs>
          <w:tab w:leader="none" w:pos="63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a Subsidiary owing to the Company or any Principal Domestic Subsidiary;</w:t>
      </w:r>
    </w:p>
    <w:p>
      <w:pPr>
        <w:spacing w:after="0" w:line="117" w:lineRule="exact"/>
        <w:rPr>
          <w:rFonts w:ascii="Times New Roman" w:cs="Times New Roman" w:eastAsia="Times New Roman" w:hAnsi="Times New Roman"/>
          <w:sz w:val="18"/>
          <w:szCs w:val="18"/>
          <w:color w:val="auto"/>
        </w:rPr>
      </w:pPr>
    </w:p>
    <w:p>
      <w:pPr>
        <w:ind w:left="-7" w:right="40" w:firstLine="408"/>
        <w:spacing w:after="0" w:line="266" w:lineRule="auto"/>
        <w:tabs>
          <w:tab w:leader="none" w:pos="6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67" w:lineRule="exact"/>
        <w:rPr>
          <w:rFonts w:ascii="Times New Roman" w:cs="Times New Roman" w:eastAsia="Times New Roman" w:hAnsi="Times New Roman"/>
          <w:sz w:val="18"/>
          <w:szCs w:val="18"/>
          <w:color w:val="auto"/>
        </w:rPr>
      </w:pPr>
    </w:p>
    <w:p>
      <w:pPr>
        <w:ind w:left="-7" w:right="200" w:firstLine="408"/>
        <w:spacing w:after="0" w:line="261" w:lineRule="auto"/>
        <w:tabs>
          <w:tab w:leader="none" w:pos="60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71"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w:t>
      </w:r>
    </w:p>
    <w:p>
      <w:pPr>
        <w:spacing w:after="0" w:line="117" w:lineRule="exact"/>
        <w:rPr>
          <w:rFonts w:ascii="Times New Roman" w:cs="Times New Roman" w:eastAsia="Times New Roman" w:hAnsi="Times New Roman"/>
          <w:sz w:val="18"/>
          <w:szCs w:val="18"/>
          <w:color w:val="auto"/>
        </w:rPr>
      </w:pPr>
    </w:p>
    <w:p>
      <w:pPr>
        <w:ind w:left="-7" w:right="160" w:firstLine="408"/>
        <w:spacing w:after="0" w:line="266" w:lineRule="auto"/>
        <w:tabs>
          <w:tab w:leader="none" w:pos="6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0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13"/>
          </w:cols>
          <w:pgMar w:left="1427" w:top="270" w:right="459" w:bottom="1440" w:gutter="0" w:footer="0" w:header="0"/>
        </w:sectPr>
      </w:pPr>
    </w:p>
    <w:bookmarkStart w:id="32" w:name="page33"/>
    <w:bookmarkEnd w:id="32"/>
    <w:p>
      <w:pPr>
        <w:ind w:left="980" w:right="20" w:firstLine="408"/>
        <w:spacing w:after="0" w:line="282" w:lineRule="auto"/>
        <w:tabs>
          <w:tab w:leader="none" w:pos="16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licensing agreements for use of Intellectual Property or licenses or sublicenses of Intellectual Property, in each case, entered into in the ordinary course of business;</w:t>
      </w:r>
    </w:p>
    <w:p>
      <w:pPr>
        <w:spacing w:after="0" w:line="53" w:lineRule="exact"/>
        <w:rPr>
          <w:rFonts w:ascii="Times New Roman" w:cs="Times New Roman" w:eastAsia="Times New Roman" w:hAnsi="Times New Roman"/>
          <w:sz w:val="18"/>
          <w:szCs w:val="18"/>
          <w:color w:val="auto"/>
        </w:rPr>
      </w:pPr>
    </w:p>
    <w:p>
      <w:pPr>
        <w:ind w:left="980" w:right="440" w:firstLine="408"/>
        <w:spacing w:after="0" w:line="282" w:lineRule="auto"/>
        <w:tabs>
          <w:tab w:leader="none" w:pos="1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any Loan Party arising under Article 2 of the UCC or similar provisions of applicable law in the ordinary course of business; and</w:t>
      </w:r>
    </w:p>
    <w:p>
      <w:pPr>
        <w:spacing w:after="0" w:line="53" w:lineRule="exact"/>
        <w:rPr>
          <w:rFonts w:ascii="Times New Roman" w:cs="Times New Roman" w:eastAsia="Times New Roman" w:hAnsi="Times New Roman"/>
          <w:sz w:val="18"/>
          <w:szCs w:val="18"/>
          <w:color w:val="auto"/>
        </w:rPr>
      </w:pPr>
    </w:p>
    <w:p>
      <w:pPr>
        <w:ind w:left="980" w:firstLine="408"/>
        <w:spacing w:after="0" w:line="261" w:lineRule="auto"/>
        <w:tabs>
          <w:tab w:leader="none" w:pos="16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0"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Principal Trade Name Transfer</w:t>
      </w:r>
      <w:r>
        <w:rPr>
          <w:rFonts w:ascii="Times New Roman" w:cs="Times New Roman" w:eastAsia="Times New Roman" w:hAnsi="Times New Roman"/>
          <w:sz w:val="17"/>
          <w:szCs w:val="17"/>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40" w:lineRule="exact"/>
        <w:rPr>
          <w:sz w:val="20"/>
          <w:szCs w:val="20"/>
          <w:color w:val="auto"/>
        </w:rPr>
      </w:pPr>
    </w:p>
    <w:p>
      <w:pPr>
        <w:ind w:right="1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pension benefit plan covered by Title IV of ERISA or Section 412 of the Code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 of ERISA, but excluding any Multiemployer Plan, (a) which is sponsored, established, contributed to or maintained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Affiliate, (b) for which the Company or any ERISA Affiliate could have any liability, whether actual or contingent (whether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4062 or Section 4069 of ERISA be deemed to be) an “employer” as defined in Section 3(5) of ERISA.</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of 29 CFR § 2510.3-101 et seq., as modified by Section 3(42) of ERISA, as amended from time to time.</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 Pledged Assets</w:t>
      </w:r>
      <w:r>
        <w:rPr>
          <w:rFonts w:ascii="Times New Roman" w:cs="Times New Roman" w:eastAsia="Times New Roman" w:hAnsi="Times New Roman"/>
          <w:sz w:val="18"/>
          <w:szCs w:val="18"/>
          <w:color w:val="auto"/>
        </w:rPr>
        <w:t>” means the “Collateral,” under and as defined in that certain Three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3" w:name="page34"/>
    <w:bookmarkEnd w:id="33"/>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right="8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Principal Domestic Subsidiary</w:t>
      </w:r>
      <w:r>
        <w:rPr>
          <w:rFonts w:ascii="Times New Roman" w:cs="Times New Roman" w:eastAsia="Times New Roman" w:hAnsi="Times New Roman"/>
          <w:sz w:val="17"/>
          <w:szCs w:val="17"/>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2021 10-K), (B) at least 80% or more of the Capital Stock or Voting Stock of such Domestic Subsidiary is owned, directly or indirectly, by the Company and (C) none of the Capital Stock of such Domestic Subsidiary is publicly held.</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means GM, GMC, Chevrolet, Cadillac, and Buick and any variation thereof.</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 Holding Company</w:t>
      </w:r>
      <w:r>
        <w:rPr>
          <w:rFonts w:ascii="Times New Roman" w:cs="Times New Roman" w:eastAsia="Times New Roman" w:hAnsi="Times New Roman"/>
          <w:sz w:val="18"/>
          <w:szCs w:val="18"/>
          <w:color w:val="auto"/>
        </w:rPr>
        <w:t>” means any wholly-owned Foreign Subsidiary of the Company to which the Designated Principal Trade Name is transferred.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(or any amended publication time for the Term SOFR Reference Rate, as specified by the CME Term SOFR Administrator in the Term SOFR Reference Rate methodology) on the day that is two Business Days preceding the date of such setting, (2) if the Benchmark is Adjusted Daily Simple SOFR, then four Business Days prior to such setting or (3) if such Benchmark is none of the Term SOFR Rate or Adjusted Daily Simple SOFR, the time determined by the Administrative Agent in its reasonable discretion.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10.6(b)(iv).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4" w:name="page35"/>
    <w:bookmarkEnd w:id="34"/>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Reinstated Guarantee Period</w:t>
      </w:r>
      <w:r>
        <w:rPr>
          <w:rFonts w:ascii="Times New Roman" w:cs="Times New Roman" w:eastAsia="Times New Roman" w:hAnsi="Times New Roman"/>
          <w:sz w:val="18"/>
          <w:szCs w:val="18"/>
          <w:color w:val="auto"/>
        </w:rPr>
        <w:t>” means a period from and including the 30th day after any Guarantee Reinstatement Date to but excluding the following Guarantee Release Date, if any.</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Reinstated Guarantee Requirement Period</w:t>
      </w:r>
      <w:r>
        <w:rPr>
          <w:rFonts w:ascii="Times New Roman" w:cs="Times New Roman" w:eastAsia="Times New Roman" w:hAnsi="Times New Roman"/>
          <w:sz w:val="18"/>
          <w:szCs w:val="18"/>
          <w:color w:val="auto"/>
        </w:rPr>
        <w:t>” means a period from and including any Guarantee Reinstatement Date to but excluding the following Guarantee Release Date, if any.</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accounting officer, chief financial officer, controller, assistant controller, treasurer or assistant treasurer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 and its successors.</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25" w:lineRule="exact"/>
        <w:rPr>
          <w:sz w:val="20"/>
          <w:szCs w:val="20"/>
          <w:color w:val="auto"/>
        </w:rPr>
      </w:pPr>
    </w:p>
    <w:p>
      <w:pPr>
        <w:jc w:val="center"/>
        <w:ind w:right="1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 27</w:t>
      </w:r>
    </w:p>
    <w:p>
      <w:pPr>
        <w:sectPr>
          <w:pgSz w:w="11900" w:h="16838" w:orient="portrait"/>
          <w:cols w:equalWidth="0" w:num="1">
            <w:col w:w="11000"/>
          </w:cols>
          <w:pgMar w:left="440" w:top="270" w:right="459" w:bottom="1440" w:gutter="0" w:footer="0" w:header="0"/>
        </w:sectPr>
      </w:pPr>
    </w:p>
    <w:bookmarkStart w:id="35" w:name="page36"/>
    <w:bookmarkEnd w:id="3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means GMF and any other Domestic Subsidiary that becomes a party hereto pursuant to Section 10.1(d) until such time as such Subsidiary Borrower is removed as a party hereto pursuant to Section 10.1(d).</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Section 6.6(b) or Section 10.1(b);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76"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Competitive Loans</w:t>
      </w:r>
      <w:r>
        <w:rPr>
          <w:rFonts w:ascii="Times New Roman" w:cs="Times New Roman" w:eastAsia="Times New Roman" w:hAnsi="Times New Roman"/>
          <w:sz w:val="18"/>
          <w:szCs w:val="18"/>
          <w:color w:val="auto"/>
        </w:rPr>
        <w:t>” means Competitive Loans bearing interest at a rate determined by reference to the Adjusted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Rate.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6" w:name="page37"/>
    <w:bookmarkEnd w:id="36"/>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Benchmark Tranche</w:t>
      </w:r>
      <w:r>
        <w:rPr>
          <w:rFonts w:ascii="Times New Roman" w:cs="Times New Roman" w:eastAsia="Times New Roman" w:hAnsi="Times New Roman"/>
          <w:sz w:val="18"/>
          <w:szCs w:val="18"/>
          <w:color w:val="auto"/>
        </w:rPr>
        <w:t>” means the collective reference to Term Benchmark Loans under the Facility,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Borrowing and for any tenor comparable to the applicable Interest Period, the Term SOFR Reference Rate at approximately 5:00 a.m., Chicago time (or any amended publication time for the Term SOFR Reference Rate, as specified by the CME Term SOFR Administrator in the Term SOFR Reference Rate methodology), two U.S. Government Securities Business Days prior to the commencement of such tenor comparable to the applicable Interest Period, as such rate is published by the CME Term SOFR Administrator.</w:t>
      </w:r>
    </w:p>
    <w:p>
      <w:pPr>
        <w:spacing w:after="0" w:line="16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“Term SOFR Determination Day”), with respect to any Term Benchmark Borrowing or ABR Loan and for any tenor comparable to the applicable Interest Period,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April 4, 2023 which is the date which is 364 calendar days following the Closing Date.</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Commitments</w:t>
      </w:r>
      <w:r>
        <w:rPr>
          <w:rFonts w:ascii="Times New Roman" w:cs="Times New Roman" w:eastAsia="Times New Roman" w:hAnsi="Times New Roman"/>
          <w:sz w:val="18"/>
          <w:szCs w:val="18"/>
          <w:color w:val="auto"/>
        </w:rPr>
        <w:t xml:space="preserve">” means, at any time, an amount equal to the excess, if any, of (a) the Total Commitments then in effect,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Total Extensions of Credit then outstanding.</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means, at any time, the aggregate amount of the Commitments then in effect. The original amount of the Total Commitments is $2.0 billion.</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xml:space="preserve">” means, at any time, the aggregate Outstanding Amount of (a) the Extensions of Credit of the Lenders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Competitive Loans at such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Assignee or Participant.</w:t>
      </w:r>
    </w:p>
    <w:p>
      <w:pPr>
        <w:spacing w:after="0" w:line="225" w:lineRule="exact"/>
        <w:rPr>
          <w:sz w:val="20"/>
          <w:szCs w:val="20"/>
          <w:color w:val="auto"/>
        </w:rPr>
      </w:pPr>
    </w:p>
    <w:p>
      <w:pPr>
        <w:ind w:right="1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Type</w:t>
      </w:r>
      <w:r>
        <w:rPr>
          <w:rFonts w:ascii="Times New Roman" w:cs="Times New Roman" w:eastAsia="Times New Roman" w:hAnsi="Times New Roman"/>
          <w:sz w:val="17"/>
          <w:szCs w:val="17"/>
          <w:color w:val="auto"/>
        </w:rPr>
        <w:t>” means (a) as to any Loan (other than a Competitive Loan), its nature as an ABR Loan or a Term Benchmark Loan (or, if applicable, a Daily Simple SOFR Loan) and (b) as to any Competitive Loan, its nature as a Term Benchmark Competitive Loan or a Fixed Rate Loan.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7" w:name="page38"/>
    <w:bookmarkEnd w:id="37"/>
    <w:p>
      <w:pPr>
        <w:ind w:left="4" w:right="5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225"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Unconsolidated Subsidiary</w:t>
      </w:r>
      <w:r>
        <w:rPr>
          <w:rFonts w:ascii="Times New Roman" w:cs="Times New Roman" w:eastAsia="Times New Roman" w:hAnsi="Times New Roman"/>
          <w:sz w:val="18"/>
          <w:szCs w:val="18"/>
          <w:color w:val="auto"/>
        </w:rPr>
        <w:t>” means a subsidiary of the Company or other Person whose financial results are not, in accordance with GAAP, included in the consolidated financial statements of the Company.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10.18.</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such Person’s Capital Stock having the right to vote for election of directors (or the equivalent thereof) of such Person under ordinary circumstances.</w:t>
      </w:r>
    </w:p>
    <w:p>
      <w:pPr>
        <w:spacing w:after="0" w:line="16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62" w:lineRule="exact"/>
        <w:rPr>
          <w:sz w:val="20"/>
          <w:szCs w:val="20"/>
          <w:color w:val="auto"/>
        </w:rPr>
      </w:pPr>
    </w:p>
    <w:p>
      <w:pPr>
        <w:ind w:left="1244" w:hanging="253"/>
        <w:spacing w:after="0"/>
        <w:tabs>
          <w:tab w:leader="none" w:pos="124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w:t>
      </w:r>
    </w:p>
    <w:p>
      <w:pPr>
        <w:spacing w:after="0" w:line="27" w:lineRule="exact"/>
        <w:rPr>
          <w:rFonts w:ascii="Times New Roman" w:cs="Times New Roman" w:eastAsia="Times New Roman" w:hAnsi="Times New Roman"/>
          <w:sz w:val="18"/>
          <w:szCs w:val="18"/>
          <w:color w:val="auto"/>
        </w:rPr>
      </w:pPr>
    </w:p>
    <w:p>
      <w:pPr>
        <w:ind w:left="4" w:right="120" w:hanging="4"/>
        <w:spacing w:after="0" w:line="253"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w:t>
      </w:r>
    </w:p>
    <w:p>
      <w:pPr>
        <w:spacing w:after="0" w:line="121"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44"/>
          </w:cols>
          <w:pgMar w:left="436" w:top="270" w:right="619" w:bottom="1440" w:gutter="0" w:footer="0" w:header="0"/>
        </w:sectPr>
      </w:pPr>
    </w:p>
    <w:bookmarkStart w:id="38" w:name="page39"/>
    <w:bookmarkEnd w:id="38"/>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w:t>
      </w:r>
    </w:p>
    <w:p>
      <w:pPr>
        <w:ind w:left="4" w:right="60" w:hanging="4"/>
        <w:spacing w:after="0" w:line="25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89"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Conversion of Foreign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60" w:firstLine="987"/>
        <w:spacing w:after="0" w:line="261"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79"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175" w:lineRule="exact"/>
        <w:rPr>
          <w:rFonts w:ascii="Times New Roman" w:cs="Times New Roman" w:eastAsia="Times New Roman" w:hAnsi="Times New Roman"/>
          <w:sz w:val="18"/>
          <w:szCs w:val="18"/>
          <w:color w:val="auto"/>
        </w:rPr>
      </w:pPr>
    </w:p>
    <w:p>
      <w:pPr>
        <w:jc w:val="both"/>
        <w:ind w:left="4" w:right="220" w:firstLine="987"/>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76"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76"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Section 2.18(b)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39" w:name="page40"/>
    <w:bookmarkEnd w:id="39"/>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2. AMOUNT AND TERMS OF COMMITMENTS</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 Subject to the terms and conditions hereof, each Lender severally agrees to make (or cause its Applicable Lending Office to make) revolving loans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in Dollars to the Company or any Subsidiary Borrower from time to time during the Commitment Period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and any Subsidiary Borrower may use the Commitments by borrowing, prepaying the Loans in whole or in part, and reborrowing, all in accordance with the terms and conditions hereof. The Loans may from time to time be Term Benchmark Loans, ABR Loans or any combination of the foregoing, as determined by the Company or the relevant Subsidiary Borrower and notified to the Administrative Agent in accordance with Section 2.2 and 2.14.</w:t>
      </w:r>
    </w:p>
    <w:p>
      <w:pPr>
        <w:spacing w:after="0" w:line="192" w:lineRule="exact"/>
        <w:rPr>
          <w:sz w:val="20"/>
          <w:szCs w:val="20"/>
          <w:color w:val="auto"/>
        </w:rPr>
      </w:pPr>
    </w:p>
    <w:p>
      <w:pPr>
        <w:jc w:val="both"/>
        <w:ind w:right="80" w:firstLine="987"/>
        <w:spacing w:after="0" w:line="261"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Subsidiary Borrower shall repay all outstanding Loans of a Lender on the Termination Date for such Lender under the Facility unless Loans are converted into Converted Term Loans pursuant to Section 2.28, in which case the Company and, to the extent of its borrowings, any relevant Subsidiary Borrower shall repay all outstanding Converted Term Loans of a Lender on the Converted Term Loan Maturity Date.</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Procedure for Borrowing</w:t>
      </w:r>
      <w:r>
        <w:rPr>
          <w:rFonts w:ascii="Times New Roman" w:cs="Times New Roman" w:eastAsia="Times New Roman" w:hAnsi="Times New Roman"/>
          <w:sz w:val="18"/>
          <w:szCs w:val="18"/>
          <w:color w:val="auto"/>
        </w:rPr>
        <w:t xml:space="preserve">. The Company and any Subsidiary Borrower may borrow under the Commitments during the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or the relevant Subsidiary Borrower shall give the Administrative Agent a written Borrowing Request (or telephonic notice promptly confirmed with a written Borrowing Request) prior to (a) in the case of Term Benchmark Loans, 11:00 a.m., New York City time, three Business Days prior to the requested Borrowing Date, (b) in the case of Daily Simple SOFR Loans (if applicable following a Benchmark Replacement or in accordance with Section 2.18(f)(i)), 11:00 a.m., New York City time, five Business Days prior to the requested Borrowing Date or (c) in the case of ABR Loans, 11:00 a.m., New York City time, on the date of the proposed borrowing, specifying (i) the amount and Type of Loans to be borrowed, (ii) the requested Borrowing Date and (iii) in the case of Term Benchmark Loans, the respective lengths of the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0" w:name="page41"/>
    <w:bookmarkEnd w:id="40"/>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initial Interest Period(s)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such Borrowing Request submitted by a Subsidiary Borrower shall include the written consent of the Company. If no election as to the Type of a Loan is specified in any such notice, then the requested borrowing shall be an ABR Loan. If no Interest Period with respect to a Term Benchmark Loan is specified in any such notice, then the Company or the relevant Subsidiary Borrower shall be deemed to have selected an Interest Period of one month’s duration. Each borrowing under the Commitments shall be in an amount equal to</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$25 million (or, if the Total Available Commitments at such time are less than $25 million, such lesser amount) or a whole multiple of $5 million in excess thereof. Upon receipt of any such notice from the Company or the relevant Subsidiary Borrower, the Administrative Agent shall promptly notify each Lender thereof. Each Lender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such borrowing available to the Administrative Agent for the account of the Company or the relevant Subsidiary Borrower at the Funding Office prior to 1:00 P.M. (or, in the case of an ABR Loan requested on the proposed Borrowing Date, 3:00 P.M.), New York City time, on the Borrowing Date requested (or deemed requested) by the Company or the relevant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the relevant Subsidiary Borrower may specify to the Administrative Agent with the aggregate of the amounts made available to the Administrative Agent by the Lenders and in like funds as received by the Administrative Agent.</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Competitive Bid Procedure</w:t>
      </w:r>
      <w:r>
        <w:rPr>
          <w:rFonts w:ascii="Times New Roman" w:cs="Times New Roman" w:eastAsia="Times New Roman" w:hAnsi="Times New Roman"/>
          <w:sz w:val="18"/>
          <w:szCs w:val="18"/>
          <w:color w:val="auto"/>
        </w:rPr>
        <w:t xml:space="preserve">. (a) Subject to the terms and conditions set forth herein, from time to time during the Commitment Period, the Company or any Subsidiary Borrower may request Competitive Bids under the Facility and may (but shall not have any obligation to) accept Competitive Bids and borrow Competitive Loans in Dollars;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such borrowing and the use of proceeds thereof, the Total Extensions of Credit shall not exceed the Total Commitments then in effect. To request Competitive Bids under the Facility, the Company or the relevant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Term Benchmark Competitive Loans, or (B) one Business Day prior to the requested Borrowing Date, in the case of Fixed Rate Loans. Each such Competitive Bid Request shall specify (1) that it is a request for Competitive Loans under the Facility, (2) the amount (which shall be a minimum of $50 million) and Type of the requested Competitive Loans, (3) the requested Borrowing Date and (4) the requested Interest Period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or the relevant Subsidiary Borrower may request offers to make Competitive Loans under the Facility for more than one Interest Period or for multiple Types of Competitive Loans under the Facility in a single Competitive Bid Request.</w:t>
      </w:r>
    </w:p>
    <w:p>
      <w:pPr>
        <w:spacing w:after="0" w:line="192" w:lineRule="exact"/>
        <w:rPr>
          <w:sz w:val="20"/>
          <w:szCs w:val="20"/>
          <w:color w:val="auto"/>
        </w:rPr>
      </w:pPr>
    </w:p>
    <w:p>
      <w:pPr>
        <w:jc w:val="both"/>
        <w:ind w:firstLine="987"/>
        <w:spacing w:after="0" w:line="266"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 Competitive Bid Request conforming to the requirements of this Section 2.9 (but, in any event, no later than 3:00 P.M. New York City time on the date of receipt thereof), the Administrative Agent shall notify the Lenders of the details thereof, inviting such Lenders to submit Competitive Bids.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41" w:name="page42"/>
    <w:bookmarkEnd w:id="41"/>
    <w:p>
      <w:pPr>
        <w:ind w:firstLine="987"/>
        <w:spacing w:after="0" w:line="253"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under the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9:30 A.M., New York City time, three Business Days before the proposed Borrowing Date, in the case of Term Benchmark Competitive Loans, or 9:30 A.M., New York City time, on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and which may equal the entire principal amount of the Competitive Loans requested by the Company or the relevant Subsidiary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89"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(and, in any event, by no later than 10:00 A.M., New York City time (i) three Business Days before the proposed Borrowing Date, in the case of Term Benchmark Competitive Loans, and (ii) on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83"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10:30 A.M., New York City time (i) three Business Days before the proposed Borrowing Date, in the case of Term Benchmark Competitive Loans, and (ii) on the proposed Borrowing Date, in the case of Fixed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amount of each such Competitive Bid with such amounts rounded (as nearly as possible) to integral multiples of $1 million, in a manner determined by the Company or the relevant Subsidiary Borrower, and (E) except pursuant to clause (D) above, no Competitive Bid shall be accepted for a Competitive Loan made by a Lender unless such Competitive Loan is in a minimum principal amount of $5 million. A notice given by the Company or the relevant Subsidiary Borrower pursuant to this paragraph shall be irrevocable.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2" w:name="page43"/>
    <w:bookmarkEnd w:id="42"/>
    <w:p>
      <w:pPr>
        <w:ind w:right="60" w:firstLine="987"/>
        <w:spacing w:after="0" w:line="258" w:lineRule="auto"/>
        <w:tabs>
          <w:tab w:leader="none" w:pos="12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promptly (and, in any event, by 11:00 A.M., New York City time (i) three Business Days before the proposed Borrowing Date, in the case of Term Benchmark Competitive Loans, and (ii) on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83"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2.9.</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to the extent of its borrowings, any relevant Subsidiary Borrower shall repay each outstanding Competitive Loan on the last day of the Interest Period therefor.</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Facility Fees, etc.</w:t>
      </w:r>
      <w:r>
        <w:rPr>
          <w:rFonts w:ascii="Times New Roman" w:cs="Times New Roman" w:eastAsia="Times New Roman" w:hAnsi="Times New Roman"/>
          <w:sz w:val="18"/>
          <w:szCs w:val="18"/>
          <w:color w:val="auto"/>
        </w:rPr>
        <w:t>. (a) The Company agrees to pay to the Administrative Agent a facility fee (the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and Competitive Loans of such Lender under the Facility during the related Fee Payment Period for which payment is made, payable in arrears on each Fee Payment Date, commencing on the first such date to occur after the Closing Date.</w:t>
      </w:r>
    </w:p>
    <w:p>
      <w:pPr>
        <w:spacing w:after="0" w:line="189" w:lineRule="exact"/>
        <w:rPr>
          <w:sz w:val="20"/>
          <w:szCs w:val="20"/>
          <w:color w:val="auto"/>
        </w:rPr>
      </w:pPr>
    </w:p>
    <w:p>
      <w:pPr>
        <w:ind w:right="500" w:firstLine="987"/>
        <w:spacing w:after="0" w:line="282"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Administrative Agent the fees in the amounts and on the dates as set forth in the Arranger Fee Letter, dated as of February 2, 2022, between the Company and the Administrative Agent.</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 xml:space="preserve">. The Company shall have the right, upon not less than three Business Days’ notice to the Administrative Agent, to terminate the Commitments under the Facility or, from time to time, to reduce the amount of Commitments under the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3" w:name="page44"/>
    <w:bookmarkEnd w:id="43"/>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Company and any relevant Subsidiary Borrower may at any time and from time to time prepay the Loans, in whole or in part, without premium or penalty, upon irrevocable notice delivered to the Administrative Agent no later than 11:00 a.m., New York City time, three Business Days prior thereto, in the case of Term Benchmark Loans, no later than 11:00 a.m., New York City time, three Business Days prior thereto, in the case of Daily Simple SOFR Loans, and no later than 11:00 a.m., New York City time, on the day of such prepayment, in the case of ABR Loans, in each case which notice shall specify the date and amount of prepayment and whether the prepayment is of Term Benchmark Loans or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 Term Benchmark Loan is prepaid on any day other than the last day of the Interest Period applicable thereto, the Company or the relevant Subsidiary Borrower shall also pay any amounts owing pursuant to Section 2.22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 Optional prepayments of Converted Term Loans may not be reborrowed.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 xml:space="preserve">. (a) The Company or any Subsidiary Borrower may elect from time to time to convert Term Benchmark Loans in Dollars to ABR Loans by giving the Administrative Agent prior irrevocable notice of such election no later than 1:00 P.M., New York City time, on the third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Benchmark Loans that is not made on the last day of an Interest Period with respect thereto shall be subject to Section 2.22. The Company or any Subsidiary Borrower may elect from time to time to convert ABR Loans to Term Benchmark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ABR Loan may be converted into a Term Benchmark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92" w:lineRule="exact"/>
        <w:rPr>
          <w:sz w:val="20"/>
          <w:szCs w:val="20"/>
          <w:color w:val="auto"/>
        </w:rPr>
      </w:pPr>
    </w:p>
    <w:p>
      <w:pPr>
        <w:ind w:right="20" w:firstLine="987"/>
        <w:spacing w:after="0" w:line="255"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Benchmark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Term Benchmark Loan under the Facility shall be converted to an ABR Loan at the end of the Interest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4" w:name="page45"/>
    <w:bookmarkEnd w:id="44"/>
    <w:p>
      <w:pPr>
        <w:ind w:left="4" w:right="2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thereto;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the Company or such Subsidiary Borrower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64"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Limitations on Term Benchmark Tranches</w:t>
      </w:r>
      <w:r>
        <w:rPr>
          <w:rFonts w:ascii="Times New Roman" w:cs="Times New Roman" w:eastAsia="Times New Roman" w:hAnsi="Times New Roman"/>
          <w:sz w:val="18"/>
          <w:szCs w:val="18"/>
          <w:color w:val="auto"/>
        </w:rPr>
        <w:t>. Notwithstanding anything to the contrary in this Agreement, all borrowings, conversions and continuations of Term Benchmark Loans and all selections of Interest Periods shall be in such amounts and be made pursuant to such elections so that no more than ten (10) Term Benchmark Tranches shall be outstanding at any one time.</w:t>
      </w:r>
    </w:p>
    <w:p>
      <w:pPr>
        <w:spacing w:after="0" w:line="176" w:lineRule="exact"/>
        <w:rPr>
          <w:sz w:val="20"/>
          <w:szCs w:val="20"/>
          <w:color w:val="auto"/>
        </w:rPr>
      </w:pPr>
    </w:p>
    <w:p>
      <w:pPr>
        <w:ind w:left="4" w:right="340" w:firstLine="991"/>
        <w:spacing w:after="0" w:line="276" w:lineRule="auto"/>
        <w:rPr>
          <w:sz w:val="20"/>
          <w:szCs w:val="20"/>
          <w:color w:val="auto"/>
        </w:rPr>
      </w:pPr>
      <w:r>
        <w:rPr>
          <w:rFonts w:ascii="Times New Roman" w:cs="Times New Roman" w:eastAsia="Times New Roman" w:hAnsi="Times New Roman"/>
          <w:sz w:val="17"/>
          <w:szCs w:val="17"/>
          <w:color w:val="auto"/>
        </w:rPr>
        <w:t xml:space="preserve">2.16 </w:t>
      </w:r>
      <w:r>
        <w:rPr>
          <w:rFonts w:ascii="Times New Roman" w:cs="Times New Roman" w:eastAsia="Times New Roman" w:hAnsi="Times New Roman"/>
          <w:sz w:val="17"/>
          <w:szCs w:val="17"/>
          <w:u w:val="single" w:color="auto"/>
          <w:color w:val="auto"/>
        </w:rPr>
        <w:t>Interest Rates and Payment Dates</w:t>
      </w:r>
      <w:r>
        <w:rPr>
          <w:rFonts w:ascii="Times New Roman" w:cs="Times New Roman" w:eastAsia="Times New Roman" w:hAnsi="Times New Roman"/>
          <w:sz w:val="17"/>
          <w:szCs w:val="17"/>
          <w:color w:val="auto"/>
        </w:rPr>
        <w:t xml:space="preserve">. (a) Each (x) Term Benchmark Loan shall bear interest for each day during each Interest Period with respect thereto at a rate per annum equal to the Adjusted Term SOFR Rate determined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Margin and</w:t>
      </w:r>
    </w:p>
    <w:p>
      <w:pPr>
        <w:spacing w:after="0" w:line="1" w:lineRule="exact"/>
        <w:rPr>
          <w:sz w:val="20"/>
          <w:szCs w:val="20"/>
          <w:color w:val="auto"/>
        </w:rPr>
      </w:pPr>
    </w:p>
    <w:p>
      <w:pPr>
        <w:ind w:left="4" w:right="360" w:hanging="4"/>
        <w:spacing w:after="0" w:line="260"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Daily Simple SOFR Loan (if applicable after the effectiveness of a Benchmark Replacement) shall bear interest for each day at a rate per annum equal to the Adjusted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81"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Benchmark Competitive Loan shall bear interest at a rate per annum equal to the Adjusted Term SOFR Rate applicable to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(or minus, as applicable) the Margin.</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Fixed Rate Loan shall bear interest at the fixed rate applicable to such Loan.</w:t>
      </w:r>
    </w:p>
    <w:p>
      <w:pPr>
        <w:spacing w:after="0" w:line="225"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(after as well as before judgment).</w:t>
      </w:r>
    </w:p>
    <w:p>
      <w:pPr>
        <w:spacing w:after="0" w:line="187"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interest accruing pursuant to Section 2.16(e) shall be payable from time to time on demand.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paid in Dollars.</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(a)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 SOFR Rate, Term SOFR Rate, Adjusted Daily Simple SOFR Rate or Daily Simple SOFR shall be determined by the Administrative Agent, and such determination shall be conclusive absent manifest error. The Administrative Agent shall as soon as practicable notify the Company or relevant Subsidiary Borrower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5" w:name="page46"/>
    <w:bookmarkEnd w:id="45"/>
    <w:p>
      <w:pPr>
        <w:ind w:left="4"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The Administrative Agent shall, at the request of the Company, or any Subsidiary Borrower, deliver to the Company or such Subsidiary Borrower a statement showing the quotations used by the Administrative Agent in determining any interest rate pursuant to this Section 2.17.</w:t>
      </w:r>
    </w:p>
    <w:p>
      <w:pPr>
        <w:spacing w:after="0" w:line="168"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(a) Subject to clauses (b), (c), (d), (e) and (f) of this Section 2.18, if: (i) 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 (B) at any time, that adequate and reasonable means do not exist for ascertaining the applicable Adjusted Daily Simple SOFR or Daily Simple SOFR; or</w:t>
      </w:r>
    </w:p>
    <w:p>
      <w:pPr>
        <w:spacing w:after="0" w:line="183" w:lineRule="exact"/>
        <w:rPr>
          <w:sz w:val="20"/>
          <w:szCs w:val="20"/>
          <w:color w:val="auto"/>
        </w:rPr>
      </w:pPr>
    </w:p>
    <w:p>
      <w:pPr>
        <w:ind w:left="4" w:right="40" w:firstLine="987"/>
        <w:spacing w:after="0" w:line="261"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for such Interest Period will not adequately and fairly reflect the cost to such Lenders of making or maintaining their Loans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80"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7"/>
          <w:szCs w:val="17"/>
          <w:color w:val="auto"/>
        </w:rPr>
        <w:t>then the Administrative Agent shall give notice thereof to the Company and any relevant Subsidiary Borrower and the Lenders by telephone, telecopy or electronic mail as promptly as practicable thereafter and, until (x) the Administrative Agent notifies the Company and any relevant Subsidiary Borrower and the Lenders that the circumstances giving rise to such notice no longer exist with respect to the relevant Benchmark and (y) the Borrower delivers a new Interest Election Request in accordance with the terms of Section 2.14 or a new Borrowing Request in accordance with the terms of Section 2.2,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2.18(a)(i) or</w:t>
      </w:r>
    </w:p>
    <w:p>
      <w:pPr>
        <w:spacing w:after="0" w:line="2" w:lineRule="exact"/>
        <w:rPr>
          <w:sz w:val="20"/>
          <w:szCs w:val="20"/>
          <w:color w:val="auto"/>
        </w:rPr>
      </w:pPr>
    </w:p>
    <w:p>
      <w:pPr>
        <w:ind w:left="4" w:right="20" w:hanging="4"/>
        <w:spacing w:after="0" w:line="251"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(y) an ABR Borrowing if the Adjusted Daily Simple SOFR also is the subject of Section 2.18(a)(i) or (ii) above; provided that if the circumstances giving rise to such notice affect only one Type of Borrowings, then all other Types of Borrowings shall be permitted. Furthermore, if any Term Benchmark Loan or Daily Simple SOFR Loan is outstanding on the date of the Borrower’s receipt of the notice from the Administrative Agent referred to in this Section 2.18(a) with respect to a Benchmark applicable to such Term Benchmark Loan or Daily Simple SOFR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2.14 or a new Borrowing Request in accordance with the terms of Section 2.2,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also the subject of Section 2.18(a)(i) or (ii) above or (y) an ABR Loan if the Adjusted Daily Simple SOFR also is the subject of Section 2.18(a)(i) or (ii) above, on such day.</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4"/>
          </w:cols>
          <w:pgMar w:left="436" w:top="270" w:right="439" w:bottom="1440" w:gutter="0" w:footer="0" w:header="0"/>
        </w:sectPr>
      </w:pPr>
    </w:p>
    <w:bookmarkStart w:id="46" w:name="page47"/>
    <w:bookmarkEnd w:id="46"/>
    <w:p>
      <w:pPr>
        <w:ind w:left="-20" w:firstLine="987"/>
        <w:spacing w:after="0" w:line="253" w:lineRule="auto"/>
        <w:tabs>
          <w:tab w:leader="none" w:pos="1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1" w:lineRule="exact"/>
        <w:rPr>
          <w:rFonts w:ascii="Times New Roman" w:cs="Times New Roman" w:eastAsia="Times New Roman" w:hAnsi="Times New Roman"/>
          <w:sz w:val="18"/>
          <w:szCs w:val="18"/>
          <w:color w:val="auto"/>
        </w:rPr>
      </w:pPr>
    </w:p>
    <w:p>
      <w:pPr>
        <w:jc w:val="both"/>
        <w:ind w:left="-20" w:right="100" w:firstLine="987"/>
        <w:spacing w:after="0" w:line="261" w:lineRule="auto"/>
        <w:tabs>
          <w:tab w:leader="none" w:pos="1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Company and any relevant Subsidiary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91"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60" w:top="270" w:right="459" w:bottom="1440" w:gutter="0" w:footer="0" w:header="0"/>
        </w:sectPr>
      </w:pPr>
    </w:p>
    <w:bookmarkStart w:id="47" w:name="page48"/>
    <w:bookmarkEnd w:id="47"/>
    <w:p>
      <w:pPr>
        <w:ind w:firstLine="987"/>
        <w:spacing w:after="0" w:line="252"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Company’s and any relevant Subsidiary Borrower’s receipt of notice of the commencement of a Benchmark Unavailability Period, the applicable Borrower may revoke any request for a Term Benchmark Borrowing or Daily Simple SOFR Borrowing of, conversion to or continuation of Term Benchmark Loans to be made, converted or continued during any Benchmark Unavailability Period and, failing that, such Borrower will be deemed to have converted any request for a Term Benchmark Borrowing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and any relevant Subsidiary Borrower’s receipt of notice of the commencement of a Benchmark Unavailability Period with respect to the Benchmark applicable to such Term Benchmark Loan or Daily Simple SOFR Loan, then until such time as a Benchmark Replacement is implemented pursuant to this Section 2.18,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the subject of a Benchmark Transition Event or (y) an ABR Loan if the Adjusted Daily Simple SOFR is the subject of a Benchmark Transition Event, on such day and (2) any Daily Simple SOFR Loan made pursuant to Section 2.18 shall on and from such day be converted by the Administrative Agent to, and shall constitute, an ABR Loan.</w:t>
      </w:r>
    </w:p>
    <w:p>
      <w:pPr>
        <w:spacing w:after="0" w:line="19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Pro Rata Treatment and Payments; Evidence of Debt</w:t>
      </w:r>
      <w:r>
        <w:rPr>
          <w:rFonts w:ascii="Times New Roman" w:cs="Times New Roman" w:eastAsia="Times New Roman" w:hAnsi="Times New Roman"/>
          <w:sz w:val="18"/>
          <w:szCs w:val="18"/>
          <w:color w:val="auto"/>
        </w:rPr>
        <w:t xml:space="preserve">. (a) Each borrowing of Loans under the Facility by the Company or any Subsidiary Borrower from the Lenders under the Facility, each payment by the Company or any Subsidiary Borrower on account of any Facility Fee and any reduction of the Commitments of the Lenders under the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Percentages under the Facility, of the relevant Lenders in the Facility except to the extent required or permitted pursuant to Sections 2.9, 2.11, 2.24 and 2.25.</w:t>
      </w:r>
    </w:p>
    <w:p>
      <w:pPr>
        <w:spacing w:after="0" w:line="180" w:lineRule="exact"/>
        <w:rPr>
          <w:sz w:val="20"/>
          <w:szCs w:val="20"/>
          <w:color w:val="auto"/>
        </w:rPr>
      </w:pPr>
    </w:p>
    <w:p>
      <w:pPr>
        <w:jc w:val="both"/>
        <w:ind w:right="60" w:firstLine="987"/>
        <w:spacing w:after="0" w:line="272" w:lineRule="auto"/>
        <w:tabs>
          <w:tab w:leader="none" w:pos="124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payment (including each prepayment) by the Company or any Subsidiary Borrower on account of principal of and interest on the Loans under the Facility shall be made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to the Lenders under the Facility according to the respective outstanding principal amounts of the Loans under the Facility then held by the Lenders under the Facility except to the extent required or permitted pursuant to Sections 2.9, 2.11, 2.24 and 2.25.</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such payment shall be paid in Dollars.</w:t>
      </w:r>
    </w:p>
    <w:p>
      <w:pPr>
        <w:spacing w:after="0" w:line="206" w:lineRule="exact"/>
        <w:rPr>
          <w:rFonts w:ascii="Times New Roman" w:cs="Times New Roman" w:eastAsia="Times New Roman" w:hAnsi="Times New Roman"/>
          <w:sz w:val="17"/>
          <w:szCs w:val="17"/>
          <w:color w:val="auto"/>
        </w:rPr>
      </w:pPr>
    </w:p>
    <w:p>
      <w:pPr>
        <w:ind w:firstLine="987"/>
        <w:spacing w:after="0" w:line="253"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the Company or any Subsidiary Borrower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8" w:name="page49"/>
    <w:bookmarkEnd w:id="48"/>
    <w:p>
      <w:pPr>
        <w:ind w:right="20" w:firstLine="987"/>
        <w:spacing w:after="0" w:line="253"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 or the relevant Subsidiary Borrower.</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the Company or relevant Subsidiary Borrower prior to the date of any payment due to be made by the Company or such Subsidiary Borrower under the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the Facility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 or any Subsidiary Borrower.</w:t>
      </w:r>
    </w:p>
    <w:p>
      <w:pPr>
        <w:spacing w:after="0" w:line="188" w:lineRule="exact"/>
        <w:rPr>
          <w:rFonts w:ascii="Times New Roman" w:cs="Times New Roman" w:eastAsia="Times New Roman" w:hAnsi="Times New Roman"/>
          <w:sz w:val="18"/>
          <w:szCs w:val="18"/>
          <w:color w:val="auto"/>
        </w:rPr>
      </w:pPr>
    </w:p>
    <w:p>
      <w:pPr>
        <w:ind w:right="100" w:firstLine="987"/>
        <w:spacing w:after="0" w:line="266" w:lineRule="auto"/>
        <w:tabs>
          <w:tab w:leader="none" w:pos="12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with appropriate insertions as to date and principal amount.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Except with respect to Competitive Loans to which this Section 2.20 shall not apply: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117" w:lineRule="exact"/>
        <w:rPr>
          <w:sz w:val="20"/>
          <w:szCs w:val="20"/>
          <w:color w:val="auto"/>
        </w:rPr>
      </w:pPr>
    </w:p>
    <w:p>
      <w:pPr>
        <w:ind w:right="80" w:firstLine="987"/>
        <w:spacing w:after="0" w:line="266" w:lineRule="auto"/>
        <w:tabs>
          <w:tab w:leader="none" w:pos="12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Adjusted Term SOFR Rate; or</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such Lender or any interbank market any other condition;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Term Benchmark Loans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88" w:lineRule="exact"/>
        <w:rPr>
          <w:sz w:val="20"/>
          <w:szCs w:val="20"/>
          <w:color w:val="auto"/>
        </w:rPr>
      </w:pPr>
    </w:p>
    <w:p>
      <w:pPr>
        <w:ind w:right="20" w:firstLine="987"/>
        <w:spacing w:after="0" w:line="254"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91"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under any obligation to verify any such request of a Lender) and (ii) the Company and any relevant 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0" w:name="page51"/>
    <w:bookmarkEnd w:id="50"/>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All payments made by or on behalf of any Loan Party under this Agreement (other than in respect of any Competitive Loans as to which this Section 2.21(a)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w:t>
      </w:r>
    </w:p>
    <w:p>
      <w:pPr>
        <w:spacing w:after="0" w:line="1" w:lineRule="exact"/>
        <w:rPr>
          <w:sz w:val="20"/>
          <w:szCs w:val="20"/>
          <w:color w:val="auto"/>
        </w:rPr>
      </w:pPr>
    </w:p>
    <w:p>
      <w:pPr>
        <w:ind w:left="4" w:hanging="4"/>
        <w:spacing w:after="0" w:line="251"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(iii) any Taxes imposed by reason of FATCA (any such non-excluded Taxes, “</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xml:space="preserve">”). If any Taxes are required to be deducted or withheld from any amounts payable to the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or withholdings and shall pay the full amount deducted or withheld to the relevant Governmental Authority in accordance with applicable laws. In the case of any Non-Excluded Taxes or Other Taxes, the amounts so payable by the applicable Loan Party to the Administrative Agent or such Lender shall be increased to the extent necessary to yield to the Administrative Agent or such Lender (after payment of all Non-Excluded Taxes and Other Taxes) an amount equal to the sum which would have been received had no such deduction or withholding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Loan Party shall be required to increase any such amounts payable to the Administrative Agent or any Lender with respect to any Non-Excluded Taxes except to the extent that any change in applicable law, treaty or governmental rule or regulation after the time such Lender becomes a party to this agreement (a “</w:t>
      </w:r>
      <w:r>
        <w:rPr>
          <w:rFonts w:ascii="Times New Roman" w:cs="Times New Roman" w:eastAsia="Times New Roman" w:hAnsi="Times New Roman"/>
          <w:sz w:val="18"/>
          <w:szCs w:val="18"/>
          <w:u w:val="single" w:color="auto"/>
          <w:color w:val="auto"/>
        </w:rPr>
        <w:t>Change in Tax Law</w:t>
      </w:r>
      <w:r>
        <w:rPr>
          <w:rFonts w:ascii="Times New Roman" w:cs="Times New Roman" w:eastAsia="Times New Roman" w:hAnsi="Times New Roman"/>
          <w:sz w:val="18"/>
          <w:szCs w:val="18"/>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(f) of this Section 2.21 except as such failure relates to a Change in Tax Law rendering such Person legally unable to comply.</w:t>
      </w:r>
    </w:p>
    <w:p>
      <w:pPr>
        <w:spacing w:after="0" w:line="18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each Loan Party shall pay any Other Taxes over to the relevant Governmental Authority in accordance with applicable law.</w:t>
      </w:r>
    </w:p>
    <w:p>
      <w:pPr>
        <w:spacing w:after="0" w:line="236" w:lineRule="exact"/>
        <w:rPr>
          <w:rFonts w:ascii="Times New Roman" w:cs="Times New Roman" w:eastAsia="Times New Roman" w:hAnsi="Times New Roman"/>
          <w:sz w:val="17"/>
          <w:szCs w:val="17"/>
          <w:color w:val="auto"/>
        </w:rPr>
      </w:pPr>
    </w:p>
    <w:p>
      <w:pPr>
        <w:jc w:val="both"/>
        <w:ind w:left="4" w:right="340" w:firstLine="987"/>
        <w:spacing w:after="0" w:line="270" w:lineRule="auto"/>
        <w:tabs>
          <w:tab w:leader="none" w:pos="12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2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fails to remit to the Administrative Agent the required receipts or other required documentary evidence or (iii) any Non-Excluded Taxes or Other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or such Lender (as the case may be) makes a written demand therefor (together with a reasonably detailed calculation of such amounts).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1" w:name="page52"/>
    <w:bookmarkEnd w:id="51"/>
    <w:p>
      <w:pPr>
        <w:ind w:firstLine="987"/>
        <w:spacing w:after="0" w:line="251"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(or Transferee) (i) that is not a “United States person” as defined in Section 7701(a)(30) of the Code (a “</w:t>
      </w:r>
      <w:r>
        <w:rPr>
          <w:rFonts w:ascii="Times New Roman" w:cs="Times New Roman" w:eastAsia="Times New Roman" w:hAnsi="Times New Roman"/>
          <w:sz w:val="18"/>
          <w:szCs w:val="18"/>
          <w:u w:val="single" w:color="auto"/>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201"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2" w:name="page53"/>
    <w:bookmarkEnd w:id="5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expenses of the Administrative Agent, such Transferee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Loan Party, upon the request of the Administrative Agent, such Transferee or such Lender, agrees to repay the amount paid over to such Loan Party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94" w:lineRule="exact"/>
        <w:rPr>
          <w:sz w:val="20"/>
          <w:szCs w:val="20"/>
          <w:color w:val="auto"/>
        </w:rPr>
      </w:pPr>
    </w:p>
    <w:p>
      <w:pPr>
        <w:ind w:right="60" w:firstLine="987"/>
        <w:spacing w:after="0" w:line="256" w:lineRule="auto"/>
        <w:tabs>
          <w:tab w:leader="none" w:pos="12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2.21.</w:t>
      </w:r>
    </w:p>
    <w:p>
      <w:pPr>
        <w:spacing w:after="0" w:line="225" w:lineRule="exact"/>
        <w:rPr>
          <w:rFonts w:ascii="Times New Roman" w:cs="Times New Roman" w:eastAsia="Times New Roman" w:hAnsi="Times New Roman"/>
          <w:sz w:val="18"/>
          <w:szCs w:val="18"/>
          <w:color w:val="auto"/>
        </w:rPr>
      </w:pPr>
    </w:p>
    <w:p>
      <w:pPr>
        <w:ind w:right="620" w:firstLine="987"/>
        <w:spacing w:after="0" w:line="282"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2.21 shall survive the termination of this Agreement and the payment of the Loans and all other amounts payable hereunder and the other Loan Documents.</w:t>
      </w:r>
    </w:p>
    <w:p>
      <w:pPr>
        <w:spacing w:after="0" w:line="16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Term Benchmark Loans after the Company or such Subsidiary Borrower has given a notice requesting the same in accordance with the provisions of this Agreement, (b) default by the Company or relevant Subsidiary Borrower in making any prepayment of or conversion from Term Benchmark Loans after the Company or such Subsidiary Borrower 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3" w:name="page54"/>
    <w:bookmarkEnd w:id="53"/>
    <w:p>
      <w:pPr>
        <w:jc w:val="both"/>
        <w:ind w:right="1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Change of Applicable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Section 2.23 shall affect or postpone any of the obligations of the Company or the rights of any Lender pursuant to Section 2.20 or 2.21(a).</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Replacement/Termination of Lenders</w:t>
      </w:r>
      <w:r>
        <w:rPr>
          <w:rFonts w:ascii="Times New Roman" w:cs="Times New Roman" w:eastAsia="Times New Roman" w:hAnsi="Times New Roman"/>
          <w:sz w:val="18"/>
          <w:szCs w:val="18"/>
          <w:color w:val="auto"/>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or the Converted Term Loan Maturity Date to which the Required Lenders have consented;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left="5420" w:right="480" w:hanging="4433"/>
        <w:spacing w:after="0" w:line="454" w:lineRule="auto"/>
        <w:tabs>
          <w:tab w:leader="none" w:pos="12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Fees, if any, shall cease to accrue on the unfunded Commitment of such Defaulting Lender pursuant to Section 2.10; and 46</w:t>
      </w:r>
    </w:p>
    <w:p>
      <w:pPr>
        <w:sectPr>
          <w:pgSz w:w="11900" w:h="16838" w:orient="portrait"/>
          <w:cols w:equalWidth="0" w:num="1">
            <w:col w:w="10980"/>
          </w:cols>
          <w:pgMar w:left="440" w:top="270" w:right="479" w:bottom="1440" w:gutter="0" w:footer="0" w:header="0"/>
        </w:sectPr>
      </w:pPr>
    </w:p>
    <w:bookmarkStart w:id="54" w:name="page55"/>
    <w:bookmarkEnd w:id="54"/>
    <w:p>
      <w:pPr>
        <w:ind w:right="80" w:firstLine="987"/>
        <w:spacing w:after="0" w:line="254"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Reallocation of Payments for the Account of Defaulting Lenders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amounts owed by such Defaulting Lender to the Administrative Agent);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91"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(a) The Company may from time to time notify the Administrative Agent that certain of the Lenders designated by the Company and/or that additional lenders shall be added to this Agreement as Incremental Lenders with Commitments for the purpose of increasing the existing Commitments under the Facility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by executing and delivering to the Administrative Agent an Incremental Loan Activation Notice signed by such Lenders or such additional lenders and specifying (i) the respective Incremental Commitments of such Incremental Lenders and (ii) the applicable Commitment Increase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5" w:name="page56"/>
    <w:bookmarkEnd w:id="5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 Increase (including the incurrence of any Incremental Loans on the applicable Commitment Increase Date and use of proceeds thereof) (x) no Default or Event of Default shall be continuing and (y) the sum of the Total Commitments then in effect (including, for the avoidance of doubt, Incremental Commitments) shall not exceed $2 billion.</w:t>
      </w:r>
    </w:p>
    <w:p>
      <w:pPr>
        <w:spacing w:after="0" w:line="176" w:lineRule="exact"/>
        <w:rPr>
          <w:sz w:val="20"/>
          <w:szCs w:val="20"/>
          <w:color w:val="auto"/>
        </w:rPr>
      </w:pPr>
    </w:p>
    <w:p>
      <w:pPr>
        <w:ind w:right="60" w:firstLine="987"/>
        <w:spacing w:after="0" w:line="256"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that is a signatory to an Incremental Loan Activation Notice severally agrees, on the terms and conditions of this Agreement, to make revolving credit loans (each, an “</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xml:space="preserve">”) to the Company and/or the applicable Subsidiary Borrowers from time to time on or after the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shall be construed to obligate any Lender to execute an Incremental Loan Activation Notice.</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Commitment Increase Date, in the event any Loans under the Facility are then outstanding, (i) 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the Facility of other relevant Lenders, the Loans under the Facility to be held ratably by all Lenders with Commitments in the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Term Loan Conversion; Repayment of Converted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3"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are any Loans outstanding on the Termination Date, at the option of the applicable Borrower or the Company, all or a portion of such Loans may be converted to term loans (each, a “</w:t>
      </w:r>
      <w:r>
        <w:rPr>
          <w:rFonts w:ascii="Times New Roman" w:cs="Times New Roman" w:eastAsia="Times New Roman" w:hAnsi="Times New Roman"/>
          <w:sz w:val="18"/>
          <w:szCs w:val="18"/>
          <w:u w:val="single" w:color="auto"/>
          <w:color w:val="auto"/>
        </w:rPr>
        <w:t>Converted Term Loan</w:t>
      </w:r>
      <w:r>
        <w:rPr>
          <w:rFonts w:ascii="Times New Roman" w:cs="Times New Roman" w:eastAsia="Times New Roman" w:hAnsi="Times New Roman"/>
          <w:sz w:val="18"/>
          <w:szCs w:val="18"/>
          <w:color w:val="auto"/>
        </w:rPr>
        <w:t xml:space="preserve">”) on such date and the Commitments shall automatically terminate. Upon the conversion of such Loans to Converted Term Loans, (i) each Borrower’s obligations in respect of such Loans shall remain in effect except as otherwise expressly provided for herein and (ii) each Lender shall be deemed to hold its applicable Percentage (determined immediately prior to giving effect to the Termination Date) of each of the Converted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that immediately before and after giving effect to such conversion each of the representations and warranties made by the Company in or pursuant to the Loan Documents shall be true and correct in all material respects on and as of such date of conversion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 (ii) that immediately before and after giving effect to such conversion no Default or Event of Default shall have occurred and be continuing and (iii) the applicable Borrower or the Company shall have paid a fee to the Administrative Agent, for the account of each Lender holding Converted Term Loans, in an amount equal to 1.00% of aggregate principal amount of such Converted Term Loans held by such Lender.</w:t>
      </w:r>
    </w:p>
    <w:p>
      <w:pPr>
        <w:spacing w:after="0" w:line="18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Converted Term Loan shall continue to bear interest at the same rate as, and contain such other terms that are identical to, the Loan from which such Converted Term Loan was converted (including, in the case of a Converted Term Loan that was converted from a Loan that was a Term Benchmark Loan at the time of conversion, the same Interest Period applicable to such Loan at the time of conversion) and each reference herein to “Loans” shall be deemed to be a reference to “Converted Term Loans” as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amounts paid or prepaid in respect of Converted Term Loans may not be reborrowed. To the extent not previously paid, all Converted Term Loans shall be due and payable on the Converted Term Loan Maturity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56" w:name="page57"/>
    <w:bookmarkEnd w:id="56"/>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[RESERVED]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To induce the Lenders to enter into this Agreement and to make the Loans the Company hereby represents and warrants to each Lender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consolidated financial statements of the Company included in its Annual Report on Form 10-K, for the twelve-month period ended December 31, 2021 (the “</w:t>
      </w:r>
      <w:r>
        <w:rPr>
          <w:rFonts w:ascii="Times New Roman" w:cs="Times New Roman" w:eastAsia="Times New Roman" w:hAnsi="Times New Roman"/>
          <w:sz w:val="18"/>
          <w:szCs w:val="18"/>
          <w:u w:val="single" w:color="auto"/>
          <w:color w:val="auto"/>
        </w:rPr>
        <w:t>2021 10-K</w:t>
      </w:r>
      <w:r>
        <w:rPr>
          <w:rFonts w:ascii="Times New Roman" w:cs="Times New Roman" w:eastAsia="Times New Roman" w:hAnsi="Times New Roman"/>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ind w:left="4" w:right="8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Between the date of the financial statements included in the 2021 10-K and the Closing Date, there has been no development or event which has had a Material Adverse Effect.</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0" w:lineRule="exact"/>
        <w:rPr>
          <w:sz w:val="20"/>
          <w:szCs w:val="20"/>
          <w:color w:val="auto"/>
        </w:rPr>
      </w:pPr>
    </w:p>
    <w:p>
      <w:pPr>
        <w:ind w:left="4" w:right="100" w:firstLine="991"/>
        <w:spacing w:after="0" w:line="25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left="4" w:right="140" w:hanging="4"/>
        <w:spacing w:after="0" w:line="255"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6"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0"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4.6 and except as set forth in the 2021 10-K or on any Current Report on Form 8-K of the Company filed with the SEC after December 31, 2021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57" w:name="page58"/>
    <w:bookmarkEnd w:id="5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As of the Closing Date no Default or Event of Default has occurred and is continuing.</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2" w:lineRule="exact"/>
        <w:rPr>
          <w:sz w:val="20"/>
          <w:szCs w:val="20"/>
          <w:color w:val="auto"/>
        </w:rPr>
      </w:pPr>
    </w:p>
    <w:p>
      <w:pPr>
        <w:jc w:val="both"/>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76"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and no other extensions of credit hereunder, will be used for any purpose that violates the provisions of Regulation T, U or X of the Board.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Default has occurred and is continuing.</w:t>
      </w:r>
    </w:p>
    <w:p>
      <w:pPr>
        <w:spacing w:after="0" w:line="225"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Loan Party is an “investment company”, or a company “controlled” by an “investment company”, registered or required to be registered as such under the Investment Company Act of 1940, as amended.</w:t>
      </w:r>
    </w:p>
    <w:p>
      <w:pPr>
        <w:spacing w:after="0" w:line="162"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Ownership of the Subsidiary Borrowers</w:t>
      </w:r>
      <w:r>
        <w:rPr>
          <w:rFonts w:ascii="Times New Roman" w:cs="Times New Roman" w:eastAsia="Times New Roman" w:hAnsi="Times New Roman"/>
          <w:sz w:val="18"/>
          <w:szCs w:val="18"/>
          <w:color w:val="auto"/>
        </w:rPr>
        <w:t>. As of the Closing Date, each Subsidiary Borrower is a direct or indirect wholly-owned Subsidiary of the Company.</w:t>
      </w:r>
    </w:p>
    <w:p>
      <w:pPr>
        <w:spacing w:after="0" w:line="162" w:lineRule="exact"/>
        <w:rPr>
          <w:sz w:val="20"/>
          <w:szCs w:val="20"/>
          <w:color w:val="auto"/>
        </w:rPr>
      </w:pPr>
    </w:p>
    <w:p>
      <w:pPr>
        <w:jc w:val="both"/>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Her Majesty’s Treasury of the United Kingdom or the U.S. Department of State or the European Union (collectively, the “Sanctions Lists”). Neither the Company nor any of its Subsidiaries has a physical place of business, or is organized or resident, in</w:t>
      </w:r>
    </w:p>
    <w:p>
      <w:pPr>
        <w:spacing w:after="0" w:line="5" w:lineRule="exact"/>
        <w:rPr>
          <w:sz w:val="20"/>
          <w:szCs w:val="20"/>
          <w:color w:val="auto"/>
        </w:rPr>
      </w:pPr>
    </w:p>
    <w:p>
      <w:pPr>
        <w:ind w:left="5424" w:right="1380" w:hanging="5424"/>
        <w:spacing w:after="0" w:line="433" w:lineRule="auto"/>
        <w:tabs>
          <w:tab w:leader="none" w:pos="2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Syria, the Crimea Region of Ukraine, the so-called Donetsk People’s Republic or the so-called Luhansk 50</w:t>
      </w:r>
    </w:p>
    <w:p>
      <w:pPr>
        <w:sectPr>
          <w:pgSz w:w="11900" w:h="16838" w:orient="portrait"/>
          <w:cols w:equalWidth="0" w:num="1">
            <w:col w:w="10924"/>
          </w:cols>
          <w:pgMar w:left="436" w:top="270" w:right="53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People’s Republic or (b) in any other Sanctioned Country. The Company and its Subsidiary Borrowers will not knowingly use the proceeds of the Loans</w:t>
      </w:r>
    </w:p>
    <w:p>
      <w:pPr>
        <w:spacing w:after="0" w:line="39" w:lineRule="exact"/>
        <w:rPr>
          <w:sz w:val="20"/>
          <w:szCs w:val="20"/>
          <w:color w:val="auto"/>
        </w:rPr>
      </w:pPr>
    </w:p>
    <w:p>
      <w:pPr>
        <w:ind w:left="4" w:right="120" w:hanging="4"/>
        <w:spacing w:after="0" w:line="251" w:lineRule="auto"/>
        <w:tabs>
          <w:tab w:leader="none" w:pos="2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Region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200" w:lineRule="exact"/>
        <w:rPr>
          <w:sz w:val="20"/>
          <w:szCs w:val="20"/>
          <w:color w:val="auto"/>
        </w:rPr>
      </w:pPr>
    </w:p>
    <w:p>
      <w:pPr>
        <w:spacing w:after="0" w:line="21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225"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This Agreement and the obligation of each Lender to make extensions of credit requested to be made by it hereunder shall be effective upon (1) the execution and delivery of this Agreement by each of the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75" w:lineRule="exact"/>
        <w:rPr>
          <w:sz w:val="20"/>
          <w:szCs w:val="20"/>
          <w:color w:val="auto"/>
        </w:rPr>
      </w:pPr>
    </w:p>
    <w:p>
      <w:pPr>
        <w:ind w:left="1244" w:hanging="253"/>
        <w:spacing w:after="0"/>
        <w:tabs>
          <w:tab w:leader="none" w:pos="124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The Company shall have executed and delivered the Guarantee.</w:t>
      </w:r>
    </w:p>
    <w:p>
      <w:pPr>
        <w:spacing w:after="0" w:line="225"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27" w:lineRule="exact"/>
        <w:rPr>
          <w:rFonts w:ascii="Times New Roman" w:cs="Times New Roman" w:eastAsia="Times New Roman" w:hAnsi="Times New Roman"/>
          <w:sz w:val="18"/>
          <w:szCs w:val="18"/>
          <w:color w:val="auto"/>
        </w:rPr>
      </w:pPr>
    </w:p>
    <w:p>
      <w:pPr>
        <w:jc w:val="both"/>
        <w:ind w:left="4" w:right="100" w:hanging="4"/>
        <w:spacing w:after="0" w:line="271" w:lineRule="auto"/>
        <w:tabs>
          <w:tab w:leader="none" w:pos="21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73" w:lineRule="exact"/>
        <w:rPr>
          <w:rFonts w:ascii="Times New Roman" w:cs="Times New Roman" w:eastAsia="Times New Roman" w:hAnsi="Times New Roman"/>
          <w:sz w:val="17"/>
          <w:szCs w:val="17"/>
          <w:color w:val="auto"/>
        </w:rPr>
      </w:pPr>
    </w:p>
    <w:p>
      <w:pPr>
        <w:ind w:left="4" w:right="220" w:firstLine="987"/>
        <w:spacing w:after="0" w:line="282" w:lineRule="auto"/>
        <w:tabs>
          <w:tab w:leader="none" w:pos="12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executed legal opinion of (i) in house counsel to the Loan Parties and (ii) Mayer Brown LLP, counsel to the Loan Parties, each in form and substance reasonably acceptable to the Administrative Agent.</w:t>
      </w:r>
    </w:p>
    <w:p>
      <w:pPr>
        <w:spacing w:after="0" w:line="161" w:lineRule="exact"/>
        <w:rPr>
          <w:rFonts w:ascii="Times New Roman" w:cs="Times New Roman" w:eastAsia="Times New Roman" w:hAnsi="Times New Roman"/>
          <w:sz w:val="18"/>
          <w:szCs w:val="18"/>
          <w:color w:val="auto"/>
        </w:rPr>
      </w:pPr>
    </w:p>
    <w:p>
      <w:pPr>
        <w:ind w:left="4" w:firstLine="987"/>
        <w:spacing w:after="0" w:line="281"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Existing 364-Day Credit Agreement</w:t>
      </w:r>
      <w:r>
        <w:rPr>
          <w:rFonts w:ascii="Times New Roman" w:cs="Times New Roman" w:eastAsia="Times New Roman" w:hAnsi="Times New Roman"/>
          <w:sz w:val="17"/>
          <w:szCs w:val="17"/>
          <w:color w:val="auto"/>
        </w:rPr>
        <w:t>. The Administrative Agent shall have received reasonably satisfactory evidence that all Existing Loans shall be repaid, the commitments of the lenders under the Existing 364-Day Credit Agreement that are not Lenders hereunder shall have been terminated (and the Commitments of all continuing Lenders shall be as set forth on Schedule 1.1(A)) and all accrued interest and fees under the Existing 364-Day Credit Agreement shall have been paid, or arrangements satisfactory to the Administrative Agent in respect thereof shall have been made.</w:t>
      </w:r>
    </w:p>
    <w:p>
      <w:pPr>
        <w:spacing w:after="0" w:line="9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4"/>
          </w:cols>
          <w:pgMar w:left="436" w:top="270" w:right="479" w:bottom="1440" w:gutter="0" w:footer="0" w:header="0"/>
        </w:sectPr>
      </w:pPr>
    </w:p>
    <w:bookmarkStart w:id="59" w:name="page60"/>
    <w:bookmarkEnd w:id="59"/>
    <w:p>
      <w:pPr>
        <w:ind w:firstLine="987"/>
        <w:spacing w:after="0" w:line="266" w:lineRule="auto"/>
        <w:tabs>
          <w:tab w:leader="none" w:pos="12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USA Patriot Act</w:t>
      </w:r>
      <w:r>
        <w:rPr>
          <w:rFonts w:ascii="Times New Roman" w:cs="Times New Roman" w:eastAsia="Times New Roman" w:hAnsi="Times New Roman"/>
          <w:sz w:val="18"/>
          <w:szCs w:val="18"/>
          <w:color w:val="auto"/>
        </w:rPr>
        <w:t>. The Administrative Agent shall have received all documentation and other information reasonably requested by the Administrative Agent or any Lender who is not a lender under the Existing 364-Day Credit Agreement under applicable “know your customer” and anti-money-laundering rules and regulations, including the USA Patriot Act and the Beneficial Ownership Regulation</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72" w:lineRule="exact"/>
        <w:rPr>
          <w:sz w:val="20"/>
          <w:szCs w:val="20"/>
          <w:color w:val="auto"/>
        </w:rPr>
      </w:pPr>
    </w:p>
    <w:p>
      <w:pPr>
        <w:jc w:val="both"/>
        <w:ind w:right="380" w:firstLine="987"/>
        <w:spacing w:after="0" w:line="261"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Subsidiary Borrower Bankruptcy Events</w:t>
      </w:r>
      <w:r>
        <w:rPr>
          <w:rFonts w:ascii="Times New Roman" w:cs="Times New Roman" w:eastAsia="Times New Roman" w:hAnsi="Times New Roman"/>
          <w:sz w:val="18"/>
          <w:szCs w:val="18"/>
          <w:color w:val="auto"/>
        </w:rPr>
        <w:t>. With respect to any Loan made to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9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AFFIRMATIVE COVENANTS</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54"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0" w:name="page61"/>
    <w:bookmarkEnd w:id="60"/>
    <w:p>
      <w:pPr>
        <w:ind w:left="4" w:right="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quarterly financial statements shall be required to be delivered with respect to the last fiscal quarter of any fiscal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financial statements shall be deemed to be delivered upon the filing with the SEC of its Form 10-K or Form 10-Q for the relevant fiscal period;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any restatement of previously delivered (or deemed delivered) financial statements shall not constitute a breach or violation of this Section 6.1.</w:t>
      </w:r>
    </w:p>
    <w:p>
      <w:pPr>
        <w:spacing w:after="0" w:line="158"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3"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Maintenance of Business; Existence</w:t>
      </w:r>
      <w:r>
        <w:rPr>
          <w:rFonts w:ascii="Times New Roman" w:cs="Times New Roman" w:eastAsia="Times New Roman" w:hAnsi="Times New Roman"/>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0"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8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0"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Reinstated Guarantors, etc</w:t>
      </w:r>
      <w:r>
        <w:rPr>
          <w:rFonts w:ascii="Times New Roman" w:cs="Times New Roman" w:eastAsia="Times New Roman" w:hAnsi="Times New Roman"/>
          <w:sz w:val="18"/>
          <w:szCs w:val="18"/>
          <w:color w:val="auto"/>
        </w:rPr>
        <w:t>. (a) 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provided, that the foregoing requirements shall not apply to GM Holdings.</w:t>
      </w:r>
    </w:p>
    <w:p>
      <w:pPr>
        <w:spacing w:after="0" w:line="180" w:lineRule="exact"/>
        <w:rPr>
          <w:sz w:val="20"/>
          <w:szCs w:val="20"/>
          <w:color w:val="auto"/>
        </w:rPr>
      </w:pPr>
    </w:p>
    <w:p>
      <w:pPr>
        <w:ind w:left="1244" w:hanging="253"/>
        <w:spacing w:after="0"/>
        <w:tabs>
          <w:tab w:leader="none" w:pos="124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Reinstated Guarantee Requirement Period, within 90 days after the end of any fiscal quarter of the Company, during which</w:t>
      </w:r>
    </w:p>
    <w:p>
      <w:pPr>
        <w:spacing w:after="0" w:line="27" w:lineRule="exact"/>
        <w:rPr>
          <w:rFonts w:ascii="Times New Roman" w:cs="Times New Roman" w:eastAsia="Times New Roman" w:hAnsi="Times New Roman"/>
          <w:sz w:val="18"/>
          <w:szCs w:val="18"/>
          <w:color w:val="auto"/>
        </w:rPr>
      </w:pPr>
    </w:p>
    <w:p>
      <w:pPr>
        <w:ind w:left="4" w:right="20" w:hanging="4"/>
        <w:spacing w:after="0" w:line="252" w:lineRule="auto"/>
        <w:tabs>
          <w:tab w:leader="none" w:pos="2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61" w:name="page62"/>
    <w:bookmarkEnd w:id="61"/>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83" w:lineRule="exact"/>
        <w:rPr>
          <w:sz w:val="20"/>
          <w:szCs w:val="20"/>
          <w:color w:val="auto"/>
        </w:rPr>
      </w:pPr>
    </w:p>
    <w:p>
      <w:pPr>
        <w:ind w:left="4" w:right="680" w:firstLine="987"/>
        <w:spacing w:after="0" w:line="282"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62"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76"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to obtain or maintain, as applicable, a specific Index Debt Rating.</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54"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The Company shall not at any time permit the Consolidated Global Liquidity to be less than $4 billion or the Consolidated Domestic Liquidity to be less than $2 billion.</w:t>
      </w:r>
    </w:p>
    <w:p>
      <w:pPr>
        <w:spacing w:after="0" w:line="162"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Company shall not, and shall not permit any Principal Domestic Subsidiary to, incur Indebtedness that is secured by a Lien on any Previously Pledged Assets other than (A) Indebtedness secured by Permitted Liens on such Previously Pledged Assets and</w:t>
      </w:r>
    </w:p>
    <w:p>
      <w:pPr>
        <w:ind w:left="4" w:right="140" w:hanging="4"/>
        <w:spacing w:after="0" w:line="260" w:lineRule="auto"/>
        <w:tabs>
          <w:tab w:leader="none" w:pos="2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Liens on such Previously Pledged Assets, in an aggregate principal amount, the Dollar Equivalent of which, at the time of the incurrence thereof, does not exceed 7.5% of Consolidated Tangible Assets.</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Asset Sale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5"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or Substantially All</w:t>
      </w:r>
      <w:r>
        <w:rPr>
          <w:rFonts w:ascii="Times New Roman" w:cs="Times New Roman" w:eastAsia="Times New Roman" w:hAnsi="Times New Roman"/>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any Reinstated Guarantee Period, any such transfer from a Subsidiary Guarantor shall be to another Subsidiary Guarantor;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the foregoing the Company or any of its Principal Domestic Subsidiaries may Dispose of all or any portion of an Excluded Subsidiary Business to one or more Excluded Subsidiaries.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2" w:name="page63"/>
    <w:bookmarkEnd w:id="62"/>
    <w:p>
      <w:pPr>
        <w:ind w:right="20" w:firstLine="987"/>
        <w:spacing w:after="0" w:line="25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Trade Names</w:t>
      </w:r>
      <w:r>
        <w:rPr>
          <w:rFonts w:ascii="Times New Roman" w:cs="Times New Roman" w:eastAsia="Times New Roman" w:hAnsi="Times New Roman"/>
          <w:sz w:val="18"/>
          <w:szCs w:val="18"/>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so long as no Obligations are owed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Company and its Subsidiary Borrowers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Region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63" w:name="page64"/>
    <w:bookmarkEnd w:id="63"/>
    <w:p>
      <w:pPr>
        <w:ind w:left="4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 EVENTS OF DEFAULT</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117" w:lineRule="exact"/>
        <w:rPr>
          <w:sz w:val="20"/>
          <w:szCs w:val="20"/>
          <w:color w:val="auto"/>
        </w:rPr>
      </w:pPr>
    </w:p>
    <w:p>
      <w:pPr>
        <w:jc w:val="both"/>
        <w:ind w:left="-20" w:right="200" w:firstLine="987"/>
        <w:spacing w:after="0" w:line="261"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of any Loan at maturity, (ii) any interest or Facility Fee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79" w:lineRule="exact"/>
        <w:rPr>
          <w:rFonts w:ascii="Times New Roman" w:cs="Times New Roman" w:eastAsia="Times New Roman" w:hAnsi="Times New Roman"/>
          <w:sz w:val="18"/>
          <w:szCs w:val="18"/>
          <w:color w:val="auto"/>
        </w:rPr>
      </w:pPr>
    </w:p>
    <w:p>
      <w:pPr>
        <w:ind w:left="-20" w:right="20" w:firstLine="987"/>
        <w:spacing w:after="0" w:line="312" w:lineRule="auto"/>
        <w:tabs>
          <w:tab w:leader="none" w:pos="122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39" w:lineRule="exact"/>
        <w:rPr>
          <w:rFonts w:ascii="Times New Roman" w:cs="Times New Roman" w:eastAsia="Times New Roman" w:hAnsi="Times New Roman"/>
          <w:sz w:val="17"/>
          <w:szCs w:val="17"/>
          <w:color w:val="auto"/>
        </w:rPr>
      </w:pPr>
    </w:p>
    <w:p>
      <w:pPr>
        <w:ind w:left="-20" w:firstLine="987"/>
        <w:spacing w:after="0" w:line="261"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79" w:lineRule="exact"/>
        <w:rPr>
          <w:rFonts w:ascii="Times New Roman" w:cs="Times New Roman" w:eastAsia="Times New Roman" w:hAnsi="Times New Roman"/>
          <w:sz w:val="18"/>
          <w:szCs w:val="18"/>
          <w:color w:val="auto"/>
        </w:rPr>
      </w:pPr>
    </w:p>
    <w:p>
      <w:pPr>
        <w:ind w:left="-20" w:right="100" w:firstLine="987"/>
        <w:spacing w:after="0" w:line="255" w:lineRule="auto"/>
        <w:tabs>
          <w:tab w:leader="none" w:pos="12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8" w:lineRule="exact"/>
        <w:rPr>
          <w:rFonts w:ascii="Times New Roman" w:cs="Times New Roman" w:eastAsia="Times New Roman" w:hAnsi="Times New Roman"/>
          <w:sz w:val="18"/>
          <w:szCs w:val="18"/>
          <w:color w:val="auto"/>
        </w:rPr>
      </w:pPr>
    </w:p>
    <w:p>
      <w:pPr>
        <w:ind w:left="-20" w:right="120" w:firstLine="987"/>
        <w:spacing w:after="0" w:line="255"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88"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ERISA Default; or</w:t>
      </w:r>
    </w:p>
    <w:p>
      <w:pPr>
        <w:spacing w:after="0" w:line="225"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60" w:top="270" w:right="479" w:bottom="1440" w:gutter="0" w:footer="0" w:header="0"/>
        </w:sectPr>
      </w:pPr>
    </w:p>
    <w:bookmarkStart w:id="64" w:name="page65"/>
    <w:bookmarkEnd w:id="64"/>
    <w:p>
      <w:pPr>
        <w:ind w:left="4" w:right="20" w:firstLine="987"/>
        <w:spacing w:after="0" w:line="282"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Guarantee of the Company or, during any Reinstated Guarantee Period, any Subsidiary Guarantor shall cease to be in full force and effect (other than pursuant to or as provided by the terms hereof or any other Loan Document); or</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w:t>
      </w:r>
    </w:p>
    <w:p>
      <w:pPr>
        <w:spacing w:after="0" w:line="225"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Borrowers.</w:t>
      </w:r>
    </w:p>
    <w:p>
      <w:pPr>
        <w:spacing w:after="0" w:line="200" w:lineRule="exact"/>
        <w:rPr>
          <w:sz w:val="20"/>
          <w:szCs w:val="20"/>
          <w:color w:val="auto"/>
        </w:rPr>
      </w:pPr>
    </w:p>
    <w:p>
      <w:pPr>
        <w:spacing w:after="0" w:line="21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SECTION 9. THE AGENTS</w:t>
      </w:r>
    </w:p>
    <w:p>
      <w:pPr>
        <w:spacing w:after="0" w:line="225" w:lineRule="exact"/>
        <w:rPr>
          <w:sz w:val="20"/>
          <w:szCs w:val="20"/>
          <w:color w:val="auto"/>
        </w:rPr>
      </w:pPr>
    </w:p>
    <w:p>
      <w:pPr>
        <w:ind w:left="4"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92"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6" w:lineRule="exact"/>
        <w:rPr>
          <w:sz w:val="20"/>
          <w:szCs w:val="20"/>
          <w:color w:val="auto"/>
        </w:rPr>
      </w:pPr>
    </w:p>
    <w:p>
      <w:pPr>
        <w:ind w:left="4" w:right="180" w:firstLine="991"/>
        <w:spacing w:after="0" w:line="272"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Exculpatory Provisions</w:t>
      </w:r>
      <w:r>
        <w:rPr>
          <w:rFonts w:ascii="Times New Roman" w:cs="Times New Roman" w:eastAsia="Times New Roman" w:hAnsi="Times New Roman"/>
          <w:sz w:val="17"/>
          <w:szCs w:val="17"/>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w:t>
      </w:r>
    </w:p>
    <w:p>
      <w:pPr>
        <w:spacing w:after="0" w:line="2" w:lineRule="exact"/>
        <w:rPr>
          <w:sz w:val="20"/>
          <w:szCs w:val="20"/>
          <w:color w:val="auto"/>
        </w:rPr>
      </w:pPr>
    </w:p>
    <w:p>
      <w:pPr>
        <w:ind w:left="4" w:hanging="4"/>
        <w:spacing w:after="0" w:line="253"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4"/>
          </w:cols>
          <w:pgMar w:left="436" w:top="270" w:right="479" w:bottom="1440" w:gutter="0" w:footer="0" w:header="0"/>
        </w:sectPr>
      </w:pPr>
    </w:p>
    <w:bookmarkStart w:id="65" w:name="page66"/>
    <w:bookmarkEnd w:id="65"/>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66" w:name="page67"/>
    <w:bookmarkEnd w:id="6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80" w:lineRule="exact"/>
        <w:rPr>
          <w:sz w:val="20"/>
          <w:szCs w:val="20"/>
          <w:color w:val="auto"/>
        </w:rPr>
      </w:pPr>
    </w:p>
    <w:p>
      <w:pPr>
        <w:ind w:right="40" w:firstLine="991"/>
        <w:spacing w:after="0" w:line="269"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xml:space="preserve">. The Lenders agree to indemnify the Administrative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79"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83"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Successor Administrative Agent</w:t>
      </w:r>
      <w:r>
        <w:rPr>
          <w:rFonts w:ascii="Times New Roman" w:cs="Times New Roman" w:eastAsia="Times New Roman" w:hAnsi="Times New Roman"/>
          <w:sz w:val="17"/>
          <w:szCs w:val="17"/>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70" w:right="479" w:bottom="1440" w:gutter="0" w:footer="0" w:header="0"/>
        </w:sectPr>
      </w:pPr>
    </w:p>
    <w:bookmarkStart w:id="67" w:name="page68"/>
    <w:bookmarkEnd w:id="67"/>
    <w:p>
      <w:pPr>
        <w:ind w:left="4"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77" w:lineRule="auto"/>
        <w:rPr>
          <w:sz w:val="20"/>
          <w:szCs w:val="20"/>
          <w:color w:val="auto"/>
        </w:rPr>
      </w:pPr>
      <w:r>
        <w:rPr>
          <w:rFonts w:ascii="Times New Roman" w:cs="Times New Roman" w:eastAsia="Times New Roman" w:hAnsi="Times New Roman"/>
          <w:sz w:val="17"/>
          <w:szCs w:val="17"/>
          <w:color w:val="auto"/>
        </w:rPr>
        <w:t xml:space="preserve">9.11 </w:t>
      </w:r>
      <w:r>
        <w:rPr>
          <w:rFonts w:ascii="Times New Roman" w:cs="Times New Roman" w:eastAsia="Times New Roman" w:hAnsi="Times New Roman"/>
          <w:sz w:val="17"/>
          <w:szCs w:val="17"/>
          <w:u w:val="single" w:color="auto"/>
          <w:color w:val="auto"/>
        </w:rPr>
        <w:t>Bookrunners, Lead Arrangers, Global and Regional Coordinators, Documentation Agents, Syndication Agent and Co-Syndication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Times New Roman" w:cs="Times New Roman" w:eastAsia="Times New Roman" w:hAnsi="Times New Roman"/>
          <w:sz w:val="17"/>
          <w:szCs w:val="17"/>
          <w:u w:val="single" w:color="auto"/>
          <w:color w:val="auto"/>
        </w:rPr>
        <w:t>Arrangers</w:t>
      </w:r>
      <w:r>
        <w:rPr>
          <w:rFonts w:ascii="Times New Roman" w:cs="Times New Roman" w:eastAsia="Times New Roman" w:hAnsi="Times New Roman"/>
          <w:sz w:val="17"/>
          <w:szCs w:val="17"/>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 (a) Each Lender (x) represents and warrants, as of the date such Person became a Lender party hereto, to, and</w:t>
      </w:r>
    </w:p>
    <w:p>
      <w:pPr>
        <w:spacing w:after="0" w:line="27" w:lineRule="exact"/>
        <w:rPr>
          <w:sz w:val="20"/>
          <w:szCs w:val="20"/>
          <w:color w:val="auto"/>
        </w:rPr>
      </w:pPr>
    </w:p>
    <w:p>
      <w:pPr>
        <w:ind w:left="4" w:right="40" w:hanging="4"/>
        <w:spacing w:after="0" w:line="255"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 at least one of the following is and will be true:</w:t>
      </w:r>
    </w:p>
    <w:p>
      <w:pPr>
        <w:spacing w:after="0" w:line="77" w:lineRule="exact"/>
        <w:rPr>
          <w:rFonts w:ascii="Times New Roman" w:cs="Times New Roman" w:eastAsia="Times New Roman" w:hAnsi="Times New Roman"/>
          <w:sz w:val="18"/>
          <w:szCs w:val="18"/>
          <w:color w:val="auto"/>
        </w:rPr>
      </w:pPr>
    </w:p>
    <w:p>
      <w:pPr>
        <w:ind w:left="984" w:right="620" w:firstLine="408"/>
        <w:spacing w:after="0" w:line="282" w:lineRule="auto"/>
        <w:tabs>
          <w:tab w:leader="none" w:pos="16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or the Commitments,</w:t>
      </w:r>
    </w:p>
    <w:p>
      <w:pPr>
        <w:spacing w:after="0" w:line="53" w:lineRule="exact"/>
        <w:rPr>
          <w:rFonts w:ascii="Times New Roman" w:cs="Times New Roman" w:eastAsia="Times New Roman" w:hAnsi="Times New Roman"/>
          <w:sz w:val="18"/>
          <w:szCs w:val="18"/>
          <w:color w:val="auto"/>
        </w:rPr>
      </w:pPr>
    </w:p>
    <w:p>
      <w:pPr>
        <w:ind w:left="984" w:right="100" w:firstLine="408"/>
        <w:spacing w:after="0" w:line="256" w:lineRule="auto"/>
        <w:tabs>
          <w:tab w:leader="none" w:pos="165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79" w:lineRule="exact"/>
        <w:rPr>
          <w:rFonts w:ascii="Times New Roman" w:cs="Times New Roman" w:eastAsia="Times New Roman" w:hAnsi="Times New Roman"/>
          <w:sz w:val="18"/>
          <w:szCs w:val="18"/>
          <w:color w:val="auto"/>
        </w:rPr>
      </w:pPr>
    </w:p>
    <w:p>
      <w:pPr>
        <w:ind w:left="984" w:right="80" w:firstLine="408"/>
        <w:spacing w:after="0" w:line="255" w:lineRule="auto"/>
        <w:tabs>
          <w:tab w:leader="none" w:pos="17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w:t>
      </w:r>
    </w:p>
    <w:p>
      <w:pPr>
        <w:spacing w:after="0" w:line="2" w:lineRule="exact"/>
        <w:rPr>
          <w:rFonts w:ascii="Times New Roman" w:cs="Times New Roman" w:eastAsia="Times New Roman" w:hAnsi="Times New Roman"/>
          <w:sz w:val="18"/>
          <w:szCs w:val="18"/>
          <w:color w:val="auto"/>
        </w:rPr>
      </w:pPr>
    </w:p>
    <w:p>
      <w:pPr>
        <w:ind w:left="984" w:right="220" w:firstLine="7"/>
        <w:spacing w:after="0" w:line="255" w:lineRule="auto"/>
        <w:tabs>
          <w:tab w:leader="none" w:pos="123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0" w:right="459" w:bottom="1440" w:gutter="0" w:footer="0" w:header="0"/>
        </w:sectPr>
      </w:pPr>
    </w:p>
    <w:bookmarkStart w:id="68" w:name="page69"/>
    <w:bookmarkEnd w:id="68"/>
    <w:p>
      <w:pPr>
        <w:ind w:left="984" w:right="440" w:firstLine="408"/>
        <w:spacing w:after="0" w:line="282" w:lineRule="auto"/>
        <w:tabs>
          <w:tab w:leader="none" w:pos="169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ind w:left="4" w:right="140" w:firstLine="987"/>
        <w:spacing w:after="0" w:line="276" w:lineRule="auto"/>
        <w:tabs>
          <w:tab w:leader="none" w:pos="125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4" w:right="80" w:hanging="4"/>
        <w:spacing w:after="0" w:line="252"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none of the Administrative Agent, or any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to hereto or thereto).</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Acknowledgements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70" w:lineRule="auto"/>
        <w:tabs>
          <w:tab w:leader="none" w:pos="124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is making the Loans hereunder as commercial loans in the ordinary course of its business and not for the purpose of purchasing, acquiring or holding any other type of financial instrument (and each Lender agrees not to assert a claim in contravention of the foregoing),</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3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independently and without reliance upon the Administrative Agent, any Arranger, any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2" w:lineRule="exact"/>
        <w:rPr>
          <w:rFonts w:ascii="Times New Roman" w:cs="Times New Roman" w:eastAsia="Times New Roman" w:hAnsi="Times New Roman"/>
          <w:sz w:val="18"/>
          <w:szCs w:val="18"/>
          <w:color w:val="auto"/>
        </w:rPr>
      </w:pPr>
    </w:p>
    <w:p>
      <w:pPr>
        <w:jc w:val="both"/>
        <w:ind w:left="4" w:right="60" w:firstLine="987"/>
        <w:spacing w:after="0" w:line="261" w:lineRule="auto"/>
        <w:tabs>
          <w:tab w:leader="none" w:pos="125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hereby agrees that (x) if the Administrative Agent notifies such Lender that the Administrative Agent has</w:t>
      </w:r>
    </w:p>
    <w:p>
      <w:pPr>
        <w:spacing w:after="0" w:line="27" w:lineRule="exact"/>
        <w:rPr>
          <w:sz w:val="20"/>
          <w:szCs w:val="20"/>
          <w:color w:val="auto"/>
        </w:rPr>
      </w:pPr>
    </w:p>
    <w:p>
      <w:pPr>
        <w:ind w:left="4" w:right="220"/>
        <w:spacing w:after="0" w:line="255" w:lineRule="auto"/>
        <w:rPr>
          <w:sz w:val="20"/>
          <w:szCs w:val="20"/>
          <w:color w:val="auto"/>
        </w:rPr>
      </w:pPr>
      <w:r>
        <w:rPr>
          <w:rFonts w:ascii="Times New Roman" w:cs="Times New Roman" w:eastAsia="Times New Roman" w:hAnsi="Times New Roman"/>
          <w:sz w:val="18"/>
          <w:szCs w:val="18"/>
          <w:color w:val="auto"/>
        </w:rPr>
        <w:t>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69" w:name="page70"/>
    <w:bookmarkEnd w:id="69"/>
    <w:p>
      <w:pPr>
        <w:ind w:right="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172" w:lineRule="exact"/>
        <w:rPr>
          <w:sz w:val="20"/>
          <w:szCs w:val="20"/>
          <w:color w:val="auto"/>
        </w:rPr>
      </w:pPr>
    </w:p>
    <w:p>
      <w:pPr>
        <w:ind w:firstLine="987"/>
        <w:spacing w:after="0" w:line="253" w:lineRule="auto"/>
        <w:tabs>
          <w:tab w:leader="none" w:pos="125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b w:val="1"/>
          <w:bCs w:val="1"/>
          <w:i w:val="1"/>
          <w:iCs w:val="1"/>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94" w:lineRule="exact"/>
        <w:rPr>
          <w:rFonts w:ascii="Times New Roman" w:cs="Times New Roman" w:eastAsia="Times New Roman" w:hAnsi="Times New Roman"/>
          <w:sz w:val="18"/>
          <w:szCs w:val="18"/>
          <w:color w:val="auto"/>
        </w:rPr>
      </w:pPr>
    </w:p>
    <w:p>
      <w:pPr>
        <w:ind w:right="100" w:firstLine="987"/>
        <w:spacing w:after="0" w:line="256" w:lineRule="auto"/>
        <w:tabs>
          <w:tab w:leader="none" w:pos="13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Payment is, and solely with respect to the amount of such Payment that is, comprised of funds of the Borrower or any other Loan Party (including, for the avoidance of doubt, the proceeds of any financing or contribution incurred or obtained by the Borrower or any Loan Party).</w:t>
      </w:r>
    </w:p>
    <w:p>
      <w:pPr>
        <w:spacing w:after="0" w:line="187" w:lineRule="exact"/>
        <w:rPr>
          <w:rFonts w:ascii="Times New Roman" w:cs="Times New Roman" w:eastAsia="Times New Roman" w:hAnsi="Times New Roman"/>
          <w:sz w:val="18"/>
          <w:szCs w:val="18"/>
          <w:color w:val="auto"/>
        </w:rPr>
      </w:pPr>
    </w:p>
    <w:p>
      <w:pPr>
        <w:ind w:right="200" w:firstLine="987"/>
        <w:spacing w:after="0" w:line="266" w:lineRule="auto"/>
        <w:tabs>
          <w:tab w:leader="none" w:pos="12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10. MISCELLANEOUS</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 Subject to Section 2.18(b), (c), (d) and Section 10.1(e), neither this Agreement, any other Loan Document, nor any terms hereof or thereof may be amended, supplemented or modified except in accordance with the provisions of this Section 10.1 or as otherwise expressly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update or revision to any annex or schedule to any Loan Document (other than any amendment or modification to Schedule 1.1C to this Agreement) (including any update or revision to any annex or schedule to any Loan Document related to a Guarantee Joinder) shall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0" w:name="page71"/>
    <w:bookmarkEnd w:id="70"/>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80" w:lineRule="exact"/>
        <w:rPr>
          <w:sz w:val="20"/>
          <w:szCs w:val="20"/>
          <w:color w:val="auto"/>
        </w:rPr>
      </w:pPr>
    </w:p>
    <w:p>
      <w:pPr>
        <w:ind w:left="980" w:firstLine="408"/>
        <w:spacing w:after="0" w:line="258" w:lineRule="auto"/>
        <w:tabs>
          <w:tab w:leader="none" w:pos="16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or reduce the voting rights of any Lender under this Section 10.1 without the written consent of such Lender;</w:t>
      </w:r>
    </w:p>
    <w:p>
      <w:pPr>
        <w:spacing w:after="0" w:line="117" w:lineRule="exact"/>
        <w:rPr>
          <w:rFonts w:ascii="Times New Roman" w:cs="Times New Roman" w:eastAsia="Times New Roman" w:hAnsi="Times New Roman"/>
          <w:sz w:val="18"/>
          <w:szCs w:val="18"/>
          <w:color w:val="auto"/>
        </w:rPr>
      </w:pPr>
    </w:p>
    <w:p>
      <w:pPr>
        <w:ind w:left="980" w:firstLine="408"/>
        <w:spacing w:after="0" w:line="258" w:lineRule="auto"/>
        <w:tabs>
          <w:tab w:leader="none" w:pos="16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Required Lenders without the written consent of all Lenders;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9 in a manner adverse to the Administrative Agent without the written consent of the Administrative Agent;</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2.19(a) or (b) without the written consent of each Lender adversely affected</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thereby;</w:t>
      </w:r>
    </w:p>
    <w:p>
      <w:pPr>
        <w:spacing w:after="0" w:line="98"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7"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available currencies to the Facility without the written consent of each Lender directly affected thereby.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1" w:name="page72"/>
    <w:bookmarkEnd w:id="71"/>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3" w:lineRule="exact"/>
        <w:rPr>
          <w:sz w:val="20"/>
          <w:szCs w:val="20"/>
          <w:color w:val="auto"/>
        </w:rPr>
      </w:pPr>
    </w:p>
    <w:p>
      <w:pPr>
        <w:ind w:right="60" w:firstLine="987"/>
        <w:spacing w:after="0" w:line="253"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notify the Lenders of any such amendment, modification, supplement or waiver consummated in accordance with this clause (ii) promptly after consummation thereof.</w:t>
      </w:r>
    </w:p>
    <w:p>
      <w:pPr>
        <w:spacing w:after="0" w:line="194"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it is understood that (i) any transaction permitted by Sections 2.11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87"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54" w:lineRule="exact"/>
        <w:rPr>
          <w:sz w:val="20"/>
          <w:szCs w:val="20"/>
          <w:color w:val="auto"/>
        </w:rPr>
      </w:pPr>
    </w:p>
    <w:p>
      <w:pPr>
        <w:ind w:right="100" w:firstLine="987"/>
        <w:spacing w:after="0" w:line="271" w:lineRule="auto"/>
        <w:tabs>
          <w:tab w:leader="none" w:pos="120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designate any Domestic Subsidiary of the Company as a Subsidiary Borrower upon (A) ten Business Days’ prior notice to the Administrative Agent (such notice to contain the name, primary business address and taxpayer identification number of such Domestic Subsidiary), (B) the execution and delivery by the Company, such Domestic Subsidiary and the Administrative Agent of a Borrower Joinder Agreement, providing for such Domestic Subsidiary to become a Subsidiary Borrower, (C) the agreement and acknowledgment by the Company and, during any Reinstated Guarantee Period, each Subsidiary Guarantor, that the Guarantee covers the Obligations of such Domestic Subsidiary, (D) the delivery to the Administrative Agent of corporate or other applicable resolutions, other corporate or other applicable documents, certificates and legal opinions in respect of such Domestic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anti-money-laundering Requirement of Law;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70" w:right="439" w:bottom="1440" w:gutter="0" w:footer="0" w:header="0"/>
        </w:sectPr>
      </w:pPr>
    </w:p>
    <w:bookmarkStart w:id="72" w:name="page73"/>
    <w:bookmarkEnd w:id="72"/>
    <w:p>
      <w:pPr>
        <w:ind w:right="40" w:firstLine="987"/>
        <w:spacing w:after="0" w:line="258" w:lineRule="auto"/>
        <w:tabs>
          <w:tab w:leader="none" w:pos="12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remove any Subsidiary as a Subsidiary Borrower upon (A) execution and delivery by the Company to the Administrative Agent of a written notification to such effect, (B) repayment in full of all Loans made to such Subsidiary Borrower and (C) repayment in full of all other amounts owing by such Subsidiary Borrower under this Agreement and the other Loan Documents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83" w:lineRule="exact"/>
        <w:rPr>
          <w:sz w:val="20"/>
          <w:szCs w:val="20"/>
          <w:color w:val="auto"/>
        </w:rPr>
      </w:pPr>
    </w:p>
    <w:p>
      <w:pPr>
        <w:ind w:right="860" w:firstLine="987"/>
        <w:spacing w:after="0" w:line="282"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other Loan Document to the contrary, this Agreement may be amended, supplemented or otherwise modified as set forth in Section 2.18.</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200"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spacing w:after="0" w:line="7"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Treasurer</w:t>
      </w:r>
    </w:p>
    <w:p>
      <w:pPr>
        <w:spacing w:after="0" w:line="200" w:lineRule="exact"/>
        <w:rPr>
          <w:sz w:val="20"/>
          <w:szCs w:val="20"/>
          <w:color w:val="auto"/>
        </w:rPr>
      </w:pPr>
    </w:p>
    <w:p>
      <w:pPr>
        <w:sectPr>
          <w:pgSz w:w="11900" w:h="16838" w:orient="portrait"/>
          <w:cols w:equalWidth="0" w:num="2">
            <w:col w:w="2960" w:space="460"/>
            <w:col w:w="7580"/>
          </w:cols>
          <w:pgMar w:left="440" w:top="270" w:right="459" w:bottom="1440" w:gutter="0" w:footer="0" w:header="0"/>
          <w:type w:val="continuous"/>
        </w:sectPr>
      </w:pPr>
    </w:p>
    <w:p>
      <w:pPr>
        <w:spacing w:after="0" w:line="18"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Capital Markets</w:t>
      </w:r>
    </w:p>
    <w:p>
      <w:pPr>
        <w:spacing w:after="0" w:line="200" w:lineRule="exact"/>
        <w:rPr>
          <w:sz w:val="20"/>
          <w:szCs w:val="20"/>
          <w:color w:val="auto"/>
        </w:rPr>
      </w:pPr>
    </w:p>
    <w:p>
      <w:pPr>
        <w:sectPr>
          <w:pgSz w:w="11900" w:h="16838" w:orient="portrait"/>
          <w:cols w:equalWidth="0" w:num="2">
            <w:col w:w="2760" w:space="660"/>
            <w:col w:w="7580"/>
          </w:cols>
          <w:pgMar w:left="440" w:top="270" w:right="459" w:bottom="1440" w:gutter="0" w:footer="0" w:header="0"/>
          <w:type w:val="continuous"/>
        </w:sectPr>
      </w:pPr>
    </w:p>
    <w:p>
      <w:pPr>
        <w:spacing w:after="0" w:line="18"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 B98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Treasury Operations</w:t>
      </w:r>
    </w:p>
    <w:p>
      <w:pPr>
        <w:spacing w:after="0" w:line="151" w:lineRule="exact"/>
        <w:rPr>
          <w:sz w:val="20"/>
          <w:szCs w:val="20"/>
          <w:color w:val="auto"/>
        </w:rPr>
      </w:pPr>
    </w:p>
    <w:p>
      <w:pPr>
        <w:sectPr>
          <w:pgSz w:w="11900" w:h="16838" w:orient="portrait"/>
          <w:cols w:equalWidth="0" w:num="2">
            <w:col w:w="2760" w:space="660"/>
            <w:col w:w="758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Any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-206375</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200" w:lineRule="exact"/>
        <w:rPr>
          <w:sz w:val="20"/>
          <w:szCs w:val="20"/>
          <w:color w:val="auto"/>
        </w:rPr>
      </w:pPr>
    </w:p>
    <w:p>
      <w:pPr>
        <w:sectPr>
          <w:pgSz w:w="11900" w:h="16838" w:orient="portrait"/>
          <w:cols w:equalWidth="0" w:num="2">
            <w:col w:w="2700" w:space="720"/>
            <w:col w:w="7560"/>
          </w:cols>
          <w:pgMar w:left="440" w:top="270" w:right="479" w:bottom="1440" w:gutter="0" w:footer="0" w:header="0"/>
        </w:sectPr>
      </w:pPr>
    </w:p>
    <w:p>
      <w:pPr>
        <w:spacing w:after="0" w:line="20"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482-C39-B40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craig.glidden@gm.com</w:t>
      </w:r>
    </w:p>
    <w:p>
      <w:pPr>
        <w:spacing w:after="0" w:line="200" w:lineRule="exact"/>
        <w:rPr>
          <w:sz w:val="20"/>
          <w:szCs w:val="20"/>
          <w:color w:val="auto"/>
        </w:rPr>
      </w:pPr>
    </w:p>
    <w:p>
      <w:pPr>
        <w:sectPr>
          <w:pgSz w:w="11900" w:h="16838" w:orient="portrait"/>
          <w:cols w:equalWidth="0" w:num="2">
            <w:col w:w="2760" w:space="660"/>
            <w:col w:w="7560"/>
          </w:cols>
          <w:pgMar w:left="440" w:top="270" w:right="479" w:bottom="1440" w:gutter="0" w:footer="0" w:header="0"/>
          <w:type w:val="continuous"/>
        </w:sectPr>
      </w:pPr>
    </w:p>
    <w:p>
      <w:pPr>
        <w:spacing w:after="0" w:line="18"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482-C23-A68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Corporate Secretary &amp; Lead Counsel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John.S.Kim@gm.com</w:t>
      </w:r>
    </w:p>
    <w:p>
      <w:pPr>
        <w:spacing w:after="0" w:line="200" w:lineRule="exact"/>
        <w:rPr>
          <w:sz w:val="20"/>
          <w:szCs w:val="20"/>
          <w:color w:val="auto"/>
        </w:rPr>
      </w:pPr>
    </w:p>
    <w:p>
      <w:pPr>
        <w:sectPr>
          <w:pgSz w:w="11900" w:h="16838" w:orient="portrait"/>
          <w:cols w:equalWidth="0" w:num="2">
            <w:col w:w="2760" w:space="660"/>
            <w:col w:w="7560"/>
          </w:cols>
          <w:pgMar w:left="440" w:top="270" w:right="4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JPMorgan Chase Bank, N.A., as Administrative Agent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302-752-5746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200" w:lineRule="exact"/>
        <w:rPr>
          <w:sz w:val="20"/>
          <w:szCs w:val="20"/>
          <w:color w:val="auto"/>
        </w:rPr>
      </w:pPr>
    </w:p>
    <w:p>
      <w:pPr>
        <w:sectPr>
          <w:pgSz w:w="11900" w:h="16838" w:orient="portrait"/>
          <w:cols w:equalWidth="0" w:num="2">
            <w:col w:w="2700" w:space="720"/>
            <w:col w:w="7560"/>
          </w:cols>
          <w:pgMar w:left="440" w:top="270" w:right="4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8181 Communications Pkwy, Bldg B, Floor 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Plano, TX, 75024,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Sean.Bodkin@jpmorgan.com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972-324-1749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Sean Bodkin</w:t>
      </w:r>
    </w:p>
    <w:p>
      <w:pPr>
        <w:spacing w:after="0" w:line="200" w:lineRule="exact"/>
        <w:rPr>
          <w:sz w:val="20"/>
          <w:szCs w:val="20"/>
          <w:color w:val="auto"/>
        </w:rPr>
      </w:pPr>
    </w:p>
    <w:p>
      <w:pPr>
        <w:sectPr>
          <w:pgSz w:w="11900" w:h="16838" w:orient="portrait"/>
          <w:cols w:equalWidth="0" w:num="2">
            <w:col w:w="2700" w:space="720"/>
            <w:col w:w="7560"/>
          </w:cols>
          <w:pgMar w:left="440" w:top="270" w:right="479" w:bottom="1440" w:gutter="0" w:footer="0" w:header="0"/>
          <w:type w:val="continuous"/>
        </w:sectPr>
      </w:pPr>
    </w:p>
    <w:p>
      <w:pPr>
        <w:spacing w:after="0" w:line="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 request or demand to or upon the Administrative Agent or the Lenders pursuant to Section 2.2, 2.9, 2.11, 2.12 or 2.14 shall not be effective until received.</w:t>
      </w:r>
    </w:p>
    <w:p>
      <w:pPr>
        <w:spacing w:after="0" w:line="162" w:lineRule="exact"/>
        <w:rPr>
          <w:sz w:val="20"/>
          <w:szCs w:val="20"/>
          <w:color w:val="auto"/>
        </w:rPr>
      </w:pPr>
    </w:p>
    <w:p>
      <w:pPr>
        <w:ind w:right="100" w:firstLine="987"/>
        <w:spacing w:after="0" w:line="266"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shall not be obligated to, make any notices or other Communications available to the Lenders by posting such Communications on IntraLinks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type w:val="continuous"/>
        </w:sectPr>
      </w:pPr>
    </w:p>
    <w:bookmarkStart w:id="74" w:name="page75"/>
    <w:bookmarkEnd w:id="74"/>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83" w:lineRule="exact"/>
        <w:rPr>
          <w:sz w:val="20"/>
          <w:szCs w:val="20"/>
          <w:color w:val="auto"/>
        </w:rPr>
      </w:pPr>
    </w:p>
    <w:p>
      <w:pPr>
        <w:ind w:left="4" w:right="80" w:firstLine="987"/>
        <w:spacing w:after="0" w:line="254" w:lineRule="auto"/>
        <w:tabs>
          <w:tab w:leader="none" w:pos="12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91" w:lineRule="exact"/>
        <w:rPr>
          <w:rFonts w:ascii="Times New Roman" w:cs="Times New Roman" w:eastAsia="Times New Roman" w:hAnsi="Times New Roman"/>
          <w:sz w:val="18"/>
          <w:szCs w:val="18"/>
          <w:color w:val="auto"/>
        </w:rPr>
      </w:pPr>
    </w:p>
    <w:p>
      <w:pPr>
        <w:ind w:left="4" w:right="320" w:firstLine="987"/>
        <w:spacing w:after="0" w:line="266" w:lineRule="auto"/>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Expenses; Limitation of Liability;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987"/>
        <w:spacing w:after="0" w:line="270" w:lineRule="auto"/>
        <w:tabs>
          <w:tab w:leader="none" w:pos="124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4"/>
          </w:cols>
          <w:pgMar w:left="436" w:top="270" w:right="479" w:bottom="1440" w:gutter="0" w:footer="0" w:header="0"/>
        </w:sectPr>
      </w:pPr>
    </w:p>
    <w:bookmarkStart w:id="75" w:name="page76"/>
    <w:bookmarkEnd w:id="75"/>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192" w:lineRule="exact"/>
        <w:rPr>
          <w:sz w:val="20"/>
          <w:szCs w:val="20"/>
          <w:color w:val="auto"/>
        </w:rPr>
      </w:pPr>
    </w:p>
    <w:p>
      <w:pPr>
        <w:ind w:right="20" w:firstLine="987"/>
        <w:spacing w:after="0" w:line="256"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of the proposed use of proceeds thereof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shall pay, indemnify or reimburse each Lender, the Administrative Agent, their respective affiliates, and their respective officers, directors, partners, employees, advisors, agents, controlling persons and trustees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collectively,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87"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76" w:name="page77"/>
    <w:bookmarkEnd w:id="76"/>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80" w:lineRule="exact"/>
        <w:rPr>
          <w:sz w:val="20"/>
          <w:szCs w:val="20"/>
          <w:color w:val="auto"/>
        </w:rPr>
      </w:pPr>
    </w:p>
    <w:p>
      <w:pPr>
        <w:ind w:left="4" w:firstLine="987"/>
        <w:spacing w:after="0" w:line="254" w:lineRule="auto"/>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92"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Successors and Assigns; Participations and Assignments</w:t>
      </w:r>
      <w:r>
        <w:rPr>
          <w:rFonts w:ascii="Times New Roman" w:cs="Times New Roman" w:eastAsia="Times New Roman" w:hAnsi="Times New Roman"/>
          <w:sz w:val="17"/>
          <w:szCs w:val="17"/>
          <w:color w:val="auto"/>
        </w:rPr>
        <w:t>. (a) The provisions of this Agreement shall be binding upon and inure to the benefit of the parties hereto and their respective successors and assigns permitted hereby,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w:t>
      </w:r>
    </w:p>
    <w:p>
      <w:pPr>
        <w:spacing w:after="0" w:line="3" w:lineRule="exact"/>
        <w:rPr>
          <w:sz w:val="20"/>
          <w:szCs w:val="20"/>
          <w:color w:val="auto"/>
        </w:rPr>
      </w:pPr>
    </w:p>
    <w:p>
      <w:pPr>
        <w:ind w:left="264" w:hanging="264"/>
        <w:spacing w:after="0"/>
        <w:tabs>
          <w:tab w:leader="none" w:pos="2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may assign or otherwise transfer its rights or obligations hereunder except in accordance with this Section 10.6.</w:t>
      </w:r>
    </w:p>
    <w:p>
      <w:pPr>
        <w:spacing w:after="0" w:line="206"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1" w:lineRule="exact"/>
        <w:rPr>
          <w:rFonts w:ascii="Times New Roman" w:cs="Times New Roman" w:eastAsia="Times New Roman" w:hAnsi="Times New Roman"/>
          <w:sz w:val="18"/>
          <w:szCs w:val="18"/>
          <w:color w:val="auto"/>
        </w:rPr>
      </w:pPr>
    </w:p>
    <w:p>
      <w:pPr>
        <w:jc w:val="both"/>
        <w:ind w:left="984" w:right="100" w:firstLine="408"/>
        <w:spacing w:after="0" w:line="266" w:lineRule="auto"/>
        <w:tabs>
          <w:tab w:leader="none" w:pos="164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6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consent provided for in clause (2) above shall be required for an assignment to a Lender or an affiliate thereof and</w:t>
      </w:r>
    </w:p>
    <w:p>
      <w:pPr>
        <w:spacing w:after="0" w:line="27" w:lineRule="exact"/>
        <w:rPr>
          <w:sz w:val="20"/>
          <w:szCs w:val="20"/>
          <w:color w:val="auto"/>
        </w:rPr>
      </w:pPr>
    </w:p>
    <w:p>
      <w:pPr>
        <w:ind w:left="984" w:right="440" w:firstLine="7"/>
        <w:spacing w:after="0" w:line="260" w:lineRule="auto"/>
        <w:tabs>
          <w:tab w:leader="none" w:pos="123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the Company provided for in clause (1) above shall be required if an Event of Default under Section 8(a) or (e) has occurred and is continuing.</w:t>
      </w:r>
    </w:p>
    <w:p>
      <w:pPr>
        <w:spacing w:after="0" w:line="181"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4"/>
          </w:cols>
          <w:pgMar w:left="436" w:top="270" w:right="499" w:bottom="1440" w:gutter="0" w:footer="0" w:header="0"/>
        </w:sectPr>
      </w:pPr>
    </w:p>
    <w:bookmarkStart w:id="77" w:name="page78"/>
    <w:bookmarkEnd w:id="77"/>
    <w:p>
      <w:pPr>
        <w:ind w:left="820" w:hanging="273"/>
        <w:spacing w:after="0"/>
        <w:tabs>
          <w:tab w:leader="none" w:pos="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540" w:firstLine="408"/>
        <w:spacing w:after="0" w:line="256" w:lineRule="auto"/>
        <w:tabs>
          <w:tab w:leader="none" w:pos="1236"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79" w:lineRule="exact"/>
        <w:rPr>
          <w:rFonts w:ascii="Times New Roman" w:cs="Times New Roman" w:eastAsia="Times New Roman" w:hAnsi="Times New Roman"/>
          <w:sz w:val="18"/>
          <w:szCs w:val="18"/>
          <w:color w:val="auto"/>
        </w:rPr>
      </w:pPr>
    </w:p>
    <w:p>
      <w:pPr>
        <w:ind w:left="540" w:right="220" w:firstLine="408"/>
        <w:spacing w:after="0" w:line="258" w:lineRule="auto"/>
        <w:tabs>
          <w:tab w:leader="none" w:pos="1226"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75" w:lineRule="exact"/>
        <w:rPr>
          <w:rFonts w:ascii="Times New Roman" w:cs="Times New Roman" w:eastAsia="Times New Roman" w:hAnsi="Times New Roman"/>
          <w:sz w:val="18"/>
          <w:szCs w:val="18"/>
          <w:color w:val="auto"/>
        </w:rPr>
      </w:pPr>
    </w:p>
    <w:p>
      <w:pPr>
        <w:ind w:left="540" w:right="860" w:firstLine="408"/>
        <w:spacing w:after="0" w:line="282" w:lineRule="auto"/>
        <w:tabs>
          <w:tab w:leader="none" w:pos="1226"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and the Company an administrative questionnaire.</w:t>
      </w:r>
    </w:p>
    <w:p>
      <w:pPr>
        <w:spacing w:after="0" w:line="53" w:lineRule="exact"/>
        <w:rPr>
          <w:rFonts w:ascii="Times New Roman" w:cs="Times New Roman" w:eastAsia="Times New Roman" w:hAnsi="Times New Roman"/>
          <w:sz w:val="18"/>
          <w:szCs w:val="18"/>
          <w:color w:val="auto"/>
        </w:rPr>
      </w:pPr>
    </w:p>
    <w:p>
      <w:pPr>
        <w:ind w:right="100" w:firstLine="419"/>
        <w:spacing w:after="0" w:line="254" w:lineRule="auto"/>
        <w:tabs>
          <w:tab w:leader="none" w:pos="7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80" w:lineRule="exact"/>
        <w:rPr>
          <w:rFonts w:ascii="Times New Roman" w:cs="Times New Roman" w:eastAsia="Times New Roman" w:hAnsi="Times New Roman"/>
          <w:sz w:val="18"/>
          <w:szCs w:val="18"/>
          <w:color w:val="auto"/>
        </w:rPr>
      </w:pPr>
    </w:p>
    <w:p>
      <w:pPr>
        <w:ind w:right="20" w:firstLine="419"/>
        <w:spacing w:after="0" w:line="254" w:lineRule="auto"/>
        <w:tabs>
          <w:tab w:leader="none" w:pos="7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Administrative Agent shall provide a copy of the Register to the Company upon its request at any time and from time to time by electronic communication.</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40"/>
          </w:cols>
          <w:pgMar w:left="880" w:top="270" w:right="479" w:bottom="1440" w:gutter="0" w:footer="0" w:header="0"/>
        </w:sectPr>
      </w:pPr>
    </w:p>
    <w:bookmarkStart w:id="78" w:name="page79"/>
    <w:bookmarkEnd w:id="78"/>
    <w:p>
      <w:pPr>
        <w:ind w:left="440" w:firstLine="419"/>
        <w:spacing w:after="0" w:line="274" w:lineRule="auto"/>
        <w:tabs>
          <w:tab w:leader="none" w:pos="111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2" w:lineRule="exact"/>
        <w:rPr>
          <w:rFonts w:ascii="Times New Roman" w:cs="Times New Roman" w:eastAsia="Times New Roman" w:hAnsi="Times New Roman"/>
          <w:sz w:val="17"/>
          <w:szCs w:val="17"/>
          <w:color w:val="auto"/>
        </w:rPr>
      </w:pPr>
    </w:p>
    <w:p>
      <w:pPr>
        <w:ind w:right="20" w:firstLine="987"/>
        <w:spacing w:after="0" w:line="251" w:lineRule="auto"/>
        <w:tabs>
          <w:tab w:leader="none" w:pos="12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Company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206" w:lineRule="exact"/>
        <w:rPr>
          <w:sz w:val="20"/>
          <w:szCs w:val="20"/>
          <w:color w:val="auto"/>
        </w:rPr>
      </w:pPr>
    </w:p>
    <w:p>
      <w:pPr>
        <w:ind w:left="440" w:right="20" w:firstLine="419"/>
        <w:spacing w:after="0" w:line="256" w:lineRule="auto"/>
        <w:tabs>
          <w:tab w:leader="none" w:pos="11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79" w:name="page80"/>
    <w:bookmarkEnd w:id="79"/>
    <w:p>
      <w:pPr>
        <w:ind w:firstLine="987"/>
        <w:spacing w:after="0" w:line="258"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any Lender (a “</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 Electronic Execution.</w:t>
      </w:r>
    </w:p>
    <w:p>
      <w:pPr>
        <w:spacing w:after="0" w:line="225" w:lineRule="exact"/>
        <w:rPr>
          <w:sz w:val="20"/>
          <w:szCs w:val="20"/>
          <w:color w:val="auto"/>
        </w:rPr>
      </w:pPr>
    </w:p>
    <w:p>
      <w:pPr>
        <w:ind w:firstLine="987"/>
        <w:spacing w:after="0" w:line="261"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be telecopy, emailed pdf. or any other electronic means that reproduces an image of the actual executed signature page shall be effective as delivery of a manually executed counterpart of this Agreement, such other Loan Documents or such Ancillary, as applicable. The words “execution,” “signed,” “signature,” “delivery,” and words of like import in or relating to this Agreement, any other Loan Documents and/or any Ancillary Document shall be deemed to include an electronic symbol or process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0" w:name="page81"/>
    <w:bookmarkEnd w:id="8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204"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58"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1" w:name="page82"/>
    <w:bookmarkEnd w:id="81"/>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(a) Each of the Administrative Agent, the Lenders, the Company, each Subsidiary Borrower and each other Loan Party hereby irrevocably and unconditionally:</w:t>
      </w:r>
    </w:p>
    <w:p>
      <w:pPr>
        <w:spacing w:after="0" w:line="54" w:lineRule="exact"/>
        <w:rPr>
          <w:sz w:val="20"/>
          <w:szCs w:val="20"/>
          <w:color w:val="auto"/>
        </w:rPr>
      </w:pPr>
    </w:p>
    <w:p>
      <w:pPr>
        <w:jc w:val="both"/>
        <w:ind w:left="440" w:right="80" w:firstLine="419"/>
        <w:spacing w:after="0" w:line="261" w:lineRule="auto"/>
        <w:tabs>
          <w:tab w:leader="none" w:pos="10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6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61"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obligations of the Company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Each of the Company and the Subsidiary Borrowers hereby acknowledges that:</w:t>
      </w:r>
    </w:p>
    <w:p>
      <w:pPr>
        <w:spacing w:after="0" w:line="117" w:lineRule="exact"/>
        <w:rPr>
          <w:sz w:val="20"/>
          <w:szCs w:val="20"/>
          <w:color w:val="auto"/>
        </w:rPr>
      </w:pPr>
    </w:p>
    <w:p>
      <w:pPr>
        <w:ind w:left="1240" w:hanging="253"/>
        <w:spacing w:after="0"/>
        <w:tabs>
          <w:tab w:leader="none" w:pos="1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225" w:lineRule="exact"/>
        <w:rPr>
          <w:rFonts w:ascii="Times New Roman" w:cs="Times New Roman" w:eastAsia="Times New Roman" w:hAnsi="Times New Roman"/>
          <w:sz w:val="18"/>
          <w:szCs w:val="18"/>
          <w:color w:val="auto"/>
        </w:rPr>
      </w:pPr>
    </w:p>
    <w:p>
      <w:pPr>
        <w:jc w:val="both"/>
        <w:ind w:right="100" w:firstLine="987"/>
        <w:spacing w:after="0" w:line="289" w:lineRule="auto"/>
        <w:tabs>
          <w:tab w:leader="none" w:pos="124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0"/>
          </w:cols>
          <w:pgMar w:left="440" w:top="270" w:right="499" w:bottom="1440" w:gutter="0" w:footer="0" w:header="0"/>
        </w:sectPr>
      </w:pPr>
    </w:p>
    <w:bookmarkStart w:id="82" w:name="page83"/>
    <w:bookmarkEnd w:id="82"/>
    <w:p>
      <w:pPr>
        <w:ind w:firstLine="987"/>
        <w:spacing w:after="0" w:line="282"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joint venture is created hereby or by the other Loan Documents or otherwise exists by virtue of the transactions contemplated hereby among the Lenders or among the Company or any Subsidiary and the Lenders.</w:t>
      </w:r>
    </w:p>
    <w:p>
      <w:pPr>
        <w:spacing w:after="0" w:line="162"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Releases of Guarantees.</w:t>
      </w:r>
      <w:r>
        <w:rPr>
          <w:rFonts w:ascii="Times New Roman" w:cs="Times New Roman" w:eastAsia="Times New Roman" w:hAnsi="Times New Roman"/>
          <w:sz w:val="18"/>
          <w:szCs w:val="18"/>
          <w:color w:val="auto"/>
        </w:rPr>
        <w:t xml:space="preserve"> 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87" w:lineRule="exact"/>
        <w:rPr>
          <w:sz w:val="20"/>
          <w:szCs w:val="20"/>
          <w:color w:val="auto"/>
        </w:rPr>
      </w:pPr>
    </w:p>
    <w:p>
      <w:pPr>
        <w:ind w:right="160" w:firstLine="987"/>
        <w:spacing w:after="0" w:line="266"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is hereby irrevocably authorized by each Lender (without requirement of notice to or consent of any Lender except as expressly required by Section 10.1) to take, and the Administrative Agent hereby agrees to take, promptly, any action reasonably requested by the Company having the effect of releasing, or evidencing the release of, the obligations of each Subsidiary Guarantor under the Guarantee.</w:t>
      </w:r>
    </w:p>
    <w:p>
      <w:pPr>
        <w:spacing w:after="0" w:line="187" w:lineRule="exact"/>
        <w:rPr>
          <w:rFonts w:ascii="Times New Roman" w:cs="Times New Roman" w:eastAsia="Times New Roman" w:hAnsi="Times New Roman"/>
          <w:sz w:val="18"/>
          <w:szCs w:val="18"/>
          <w:color w:val="auto"/>
        </w:rPr>
      </w:pPr>
    </w:p>
    <w:p>
      <w:pPr>
        <w:ind w:right="380" w:firstLine="987"/>
        <w:spacing w:after="0" w:line="266"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each Lender and each Transferee (each a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xml:space="preserve">”) agrees to keep confidential all non-public information provided to it by or on behalf of any Loan Party or any of its respective Subsidiaries, the Administrative Agent or any Lender pursuant to or in connection with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70" w:right="439" w:bottom="1440" w:gutter="0" w:footer="0" w:header="0"/>
        </w:sectPr>
      </w:pPr>
    </w:p>
    <w:bookmarkStart w:id="83" w:name="page84"/>
    <w:bookmarkEnd w:id="8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w:t>
      </w:r>
    </w:p>
    <w:p>
      <w:pPr>
        <w:spacing w:after="0" w:line="18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COMPANY, EACH SUBSIDIARY BORROWER, THE ADMINISTRATIVE AGENT AND THE LENDERS HEREBY IRREVOCABLY AND UNCONDITIONALLY WAIVE TRIAL BY JURY IN ANY LEGAL ACTION OR PROCEEDING RELATING TO THIS AGREEMENT OR ANY OTHER LOAN DOCUMENT AND FOR ANY COUNTERCLAIM THEREIN.</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USA Patriot Act and the Beneficial Ownership Regulation</w:t>
      </w:r>
      <w:r>
        <w:rPr>
          <w:rFonts w:ascii="Times New Roman" w:cs="Times New Roman" w:eastAsia="Times New Roman" w:hAnsi="Times New Roman"/>
          <w:sz w:val="18"/>
          <w:szCs w:val="18"/>
          <w:color w:val="auto"/>
        </w:rPr>
        <w:t>. Each Lender hereby notifies the Company and each Subsidiary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83"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terms and conditions of the Existing 364-Day Credit Agreement are amended as set forth in, and restated in their entirety and superseded by, this Agreement. Nothing in this Agreement shall be deemed to be a novation of any of the Obligations as defined in the Existing 364-Day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364-Day Credit Agreement. From and after the Closing Date, each reference to the “Agreement”, “Credit Agreement” or other reference originally applicable to the Existing 364-Day Credit Agreement contained in any Loan Document shall be a reference to this Agreement, as amended, supplemented, restated or otherwise modified from time to time.</w:t>
      </w:r>
    </w:p>
    <w:p>
      <w:pPr>
        <w:spacing w:after="0" w:line="189"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an Affected Financial Institution and agrees and consents to, and acknowledges and agrees to be bound by:</w:t>
      </w:r>
    </w:p>
    <w:p>
      <w:pPr>
        <w:spacing w:after="0" w:line="72" w:lineRule="exact"/>
        <w:rPr>
          <w:sz w:val="20"/>
          <w:szCs w:val="20"/>
          <w:color w:val="auto"/>
        </w:rPr>
      </w:pPr>
    </w:p>
    <w:p>
      <w:pPr>
        <w:ind w:right="560" w:firstLine="987"/>
        <w:spacing w:after="0" w:line="282" w:lineRule="auto"/>
        <w:tabs>
          <w:tab w:leader="none" w:pos="12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70" w:right="439" w:bottom="1440" w:gutter="0" w:footer="0" w:header="0"/>
        </w:sectPr>
      </w:pPr>
    </w:p>
    <w:bookmarkStart w:id="84" w:name="page85"/>
    <w:bookmarkEnd w:id="84"/>
    <w:p>
      <w:pPr>
        <w:ind w:left="440" w:right="100" w:firstLine="419"/>
        <w:spacing w:after="0" w:line="266" w:lineRule="auto"/>
        <w:tabs>
          <w:tab w:leader="none" w:pos="11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Loan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9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5" w:name="page86"/>
    <w:bookmarkEnd w:id="85"/>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Rakesh K. Gupta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GENERAL MOTORS FINANCIAL COMPANY,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A. Gokenbach, Jr.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 Treasurer</w:t>
      </w:r>
    </w:p>
    <w:p>
      <w:pPr>
        <w:spacing w:after="0" w:line="13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10600"/>
          </w:cols>
          <w:pgMar w:left="440" w:top="270" w:right="859" w:bottom="1440" w:gutter="0" w:footer="0" w:header="0"/>
        </w:sectPr>
      </w:pPr>
    </w:p>
    <w:bookmarkStart w:id="86" w:name="page87"/>
    <w:bookmarkEnd w:id="8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Administrative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and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S. Predun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580"/>
          </w:cols>
          <w:pgMar w:left="1440" w:top="270" w:right="879" w:bottom="1440" w:gutter="0" w:footer="0" w:header="0"/>
        </w:sectPr>
      </w:pPr>
    </w:p>
    <w:bookmarkStart w:id="87" w:name="page88"/>
    <w:bookmarkEnd w:id="8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M. Olsen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88" w:name="page89"/>
    <w:bookmarkEnd w:id="8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BILBAO VIZCAYA ARGENTARIA, S.A.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BRANCH, as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Miriam Trautmann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380"/>
          </w:cols>
          <w:pgMar w:left="1440" w:top="270" w:right="1079" w:bottom="1440" w:gutter="0" w:footer="0" w:header="0"/>
        </w:sectPr>
      </w:pPr>
    </w:p>
    <w:bookmarkStart w:id="89" w:name="page90"/>
    <w:bookmarkEnd w:id="8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Santander, S.A.,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Rita Walz-Cuccioli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Rita Walz-Cuccioli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420"/>
          </w:cols>
          <w:pgMar w:left="1440" w:top="270" w:right="1039" w:bottom="1440" w:gutter="0" w:footer="0" w:header="0"/>
        </w:sectPr>
      </w:pPr>
    </w:p>
    <w:bookmarkStart w:id="90" w:name="page91"/>
    <w:bookmarkEnd w:id="9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Maslanka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Marc Maslanka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91" w:name="page92"/>
    <w:bookmarkEnd w:id="9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Craig Malloy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92" w:name="page93"/>
    <w:bookmarkEnd w:id="9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Kirk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Kirk Hoffman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Monica Tilani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Monica Tilani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93" w:name="page94"/>
    <w:bookmarkEnd w:id="9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Imperial Bank of Commerce,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Farhad Merali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Farhad Merali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 &amp; Authorized Signatory</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840"/>
          </w:cols>
          <w:pgMar w:left="1440" w:top="270" w:right="619" w:bottom="1440" w:gutter="0" w:footer="0" w:header="0"/>
        </w:sectPr>
      </w:pPr>
    </w:p>
    <w:bookmarkStart w:id="94" w:name="page95"/>
    <w:bookmarkEnd w:id="9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COMMERZBANK AG,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Ravelo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Mathew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Mathew Ward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980"/>
          </w:cols>
          <w:pgMar w:left="1440" w:top="270" w:right="479" w:bottom="1440" w:gutter="0" w:footer="0" w:header="0"/>
        </w:sectPr>
      </w:pPr>
    </w:p>
    <w:bookmarkStart w:id="95" w:name="page96"/>
    <w:bookmarkEnd w:id="9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Agricole Corporate and Investment Bank,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Gary Herzog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Gary Herzog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Rosenkranz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Rosenkranz</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860"/>
          </w:cols>
          <w:pgMar w:left="1440" w:top="270" w:right="59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Ming K. Chu</w:t>
            </w:r>
          </w:p>
        </w:tc>
        <w:tc>
          <w:tcPr>
            <w:tcW w:w="1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ming.k.chu@db.com</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02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Ming K. Chu</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Director</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+1-212-250-5451</w:t>
            </w:r>
          </w:p>
        </w:tc>
        <w:tc>
          <w:tcPr>
            <w:tcW w:w="0" w:type="dxa"/>
            <w:vAlign w:val="bottom"/>
          </w:tcPr>
          <w:p>
            <w:pPr>
              <w:spacing w:after="0"/>
              <w:rPr>
                <w:sz w:val="1"/>
                <w:szCs w:val="1"/>
                <w:color w:val="auto"/>
              </w:rPr>
            </w:pPr>
          </w:p>
        </w:tc>
      </w:tr>
      <w:tr>
        <w:trPr>
          <w:trHeight w:val="459"/>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Marko Lukin</w:t>
            </w:r>
          </w:p>
        </w:tc>
        <w:tc>
          <w:tcPr>
            <w:tcW w:w="1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8"/>
              </w:rPr>
              <w:t>marko.lukin@db.com</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02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Marko Lukin</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Vice President</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+1-212-250-7283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10000"/>
          </w:cols>
          <w:pgMar w:left="1440" w:top="270" w:right="459"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98" w:name="page99"/>
    <w:bookmarkEnd w:id="9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Intesa Sanpaolo S.p.A.,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Schweon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Jennifer Feldman Facciola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Jennifer Feldman Facciola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Business Director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99" w:name="page100"/>
    <w:bookmarkEnd w:id="9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Corporate Markets plc,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Kamala Basdeo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Tina Wong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80"/>
          </w:cols>
          <w:pgMar w:left="1440" w:top="270" w:right="1379"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Benjamin Lennon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02" w:name="page103"/>
    <w:bookmarkEnd w:id="10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03" w:name="page104"/>
    <w:bookmarkEnd w:id="10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SOCIETE GENERALE,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Metzger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04" w:name="page105"/>
    <w:bookmarkEnd w:id="10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Minxiao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Minxiao Tian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3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240"/>
          </w:cols>
          <w:pgMar w:left="1440" w:top="270" w:right="1219" w:bottom="1440" w:gutter="0" w:footer="0" w:header="0"/>
        </w:sectPr>
      </w:pPr>
    </w:p>
    <w:bookmarkStart w:id="105" w:name="page106"/>
    <w:bookmarkEnd w:id="10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Troy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Troy Washington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06" w:name="page107"/>
    <w:bookmarkEnd w:id="10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BRANCH,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Maria Macchiaroli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Maria Macchiaroli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460"/>
          </w:cols>
          <w:pgMar w:left="1440" w:top="270" w:right="999" w:bottom="1440" w:gutter="0" w:footer="0" w:header="0"/>
        </w:sectPr>
      </w:pPr>
    </w:p>
    <w:bookmarkStart w:id="107" w:name="page108"/>
    <w:bookmarkEnd w:id="10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Clark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08" w:name="page109"/>
    <w:bookmarkEnd w:id="10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DBS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Kate Khoo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Kate Khoo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09" w:name="page110"/>
    <w:bookmarkEnd w:id="10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Margetanski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Margetanski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10" w:name="page111"/>
    <w:bookmarkEnd w:id="11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Jeffrey S. Johnson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460"/>
          </w:cols>
          <w:pgMar w:left="1440" w:top="270" w:right="999" w:bottom="1440" w:gutter="0" w:footer="0" w:header="0"/>
        </w:sectPr>
      </w:pPr>
    </w:p>
    <w:bookmarkStart w:id="111" w:name="page112"/>
    <w:bookmarkEnd w:id="1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AG, NEW YORK BRANCH,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Edward Herko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Edward Herko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520"/>
          </w:cols>
          <w:pgMar w:left="1440" w:top="270" w:right="939" w:bottom="1440" w:gutter="0" w:footer="0" w:header="0"/>
        </w:sectPr>
      </w:pPr>
    </w:p>
    <w:bookmarkStart w:id="112" w:name="page113"/>
    <w:bookmarkEnd w:id="1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D. Beck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300"/>
          </w:cols>
          <w:pgMar w:left="1440" w:top="270" w:right="1159"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ING Bank N.V., Dublin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Cormac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Cormac Langford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Hassett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14" w:name="page115"/>
    <w:bookmarkEnd w:id="11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Tak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Tak Cheng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Revolving Credit Agreement</w:t>
      </w:r>
    </w:p>
    <w:p>
      <w:pPr>
        <w:sectPr>
          <w:pgSz w:w="11900" w:h="16838" w:orient="portrait"/>
          <w:cols w:equalWidth="0" w:num="1">
            <w:col w:w="9019"/>
          </w:cols>
          <w:pgMar w:left="1440" w:top="270" w:right="1440" w:bottom="1440" w:gutter="0" w:footer="0" w:header="0"/>
        </w:sectPr>
      </w:pPr>
    </w:p>
    <w:bookmarkStart w:id="115" w:name="page116"/>
    <w:bookmarkEnd w:id="115"/>
    <w:p>
      <w:pPr>
        <w:ind w:left="96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391"/>
        </w:trPr>
        <w:tc>
          <w:tcPr>
            <w:tcW w:w="7020" w:type="dxa"/>
            <w:vAlign w:val="bottom"/>
            <w:gridSpan w:val="3"/>
          </w:tcPr>
          <w:p>
            <w:pPr>
              <w:ind w:left="40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18"/>
                <w:szCs w:val="18"/>
                <w:b w:val="1"/>
                <w:bCs w:val="1"/>
                <w:color w:val="auto"/>
              </w:rPr>
              <w:t>/DTTP I</w:t>
            </w:r>
            <w:r>
              <w:rPr>
                <w:rFonts w:ascii="Times New Roman" w:cs="Times New Roman" w:eastAsia="Times New Roman" w:hAnsi="Times New Roman"/>
                <w:sz w:val="14"/>
                <w:szCs w:val="14"/>
                <w:b w:val="1"/>
                <w:bCs w:val="1"/>
                <w:color w:val="auto"/>
              </w:rPr>
              <w:t>NFORMATION</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040" w:type="dxa"/>
            <w:vAlign w:val="bottom"/>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9"/>
        </w:trPr>
        <w:tc>
          <w:tcPr>
            <w:tcW w:w="7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Scheme Reference Number</w:t>
            </w:r>
          </w:p>
        </w:tc>
        <w:tc>
          <w:tcPr>
            <w:tcW w:w="132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of Tax</w:t>
            </w:r>
          </w:p>
        </w:tc>
        <w:tc>
          <w:tcPr>
            <w:tcW w:w="0" w:type="dxa"/>
            <w:vAlign w:val="bottom"/>
          </w:tcPr>
          <w:p>
            <w:pPr>
              <w:spacing w:after="0"/>
              <w:rPr>
                <w:sz w:val="1"/>
                <w:szCs w:val="1"/>
                <w:color w:val="auto"/>
              </w:rPr>
            </w:pPr>
          </w:p>
        </w:tc>
      </w:tr>
      <w:tr>
        <w:trPr>
          <w:trHeight w:val="173"/>
        </w:trPr>
        <w:tc>
          <w:tcPr>
            <w:tcW w:w="702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13/M/0268710/DTTP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Citibank, 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13/C/62301/DTTP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9/B/75354/DTTP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Banco Santander, S.A., New York Branch</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013/S/357603/DTTP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13/B/7418/DTTP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5/B/255139/DTTP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3/C/80001/DTTP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Commerzbank AG New York Branch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7/C/25382/DTTP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5/C/0222082/DTTP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07/D/70006/DTTP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13/G/0351779/DTTP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Intesa Sanpaolo S.p.A. - New York Branch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Lloyds Bank Corporate Markets plc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43/M/274822/DTTP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364"/>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Credit Agreement Schedule 1.1A</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6" w:name="page117"/>
    <w:bookmarkEnd w:id="1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60" w:type="dxa"/>
            <w:vAlign w:val="bottom"/>
          </w:tcPr>
          <w:p>
            <w:pPr>
              <w:spacing w:after="0"/>
              <w:rPr>
                <w:sz w:val="12"/>
                <w:szCs w:val="12"/>
                <w:color w:val="auto"/>
              </w:rPr>
            </w:pPr>
          </w:p>
        </w:tc>
        <w:tc>
          <w:tcPr>
            <w:tcW w:w="2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Scheme Reference Number</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Tax</w:t>
            </w:r>
          </w:p>
        </w:tc>
        <w:tc>
          <w:tcPr>
            <w:tcW w:w="0" w:type="dxa"/>
            <w:vAlign w:val="bottom"/>
          </w:tcPr>
          <w:p>
            <w:pPr>
              <w:spacing w:after="0"/>
              <w:rPr>
                <w:sz w:val="1"/>
                <w:szCs w:val="1"/>
                <w:color w:val="auto"/>
              </w:rPr>
            </w:pPr>
          </w:p>
        </w:tc>
      </w:tr>
      <w:tr>
        <w:trPr>
          <w:trHeight w:val="173"/>
        </w:trPr>
        <w:tc>
          <w:tcPr>
            <w:tcW w:w="68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13/M/227953/DTTP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3/R/70780/DTTP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Societe Generale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5/S/70085/DTTP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43/S/274647/DTTP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003/T/0366714/DTTP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3/T/80000/DTTP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3/M/270436/DTTP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DBS Bank Ltd.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67/D/363894/DTTP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43/B/322072/DTTP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13/U/62184/DTTP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UniCredit Bank AG, New York Branch</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7/U/237605/DTTP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13/W/61173/DTTP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ING Bank N.V., Dublin Branch</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12-I-371270-DTTP (with</w:t>
            </w:r>
          </w:p>
        </w:tc>
        <w:tc>
          <w:tcPr>
            <w:tcW w:w="86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respect to ING Ireland DAC</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as applicable lending office)</w:t>
            </w: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2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13/B/357401/DTTP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 w:type="dxa"/>
            <w:vAlign w:val="bottom"/>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Schedule 1.1A</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1.1B</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20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w w:val="98"/>
              </w:rPr>
              <w:t>Credit Agreement</w:t>
            </w: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58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NITIAL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XCLUDED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UBSIDIARIES</w:t>
            </w:r>
          </w:p>
        </w:tc>
        <w:tc>
          <w:tcPr>
            <w:tcW w:w="0" w:type="dxa"/>
            <w:vAlign w:val="bottom"/>
          </w:tcPr>
          <w:p>
            <w:pPr>
              <w:spacing w:after="0"/>
              <w:rPr>
                <w:sz w:val="1"/>
                <w:szCs w:val="1"/>
                <w:color w:val="auto"/>
              </w:rPr>
            </w:pPr>
          </w:p>
        </w:tc>
      </w:tr>
      <w:tr>
        <w:trPr>
          <w:trHeight w:val="387"/>
        </w:trPr>
        <w:tc>
          <w:tcPr>
            <w:tcW w:w="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7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0"/>
        </w:trPr>
        <w:tc>
          <w:tcPr>
            <w:tcW w:w="34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8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85"/>
        </w:trPr>
        <w:tc>
          <w:tcPr>
            <w:tcW w:w="9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Cruise LLC</w:t>
            </w:r>
          </w:p>
        </w:tc>
        <w:tc>
          <w:tcPr>
            <w:tcW w:w="2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Canada Holdings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GMGP Holdings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Maven Drive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Insurance Services, Inc.</w:t>
            </w:r>
          </w:p>
        </w:tc>
        <w:tc>
          <w:tcPr>
            <w:tcW w:w="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365"/>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Schedule 1.1B</w:t>
            </w:r>
          </w:p>
        </w:tc>
        <w:tc>
          <w:tcPr>
            <w:tcW w:w="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8" w:name="page119"/>
    <w:bookmarkEnd w:id="1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SCHEDULE 1.1C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62"/>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391"/>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RICING</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RID</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52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Spread</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 Moody’s / Fitch</w:t>
            </w: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for Term</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 Term</w:t>
            </w:r>
          </w:p>
        </w:tc>
        <w:tc>
          <w:tcPr>
            <w:tcW w:w="0" w:type="dxa"/>
            <w:vAlign w:val="bottom"/>
          </w:tcPr>
          <w:p>
            <w:pPr>
              <w:spacing w:after="0"/>
              <w:rPr>
                <w:sz w:val="1"/>
                <w:szCs w:val="1"/>
                <w:color w:val="auto"/>
              </w:rPr>
            </w:pPr>
          </w:p>
        </w:tc>
      </w:tr>
      <w:tr>
        <w:trPr>
          <w:trHeight w:val="146"/>
        </w:trPr>
        <w:tc>
          <w:tcPr>
            <w:tcW w:w="49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Fee</w:t>
            </w:r>
          </w:p>
        </w:tc>
        <w:tc>
          <w:tcPr>
            <w:tcW w:w="122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ABR</w:t>
            </w:r>
          </w:p>
        </w:tc>
        <w:tc>
          <w:tcPr>
            <w:tcW w:w="5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0" w:type="dxa"/>
            <w:vAlign w:val="bottom"/>
          </w:tcPr>
          <w:p>
            <w:pPr>
              <w:spacing w:after="0"/>
              <w:rPr>
                <w:sz w:val="1"/>
                <w:szCs w:val="1"/>
                <w:color w:val="auto"/>
              </w:rPr>
            </w:pPr>
          </w:p>
        </w:tc>
      </w:tr>
      <w:tr>
        <w:trPr>
          <w:trHeight w:val="182"/>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Company’s Rating</w:t>
            </w:r>
          </w:p>
        </w:tc>
        <w:tc>
          <w:tcPr>
            <w:tcW w:w="3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5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A/A2/A</w:t>
            </w:r>
          </w:p>
        </w:tc>
        <w:tc>
          <w:tcPr>
            <w:tcW w:w="1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A-/A3/A-</w:t>
            </w:r>
          </w:p>
        </w:tc>
        <w:tc>
          <w:tcPr>
            <w:tcW w:w="2320" w:type="dxa"/>
            <w:vAlign w:val="bottom"/>
            <w:gridSpan w:val="3"/>
          </w:tcPr>
          <w:p>
            <w:pPr>
              <w:jc w:val="center"/>
              <w:ind w:left="1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2320" w:type="dxa"/>
            <w:vAlign w:val="bottom"/>
            <w:gridSpan w:val="3"/>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Baa2 / BBB</w:t>
            </w:r>
          </w:p>
        </w:tc>
        <w:tc>
          <w:tcPr>
            <w:tcW w:w="2320" w:type="dxa"/>
            <w:vAlign w:val="bottom"/>
            <w:gridSpan w:val="3"/>
          </w:tcPr>
          <w:p>
            <w:pPr>
              <w:jc w:val="center"/>
              <w:ind w:left="1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Baa3 / BBB-</w:t>
            </w:r>
          </w:p>
        </w:tc>
        <w:tc>
          <w:tcPr>
            <w:tcW w:w="2320" w:type="dxa"/>
            <w:vAlign w:val="bottom"/>
            <w:gridSpan w:val="3"/>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BB+ / Ba1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BB+</w:t>
            </w:r>
          </w:p>
        </w:tc>
        <w:tc>
          <w:tcPr>
            <w:tcW w:w="2320" w:type="dxa"/>
            <w:vAlign w:val="bottom"/>
            <w:gridSpan w:val="3"/>
          </w:tcPr>
          <w:p>
            <w:pPr>
              <w:jc w:val="center"/>
              <w:ind w:left="1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BB / Ba2 / BB</w:t>
            </w:r>
          </w:p>
        </w:tc>
        <w:tc>
          <w:tcPr>
            <w:tcW w:w="2320" w:type="dxa"/>
            <w:vAlign w:val="bottom"/>
            <w:gridSpan w:val="3"/>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40"/>
        <w:spacing w:after="0" w:line="271" w:lineRule="auto"/>
        <w:rPr>
          <w:sz w:val="20"/>
          <w:szCs w:val="20"/>
          <w:color w:val="auto"/>
        </w:rPr>
      </w:pPr>
      <w:r>
        <w:rPr>
          <w:rFonts w:ascii="Times New Roman" w:cs="Times New Roman" w:eastAsia="Times New Roman" w:hAnsi="Times New Roman"/>
          <w:sz w:val="17"/>
          <w:szCs w:val="17"/>
          <w:color w:val="auto"/>
        </w:rPr>
        <w:t>Changes in the Applicable Margin and Facility Fee Rate set forth in the pricing grid above shall become effective on the date on which S&amp;P, Moody’s and/or Fitch changes the rating it has issued with respect to the applicable facility rating or, in the absence of a facility rating (as determined in the manner set forth in the last sentence of this paragraph),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1.1C</w:t>
      </w:r>
    </w:p>
    <w:p>
      <w:pPr>
        <w:sectPr>
          <w:pgSz w:w="11900" w:h="16838" w:orient="portrait"/>
          <w:cols w:equalWidth="0" w:num="1">
            <w:col w:w="11020"/>
          </w:cols>
          <w:pgMar w:left="440" w:top="270" w:right="439" w:bottom="1440" w:gutter="0" w:footer="0" w:header="0"/>
        </w:sectPr>
      </w:pPr>
    </w:p>
    <w:bookmarkStart w:id="119" w:name="page120"/>
    <w:bookmarkEnd w:id="119"/>
    <w:p>
      <w:pPr>
        <w:ind w:left="9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D</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XISTING</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IENS</w:t>
      </w:r>
    </w:p>
    <w:p>
      <w:pPr>
        <w:spacing w:after="0" w:line="229" w:lineRule="exact"/>
        <w:rPr>
          <w:sz w:val="20"/>
          <w:szCs w:val="20"/>
          <w:color w:val="auto"/>
        </w:rPr>
      </w:pPr>
    </w:p>
    <w:p>
      <w:pPr>
        <w:ind w:right="1460"/>
        <w:spacing w:after="0" w:line="454" w:lineRule="auto"/>
        <w:rPr>
          <w:sz w:val="20"/>
          <w:szCs w:val="20"/>
          <w:color w:val="auto"/>
        </w:rPr>
      </w:pPr>
      <w:r>
        <w:rPr>
          <w:rFonts w:ascii="Times New Roman" w:cs="Times New Roman" w:eastAsia="Times New Roman" w:hAnsi="Times New Roman"/>
          <w:sz w:val="18"/>
          <w:szCs w:val="18"/>
          <w:color w:val="auto"/>
        </w:rPr>
        <w:t>Liens reflected in the lien search results, dated as of March 30, 2022 delivered to the Administrative Agent prior to the Closing Date. Credit Agreement Schedule 1.1D</w:t>
      </w:r>
    </w:p>
    <w:p>
      <w:pPr>
        <w:sectPr>
          <w:pgSz w:w="11900" w:h="16838" w:orient="portrait"/>
          <w:cols w:equalWidth="0" w:num="1">
            <w:col w:w="11020"/>
          </w:cols>
          <w:pgMar w:left="440" w:top="270" w:right="439" w:bottom="1440" w:gutter="0" w:footer="0" w:header="0"/>
        </w:sectPr>
      </w:pPr>
    </w:p>
    <w:bookmarkStart w:id="120" w:name="page121"/>
    <w:bookmarkEnd w:id="120"/>
    <w:p>
      <w:pPr>
        <w:ind w:left="9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E</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XCLUDED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UBSIDIARY</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USINESSES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1.1E</w:t>
      </w:r>
    </w:p>
    <w:p>
      <w:pPr>
        <w:sectPr>
          <w:pgSz w:w="11900" w:h="16838" w:orient="portrait"/>
          <w:cols w:equalWidth="0" w:num="1">
            <w:col w:w="11020"/>
          </w:cols>
          <w:pgMar w:left="440" w:top="270" w:right="439" w:bottom="1440" w:gutter="0" w:footer="0" w:header="0"/>
        </w:sectPr>
      </w:pPr>
    </w:p>
    <w:bookmarkStart w:id="121" w:name="page122"/>
    <w:bookmarkEnd w:id="121"/>
    <w:p>
      <w:pPr>
        <w:ind w:left="98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4.6</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4"/>
          <w:szCs w:val="14"/>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4.6</w:t>
      </w:r>
    </w:p>
    <w:p>
      <w:pPr>
        <w:sectPr>
          <w:pgSz w:w="11900" w:h="16838" w:orient="portrait"/>
          <w:cols w:equalWidth="0" w:num="1">
            <w:col w:w="11020"/>
          </w:cols>
          <w:pgMar w:left="440" w:top="270" w:right="439" w:bottom="1440" w:gutter="0" w:footer="0" w:header="0"/>
        </w:sectPr>
      </w:pPr>
    </w:p>
    <w:bookmarkStart w:id="122" w:name="page123"/>
    <w:bookmarkEnd w:id="122"/>
    <w:p>
      <w:pPr>
        <w:ind w:left="8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FORM OF</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FOURTH AMENDED AND RESTATED GUARANTEE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made by</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 xml:space="preserve">AND CERTAIN OTHER PERSONS FROM TIME TO TIME PARTIES HERETO, </w:t>
      </w:r>
      <w:r>
        <w:rPr>
          <w:rFonts w:ascii="Times New Roman" w:cs="Times New Roman" w:eastAsia="Times New Roman" w:hAnsi="Times New Roman"/>
          <w:sz w:val="17"/>
          <w:szCs w:val="17"/>
          <w:i w:val="1"/>
          <w:iCs w:val="1"/>
          <w:color w:val="auto"/>
        </w:rPr>
        <w:t>as the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i w:val="1"/>
          <w:iCs w:val="1"/>
          <w:color w:val="auto"/>
        </w:rPr>
        <w:t>Guarantors</w:t>
      </w:r>
    </w:p>
    <w:p>
      <w:pPr>
        <w:spacing w:after="0" w:line="2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 favor of</w:t>
      </w:r>
    </w:p>
    <w:p>
      <w:pPr>
        <w:spacing w:after="0" w:line="2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Dated as of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0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9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780" w:type="dxa"/>
            <w:vAlign w:val="bottom"/>
            <w:gridSpan w:val="2"/>
            <w:vMerge w:val="continue"/>
          </w:tcPr>
          <w:p>
            <w:pPr>
              <w:spacing w:after="0"/>
              <w:rPr>
                <w:sz w:val="19"/>
                <w:szCs w:val="19"/>
                <w:color w:val="auto"/>
              </w:rPr>
            </w:pPr>
          </w:p>
        </w:tc>
        <w:tc>
          <w:tcPr>
            <w:tcW w:w="990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Subrogation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etc. with respect to the Guaranteed Obligations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of Administrative Agent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Electronic Signature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Headings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2"/>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0"/>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2"/>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99"/>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w:t>
            </w:r>
          </w:p>
        </w:tc>
        <w:tc>
          <w:tcPr>
            <w:tcW w:w="9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I</w:t>
            </w:r>
          </w:p>
        </w:tc>
        <w:tc>
          <w:tcPr>
            <w:tcW w:w="160" w:type="dxa"/>
            <w:vAlign w:val="bottom"/>
          </w:tcPr>
          <w:p>
            <w:pPr>
              <w:spacing w:after="0"/>
              <w:rPr>
                <w:sz w:val="24"/>
                <w:szCs w:val="24"/>
                <w:color w:val="auto"/>
              </w:rPr>
            </w:pPr>
          </w:p>
        </w:tc>
        <w:tc>
          <w:tcPr>
            <w:tcW w:w="9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Joinder Agreement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0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4" w:name="page125"/>
    <w:bookmarkEnd w:id="124"/>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 AMENDED AND RESTATED GUARANTEE AGREEMENT, dated as of [•],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by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Subsidiary Guarantors (such term and certain other capitalized terms used herein being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from time to time party hereto, and each of the Other Guarantors from time to time party hereto (together with the Company and the Subsidiary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from time to time party to the Fourth Amended and Restated</w:t>
      </w:r>
    </w:p>
    <w:p>
      <w:pPr>
        <w:spacing w:after="0" w:line="3"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364-Day Revolving Credit Agreement, dated as of the date hereof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named therein.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each of the Company and the Subsidiary Borrowers is a member of an affiliated group of companies that includes each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1. DEFINED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82"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assigned to such terms in the Credit Agreement.</w:t>
      </w:r>
    </w:p>
    <w:p>
      <w:pPr>
        <w:sectPr>
          <w:pgSz w:w="11900" w:h="16838" w:orient="portrait"/>
          <w:cols w:equalWidth="0" w:num="1">
            <w:col w:w="10960"/>
          </w:cols>
          <w:pgMar w:left="440" w:top="270" w:right="499" w:bottom="1440" w:gutter="0" w:footer="0" w:header="0"/>
        </w:sectPr>
      </w:pPr>
    </w:p>
    <w:bookmarkStart w:id="125" w:name="page126"/>
    <w:bookmarkEnd w:id="1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following terms shall have the following meanings: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and the Subsidiary Borrowers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or any Subsidiary Borrower pursuant to the terms of any of the Loan Documents).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collectively, the Administrative Agent, the Lenders and each other Person that holds a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26" w:name="page127"/>
    <w:bookmarkEnd w:id="126"/>
    <w:p>
      <w:pPr>
        <w:ind w:left="4" w:right="6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Subsidiary Guarantor</w:t>
      </w:r>
      <w:r>
        <w:rPr>
          <w:rFonts w:ascii="Times New Roman" w:cs="Times New Roman" w:eastAsia="Times New Roman" w:hAnsi="Times New Roman"/>
          <w:sz w:val="17"/>
          <w:szCs w:val="17"/>
          <w:color w:val="auto"/>
        </w:rPr>
        <w:t xml:space="preserve">” means during any Reinstated Guarantee Period, each Domestic Subsidiary that was a Principal Domestic Subsidiary on the applicable Guarantee Reinstatement Date or that became a party to this Agreement after such Guarantee Reinstatement Date pursuant to Section 6.6(b) or 10.1(b) of the Credit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term “Subsidiary Guarantor” shall not include (i) GM Holdings,</w:t>
      </w:r>
    </w:p>
    <w:p>
      <w:pPr>
        <w:spacing w:after="0" w:line="2" w:lineRule="exact"/>
        <w:rPr>
          <w:sz w:val="20"/>
          <w:szCs w:val="20"/>
          <w:color w:val="auto"/>
        </w:rPr>
      </w:pPr>
    </w:p>
    <w:p>
      <w:pPr>
        <w:jc w:val="both"/>
        <w:ind w:left="4" w:right="20" w:hanging="4"/>
        <w:spacing w:after="0" w:line="255" w:lineRule="auto"/>
        <w:tabs>
          <w:tab w:leader="none" w:pos="26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Subsidiary, (iii) 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36"/>
        <w:spacing w:after="0" w:line="312" w:lineRule="auto"/>
        <w:tabs>
          <w:tab w:leader="none" w:pos="68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39"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rFonts w:ascii="Times New Roman" w:cs="Times New Roman" w:eastAsia="Times New Roman" w:hAnsi="Times New Roman"/>
          <w:sz w:val="18"/>
          <w:szCs w:val="18"/>
          <w:color w:val="auto"/>
        </w:rPr>
      </w:pPr>
    </w:p>
    <w:p>
      <w:pPr>
        <w:ind w:left="4" w:right="240" w:firstLine="436"/>
        <w:spacing w:after="0" w:line="258" w:lineRule="auto"/>
        <w:tabs>
          <w:tab w:leader="none" w:pos="6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agreements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9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SECTION 2. Guarantee</w:t>
      </w:r>
    </w:p>
    <w:p>
      <w:pPr>
        <w:spacing w:after="0" w:line="252"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1" w:lineRule="auto"/>
        <w:tabs>
          <w:tab w:leader="none" w:pos="6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179"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9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480" w:firstLine="436"/>
        <w:spacing w:after="0" w:line="266" w:lineRule="auto"/>
        <w:tabs>
          <w:tab w:leader="none" w:pos="6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the Guaranteed Parties hereunder.</w:t>
      </w:r>
    </w:p>
    <w:p>
      <w:pPr>
        <w:spacing w:after="0" w:line="175" w:lineRule="exact"/>
        <w:rPr>
          <w:rFonts w:ascii="Times New Roman" w:cs="Times New Roman" w:eastAsia="Times New Roman" w:hAnsi="Times New Roman"/>
          <w:sz w:val="18"/>
          <w:szCs w:val="18"/>
          <w:color w:val="auto"/>
        </w:rPr>
      </w:pPr>
    </w:p>
    <w:p>
      <w:pPr>
        <w:jc w:val="both"/>
        <w:ind w:left="4" w:right="80" w:firstLine="436"/>
        <w:spacing w:after="0" w:line="266" w:lineRule="auto"/>
        <w:tabs>
          <w:tab w:leader="none" w:pos="69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27" w:name="page128"/>
    <w:bookmarkEnd w:id="127"/>
    <w:p>
      <w:pPr>
        <w:ind w:firstLine="436"/>
        <w:spacing w:after="0" w:line="255" w:lineRule="auto"/>
        <w:tabs>
          <w:tab w:leader="none" w:pos="6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Amendments, etc. with respect to the Guaranteed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28" w:name="page129"/>
    <w:bookmarkEnd w:id="128"/>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w:t>
      </w:r>
    </w:p>
    <w:p>
      <w:pPr>
        <w:spacing w:after="0" w:line="2" w:lineRule="exact"/>
        <w:rPr>
          <w:sz w:val="20"/>
          <w:szCs w:val="20"/>
          <w:color w:val="auto"/>
        </w:rPr>
      </w:pPr>
    </w:p>
    <w:p>
      <w:pPr>
        <w:ind w:left="4" w:right="40" w:hanging="4"/>
        <w:spacing w:after="0" w:line="251" w:lineRule="auto"/>
        <w:tabs>
          <w:tab w:leader="none" w:pos="2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Section 3.15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29" w:name="page130"/>
    <w:bookmarkEnd w:id="12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MISCELLANEOUS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None of the terms or provisions of this Agreement may be waived, amended, supplemented or otherwise modified except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All notices, requests and demands to or upon the Administrative Agent or any Guarantor hereunder shall be effected in the manner provided for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provided, that any such notice, request or demand to or upon any Guarantor shall be addressed to the Company at the addresses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(or such other address as the Company may at any time or from time to time provide for purposes of the Credit Agreement and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Waiver by Course of Conduct; Cumulative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No Guaranteed Party shall by any act (except by a written instrument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Enforcement Expenses;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8"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intending to duplicate the obligations of the Guarantors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and to the extent that the Company is required to pay or reimburse the Guaranteed Parties (or any of them), for various costs and expenses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or to indemnify the Indemnitees (or any of them) for the Indemnified Liabilities, in each case as and to the extent (and in the manner)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each Guarantor, jointly and severally, hereby agrees to make such payments or reimbursements and to provide such indemnification.</w:t>
      </w:r>
    </w:p>
    <w:p>
      <w:pPr>
        <w:spacing w:after="0" w:line="183"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of each Guarantor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repayment of the Guaranteed Obligations and all other amounts payable under the Credit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31" w:name="page132"/>
    <w:bookmarkEnd w:id="1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Counterparts; Electronic Signature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Section headings used in this Agreement are for convenience of reference only and are not to affect the construction hereof or be taken into consideration in the interpretation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32" w:name="page133"/>
    <w:bookmarkEnd w:id="1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16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THIS AGREEMENT AND THE RIGHTS AND OBLIGATIONS OF THE PARTIES UNDER THIS AGREEMENT SHALL BE GOVERNED BY, AND CONSTRUED AND INTERPRETED IN ACCORDANCE WITH, THE LAW OF THE STATE OF NEW YORK.</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Guarantor hereby irrevocably and unconditionally:</w:t>
      </w:r>
    </w:p>
    <w:p>
      <w:pPr>
        <w:spacing w:after="0" w:line="225" w:lineRule="exact"/>
        <w:rPr>
          <w:sz w:val="20"/>
          <w:szCs w:val="20"/>
          <w:color w:val="auto"/>
        </w:rPr>
      </w:pPr>
    </w:p>
    <w:p>
      <w:pPr>
        <w:ind w:right="80" w:firstLine="436"/>
        <w:spacing w:after="0" w:line="261"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79"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175"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parties hereto agree that Section 10.13 of the Credit Agreement shall apply to the obligations of the Guarantors hereunder, </w:t>
      </w:r>
      <w:r>
        <w:rPr>
          <w:rFonts w:ascii="Times New Roman" w:cs="Times New Roman" w:eastAsia="Times New Roman" w:hAnsi="Times New Roman"/>
          <w:sz w:val="18"/>
          <w:szCs w:val="18"/>
          <w:i w:val="1"/>
          <w:iCs w:val="1"/>
          <w:color w:val="auto"/>
        </w:rPr>
        <w:t>mutatis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Subsidiary of the Company that is required to become a party to this Agreement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 Credit Agreement, and each other Person (whether or not a Subsidiary of the Company) that the Company desires to become a party to this Agreement pursuant to</w:t>
      </w: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33" w:name="page134"/>
    <w:bookmarkEnd w:id="1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3.15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6"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10.15(c)</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10.15(d)</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75"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3.16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4" w:name="page135"/>
    <w:bookmarkEnd w:id="134"/>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GENERAL MOTORS COMPANY, </w:t>
      </w:r>
      <w:r>
        <w:rPr>
          <w:rFonts w:ascii="Times New Roman" w:cs="Times New Roman" w:eastAsia="Times New Roman" w:hAnsi="Times New Roman"/>
          <w:sz w:val="18"/>
          <w:szCs w:val="18"/>
          <w:i w:val="1"/>
          <w:iCs w:val="1"/>
          <w:color w:val="auto"/>
        </w:rPr>
        <w:t>as the Company</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Guarantee Agreement</w:t>
      </w:r>
    </w:p>
    <w:p>
      <w:pPr>
        <w:sectPr>
          <w:pgSz w:w="11900" w:h="16838" w:orient="portrait"/>
          <w:cols w:equalWidth="0" w:num="1">
            <w:col w:w="10960"/>
          </w:cols>
          <w:pgMar w:left="440" w:top="270"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 AS OF THE DATE 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Signature Page to Fourth Amended and Restated 364-Day Guarantee Agreement</w:t>
      </w:r>
    </w:p>
    <w:p>
      <w:pPr>
        <w:sectPr>
          <w:pgSz w:w="11900" w:h="16838" w:orient="portrait"/>
          <w:cols w:equalWidth="0" w:num="1">
            <w:col w:w="10019"/>
          </w:cols>
          <w:pgMar w:left="440" w:top="270" w:right="1440" w:bottom="1440" w:gutter="0" w:footer="0" w:header="0"/>
        </w:sectPr>
      </w:pPr>
    </w:p>
    <w:bookmarkStart w:id="136" w:name="page137"/>
    <w:bookmarkEnd w:id="136"/>
    <w:p>
      <w:pPr>
        <w:jc w:val="center"/>
        <w:ind w:left="92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7"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JOINDER AGREEMENT, dated as of ________________, 20__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made by ___________________________</w:t>
      </w:r>
    </w:p>
    <w:p>
      <w:pPr>
        <w:spacing w:after="0" w:line="27"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Additional Guarantor</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WHEREAS, pursuant to the terms of the certain Fourth Amended and Restated 364-Day Revolving Credit Agreement, dated as of April 5, 2022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from time to time parties thereto, the Lenders, the Administrative Agent, Citibank, N.A., as syndication agent, Bank of America, N.A., as co-syndication agent, and the other agents named therein, the Company [has] [and certain of its Subsidiaries (collectively, the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together with the Company and the other Persons party to the Guarantee Agreement (as defined below) as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the Fourth Amended and Restated Guarantee Agreement, dated as of [•], 2022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and</w:t>
      </w:r>
    </w:p>
    <w:p>
      <w:pPr>
        <w:spacing w:after="0" w:line="19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the Additional Guarantor desires to become a party to the Guarantee Agreement in accordance with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117" w:lineRule="exact"/>
        <w:rPr>
          <w:sz w:val="20"/>
          <w:szCs w:val="20"/>
          <w:color w:val="auto"/>
        </w:rPr>
      </w:pPr>
    </w:p>
    <w:p>
      <w:pPr>
        <w:ind w:firstLine="987"/>
        <w:spacing w:after="0" w:line="261" w:lineRule="auto"/>
        <w:tabs>
          <w:tab w:leader="none" w:pos="117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By executing and delivering this Joinder Agreement, the Additional Guarantor, as provided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75" w:lineRule="exact"/>
        <w:rPr>
          <w:rFonts w:ascii="Times New Roman" w:cs="Times New Roman" w:eastAsia="Times New Roman" w:hAnsi="Times New Roman"/>
          <w:sz w:val="18"/>
          <w:szCs w:val="18"/>
          <w:color w:val="auto"/>
        </w:rPr>
      </w:pPr>
    </w:p>
    <w:p>
      <w:pPr>
        <w:ind w:right="320" w:firstLine="987"/>
        <w:spacing w:after="0" w:line="268" w:lineRule="auto"/>
        <w:tabs>
          <w:tab w:leader="none" w:pos="117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70" w:right="459" w:bottom="1440" w:gutter="0" w:footer="0" w:header="0"/>
        </w:sectPr>
      </w:pPr>
    </w:p>
    <w:bookmarkStart w:id="137" w:name="page138"/>
    <w:bookmarkEnd w:id="137"/>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[ADDITIONAL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0"/>
          </w:cols>
          <w:pgMar w:left="440" w:top="270"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139" w:name="page140"/>
    <w:bookmarkEnd w:id="139"/>
    <w:p>
      <w:pPr>
        <w:jc w:val="center"/>
        <w:ind w:left="9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1"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6" w:lineRule="exact"/>
        <w:rPr>
          <w:sz w:val="20"/>
          <w:szCs w:val="20"/>
          <w:color w:val="auto"/>
        </w:rPr>
      </w:pPr>
    </w:p>
    <w:p>
      <w:pPr>
        <w:ind w:left="3784"/>
        <w:spacing w:after="0"/>
        <w:rPr>
          <w:sz w:val="20"/>
          <w:szCs w:val="20"/>
          <w:color w:val="auto"/>
        </w:rPr>
      </w:pPr>
      <w:r>
        <w:rPr>
          <w:rFonts w:ascii="Times New Roman" w:cs="Times New Roman" w:eastAsia="Times New Roman" w:hAnsi="Times New Roman"/>
          <w:sz w:val="18"/>
          <w:szCs w:val="18"/>
          <w:b w:val="1"/>
          <w:bCs w:val="1"/>
          <w:color w:val="auto"/>
        </w:rPr>
        <w:t>FORM OF COMPETITIVE BID REQUEST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Investment Bank Loan Operations North America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500 Stanton Christiana Road, NCC5, Floor 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302-752-5746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207" w:lineRule="exact"/>
        <w:rPr>
          <w:sz w:val="20"/>
          <w:szCs w:val="20"/>
          <w:color w:val="auto"/>
        </w:rPr>
      </w:pPr>
    </w:p>
    <w:p>
      <w:pPr>
        <w:ind w:left="7964"/>
        <w:spacing w:after="0"/>
        <w:rPr>
          <w:sz w:val="20"/>
          <w:szCs w:val="20"/>
          <w:color w:val="auto"/>
        </w:rPr>
      </w:pPr>
      <w:r>
        <w:rPr>
          <w:rFonts w:ascii="Times New Roman" w:cs="Times New Roman" w:eastAsia="Times New Roman" w:hAnsi="Times New Roman"/>
          <w:sz w:val="18"/>
          <w:szCs w:val="18"/>
          <w:color w:val="auto"/>
        </w:rPr>
        <w:t>_________, 20__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Ladies/Gentlemen:</w:t>
      </w:r>
    </w:p>
    <w:p>
      <w:pPr>
        <w:spacing w:after="0" w:line="11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undersigned, [INSERT NAME OF APPLICABLE BORROWER]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[and General Motors Company, a Delaware corporation (“</w:t>
      </w:r>
      <w:r>
        <w:rPr>
          <w:rFonts w:ascii="Times New Roman" w:cs="Times New Roman" w:eastAsia="Times New Roman" w:hAnsi="Times New Roman"/>
          <w:sz w:val="18"/>
          <w:szCs w:val="18"/>
          <w:u w:val="single" w:color="auto"/>
          <w:color w:val="auto"/>
        </w:rPr>
        <w:t>Company/Applicable Borrower”)]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refer[s] to the Fourth Amended and Restated 364-Day Revolving Credit Agreement, dated as of April 5, 2022,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Company/the Applicable Borrower]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2.9(a) of the Credit Agreement that it requests a Competitive Loan under the Credit Agreement, and in that connection sets forth below the terms on which such Competitive Loan is requested to be made:</w:t>
      </w:r>
    </w:p>
    <w:p>
      <w:pPr>
        <w:spacing w:after="0" w:line="215" w:lineRule="exact"/>
        <w:rPr>
          <w:sz w:val="20"/>
          <w:szCs w:val="20"/>
          <w:color w:val="auto"/>
        </w:rPr>
      </w:pPr>
    </w:p>
    <w:p>
      <w:pPr>
        <w:ind w:left="704" w:hanging="344"/>
        <w:spacing w:after="0"/>
        <w:tabs>
          <w:tab w:leader="none" w:pos="70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Competitive Loan (which is a Business Day)</w:t>
      </w:r>
    </w:p>
    <w:p>
      <w:pPr>
        <w:spacing w:after="0" w:line="117" w:lineRule="exact"/>
        <w:rPr>
          <w:rFonts w:ascii="Times New Roman" w:cs="Times New Roman" w:eastAsia="Times New Roman" w:hAnsi="Times New Roman"/>
          <w:sz w:val="18"/>
          <w:szCs w:val="18"/>
          <w:color w:val="auto"/>
        </w:rPr>
      </w:pPr>
    </w:p>
    <w:p>
      <w:pPr>
        <w:ind w:left="704" w:hanging="344"/>
        <w:spacing w:after="0"/>
        <w:tabs>
          <w:tab w:leader="none" w:pos="70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of Competitive Loan</w:t>
      </w: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17145</wp:posOffset>
            </wp:positionV>
            <wp:extent cx="34201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-187960</wp:posOffset>
            </wp:positionV>
            <wp:extent cx="34201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188595</wp:posOffset>
            </wp:positionV>
            <wp:extent cx="7715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13"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if the Company is not the Applicable Borrower.</w:t>
      </w:r>
    </w:p>
    <w:p>
      <w:pPr>
        <w:spacing w:after="0" w:line="26" w:lineRule="exact"/>
        <w:rPr>
          <w:sz w:val="20"/>
          <w:szCs w:val="20"/>
          <w:color w:val="auto"/>
        </w:rPr>
      </w:pPr>
    </w:p>
    <w:p>
      <w:pPr>
        <w:ind w:left="424" w:hanging="424"/>
        <w:spacing w:after="0"/>
        <w:tabs>
          <w:tab w:leader="none" w:pos="424"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If Bid Requested from the Company, it is the “Applicable Borrower”.</w:t>
      </w:r>
    </w:p>
    <w:p>
      <w:pPr>
        <w:spacing w:after="0" w:line="9" w:lineRule="exact"/>
        <w:rPr>
          <w:sz w:val="20"/>
          <w:szCs w:val="20"/>
          <w:color w:val="auto"/>
        </w:rPr>
      </w:pPr>
    </w:p>
    <w:p>
      <w:pPr>
        <w:ind w:left="424" w:hanging="424"/>
        <w:spacing w:after="0"/>
        <w:tabs>
          <w:tab w:leader="none" w:pos="424"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 less than $50,000,000 or Dollar Equivalent thereof.</w:t>
      </w:r>
    </w:p>
    <w:p>
      <w:pPr>
        <w:sectPr>
          <w:pgSz w:w="11900" w:h="16838" w:orient="portrait"/>
          <w:cols w:equalWidth="0" w:num="1">
            <w:col w:w="10964"/>
          </w:cols>
          <w:pgMar w:left="436" w:top="266" w:right="499" w:bottom="1440" w:gutter="0" w:footer="0" w:header="0"/>
        </w:sectPr>
      </w:pPr>
    </w:p>
    <w:bookmarkStart w:id="140" w:name="page141"/>
    <w:bookmarkEnd w:id="140"/>
    <w:p>
      <w:pPr>
        <w:ind w:left="704" w:hanging="344"/>
        <w:spacing w:after="0"/>
        <w:tabs>
          <w:tab w:leader="none" w:pos="70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rate basis</w:t>
      </w:r>
      <w:r>
        <w:rPr>
          <w:rFonts w:ascii="Times New Roman" w:cs="Times New Roman" w:eastAsia="Times New Roman" w:hAnsi="Times New Roman"/>
          <w:sz w:val="15"/>
          <w:szCs w:val="15"/>
          <w:color w:val="auto"/>
        </w:rPr>
        <w:t>4</w:t>
      </w:r>
    </w:p>
    <w:p>
      <w:pPr>
        <w:spacing w:after="0" w:line="117" w:lineRule="exact"/>
        <w:rPr>
          <w:rFonts w:ascii="Times New Roman" w:cs="Times New Roman" w:eastAsia="Times New Roman" w:hAnsi="Times New Roman"/>
          <w:sz w:val="18"/>
          <w:szCs w:val="18"/>
          <w:color w:val="auto"/>
        </w:rPr>
      </w:pPr>
    </w:p>
    <w:p>
      <w:pPr>
        <w:ind w:left="704" w:hanging="344"/>
        <w:spacing w:after="0"/>
        <w:tabs>
          <w:tab w:leader="none" w:pos="70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and the last day thereof</w:t>
      </w: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17145</wp:posOffset>
            </wp:positionV>
            <wp:extent cx="34201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-187960</wp:posOffset>
            </wp:positionV>
            <wp:extent cx="34201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6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[INSERT NAME OF APPLICABLE BORROWER]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1" w:lineRule="exact"/>
        <w:rPr>
          <w:sz w:val="20"/>
          <w:szCs w:val="20"/>
          <w:color w:val="auto"/>
        </w:rPr>
      </w:pPr>
    </w:p>
    <w:p>
      <w:pPr>
        <w:ind w:left="424" w:hanging="424"/>
        <w:spacing w:after="0"/>
        <w:tabs>
          <w:tab w:leader="none" w:pos="424"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Term Benchmark Competitive Loan or Fixed Rate Loan.</w:t>
      </w:r>
    </w:p>
    <w:p>
      <w:pPr>
        <w:spacing w:after="0" w:line="26" w:lineRule="exact"/>
        <w:rPr>
          <w:sz w:val="20"/>
          <w:szCs w:val="20"/>
          <w:color w:val="auto"/>
        </w:rPr>
      </w:pPr>
    </w:p>
    <w:p>
      <w:pPr>
        <w:ind w:left="424" w:hanging="424"/>
        <w:spacing w:after="0"/>
        <w:tabs>
          <w:tab w:leader="none" w:pos="424"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Which shall be subject to the definition of “Interest Period” and end on or before the Termination Date.</w:t>
      </w:r>
    </w:p>
    <w:p>
      <w:pPr>
        <w:sectPr>
          <w:pgSz w:w="11900" w:h="16838" w:orient="portrait"/>
          <w:cols w:equalWidth="0" w:num="1">
            <w:col w:w="10864"/>
          </w:cols>
          <w:pgMar w:left="436" w:top="270" w:right="599" w:bottom="1440" w:gutter="0" w:footer="0" w:header="0"/>
        </w:sectPr>
      </w:pPr>
    </w:p>
    <w:bookmarkStart w:id="141" w:name="page142"/>
    <w:bookmarkEnd w:id="141"/>
    <w:p>
      <w:pPr>
        <w:jc w:val="center"/>
        <w:ind w:left="9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31"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COMPETITIVE BID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Investment Bank Loan Operations North America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500 Stanton Christiana Road, NCC5, Floor 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302-752-5746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207" w:lineRule="exact"/>
        <w:rPr>
          <w:sz w:val="20"/>
          <w:szCs w:val="20"/>
          <w:color w:val="auto"/>
        </w:rPr>
      </w:pPr>
    </w:p>
    <w:p>
      <w:pPr>
        <w:ind w:left="7964"/>
        <w:spacing w:after="0"/>
        <w:rPr>
          <w:sz w:val="20"/>
          <w:szCs w:val="20"/>
          <w:color w:val="auto"/>
        </w:rPr>
      </w:pPr>
      <w:r>
        <w:rPr>
          <w:rFonts w:ascii="Times New Roman" w:cs="Times New Roman" w:eastAsia="Times New Roman" w:hAnsi="Times New Roman"/>
          <w:sz w:val="18"/>
          <w:szCs w:val="18"/>
          <w:color w:val="auto"/>
        </w:rPr>
        <w:t>_________, 20__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Ladies/Gentlemen:</w:t>
      </w:r>
    </w:p>
    <w:p>
      <w:pPr>
        <w:spacing w:after="0" w:line="11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The undersigned, [Name of Lender], refers to the Fourth Amended and Restated 364-Day Revolving Credit Agreement, dated as of April 5, 2022,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party thereto. Capitalized terms used herein and not otherwise defined herein shall have the meanings assigned to such terms in the Credit Agreement. The undersigned hereby makes a Competitive Bid pursuant to Section 2.9(c) of the Credit Agreement, in response to the Competitive Bid Request made by [INSERT NAME OF APPLICABLE BORROWER]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on _________, 20__, and in that connection sets forth below the terms on which such Competitive Bid is made:</w:t>
      </w:r>
    </w:p>
    <w:p>
      <w:pPr>
        <w:spacing w:after="0" w:line="94" w:lineRule="exact"/>
        <w:rPr>
          <w:sz w:val="20"/>
          <w:szCs w:val="20"/>
          <w:color w:val="auto"/>
        </w:rPr>
      </w:pPr>
    </w:p>
    <w:p>
      <w:pPr>
        <w:ind w:left="704" w:hanging="344"/>
        <w:spacing w:after="0"/>
        <w:tabs>
          <w:tab w:leader="none" w:pos="70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Competitive Loan</w:t>
      </w:r>
    </w:p>
    <w:p>
      <w:pPr>
        <w:spacing w:after="0" w:line="117" w:lineRule="exact"/>
        <w:rPr>
          <w:rFonts w:ascii="Times New Roman" w:cs="Times New Roman" w:eastAsia="Times New Roman" w:hAnsi="Times New Roman"/>
          <w:sz w:val="18"/>
          <w:szCs w:val="18"/>
          <w:color w:val="auto"/>
        </w:rPr>
      </w:pPr>
    </w:p>
    <w:p>
      <w:pPr>
        <w:ind w:left="704" w:hanging="344"/>
        <w:spacing w:after="0"/>
        <w:tabs>
          <w:tab w:leader="none" w:pos="70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w:t>
      </w:r>
      <w:r>
        <w:rPr>
          <w:rFonts w:ascii="Times New Roman" w:cs="Times New Roman" w:eastAsia="Times New Roman" w:hAnsi="Times New Roman"/>
          <w:sz w:val="15"/>
          <w:szCs w:val="15"/>
          <w:color w:val="auto"/>
        </w:rPr>
        <w:t>1</w:t>
      </w:r>
    </w:p>
    <w:p>
      <w:pPr>
        <w:spacing w:after="0" w:line="117" w:lineRule="exact"/>
        <w:rPr>
          <w:rFonts w:ascii="Times New Roman" w:cs="Times New Roman" w:eastAsia="Times New Roman" w:hAnsi="Times New Roman"/>
          <w:sz w:val="18"/>
          <w:szCs w:val="18"/>
          <w:color w:val="auto"/>
        </w:rPr>
      </w:pPr>
    </w:p>
    <w:p>
      <w:pPr>
        <w:ind w:left="704" w:hanging="344"/>
        <w:spacing w:after="0"/>
        <w:tabs>
          <w:tab w:leader="none" w:pos="70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Bid Rate</w:t>
      </w:r>
      <w:r>
        <w:rPr>
          <w:rFonts w:ascii="Times New Roman" w:cs="Times New Roman" w:eastAsia="Times New Roman" w:hAnsi="Times New Roman"/>
          <w:sz w:val="15"/>
          <w:szCs w:val="15"/>
          <w:color w:val="auto"/>
        </w:rPr>
        <w:t>2</w:t>
      </w:r>
    </w:p>
    <w:p>
      <w:pPr>
        <w:spacing w:after="0" w:line="117" w:lineRule="exact"/>
        <w:rPr>
          <w:rFonts w:ascii="Times New Roman" w:cs="Times New Roman" w:eastAsia="Times New Roman" w:hAnsi="Times New Roman"/>
          <w:sz w:val="18"/>
          <w:szCs w:val="18"/>
          <w:color w:val="auto"/>
        </w:rPr>
      </w:pPr>
    </w:p>
    <w:p>
      <w:pPr>
        <w:ind w:left="704" w:hanging="344"/>
        <w:spacing w:after="0"/>
        <w:tabs>
          <w:tab w:leader="none" w:pos="70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and last day thereof</w:t>
      </w:r>
    </w:p>
    <w:p>
      <w:pPr>
        <w:spacing w:after="0" w:line="333" w:lineRule="exact"/>
        <w:rPr>
          <w:rFonts w:ascii="Times New Roman" w:cs="Times New Roman" w:eastAsia="Times New Roman" w:hAnsi="Times New Roman"/>
          <w:sz w:val="18"/>
          <w:szCs w:val="18"/>
          <w:color w:val="auto"/>
        </w:rPr>
      </w:pPr>
    </w:p>
    <w:p>
      <w:pPr>
        <w:ind w:left="424" w:right="220" w:hanging="43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Not less than $5,000,000 or the Dollar Equivalent thereof (or greater than the requested Competitive Bid). Multiple bids will be accepted by the Administrative Agent (including up to 5 bids from any single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-478155</wp:posOffset>
            </wp:positionV>
            <wp:extent cx="34201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-683895</wp:posOffset>
            </wp:positionV>
            <wp:extent cx="34201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-889635</wp:posOffset>
            </wp:positionV>
            <wp:extent cx="34201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-1095375</wp:posOffset>
            </wp:positionV>
            <wp:extent cx="34201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-306705</wp:posOffset>
            </wp:positionV>
            <wp:extent cx="7715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200" w:hanging="424"/>
        <w:spacing w:after="0" w:line="262" w:lineRule="auto"/>
        <w:tabs>
          <w:tab w:leader="none" w:pos="424"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Adjusted Term SOFR Rate + or - __%, in the case of Term Benchmark Competitive Loans or __%, in the case of Fixed Rate Loans, in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expressed as a percentage per annum in the form of a decimal to no more than four decimal places.</w:t>
      </w:r>
    </w:p>
    <w:p>
      <w:pPr>
        <w:sectPr>
          <w:pgSz w:w="11900" w:h="16838" w:orient="portrait"/>
          <w:cols w:equalWidth="0" w:num="1">
            <w:col w:w="11004"/>
          </w:cols>
          <w:pgMar w:left="436" w:top="266" w:right="459" w:bottom="1440" w:gutter="0" w:footer="0" w:header="0"/>
        </w:sectPr>
      </w:pPr>
    </w:p>
    <w:bookmarkStart w:id="142" w:name="page143"/>
    <w:bookmarkEnd w:id="14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hereby confirms that it is prepared, subject to the conditions set forth in the Credit Agreement, to extend credit to the Applicable Borrower upon acceptance by the Applicable Borrower of this bid in accordance with Section 2.9(c) of the Credit Agreement.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640"/>
          </w:cols>
          <w:pgMar w:left="440" w:top="270" w:right="819" w:bottom="1440" w:gutter="0" w:footer="0" w:header="0"/>
        </w:sectPr>
      </w:pPr>
    </w:p>
    <w:bookmarkStart w:id="143" w:name="page144"/>
    <w:bookmarkEnd w:id="143"/>
    <w:p>
      <w:pPr>
        <w:jc w:val="center"/>
        <w:ind w:left="9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31"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6" w:lineRule="exact"/>
        <w:rPr>
          <w:sz w:val="20"/>
          <w:szCs w:val="20"/>
          <w:color w:val="auto"/>
        </w:rPr>
      </w:pPr>
    </w:p>
    <w:p>
      <w:pPr>
        <w:ind w:left="3064"/>
        <w:spacing w:after="0"/>
        <w:rPr>
          <w:sz w:val="20"/>
          <w:szCs w:val="20"/>
          <w:color w:val="auto"/>
        </w:rPr>
      </w:pPr>
      <w:r>
        <w:rPr>
          <w:rFonts w:ascii="Times New Roman" w:cs="Times New Roman" w:eastAsia="Times New Roman" w:hAnsi="Times New Roman"/>
          <w:sz w:val="18"/>
          <w:szCs w:val="18"/>
          <w:b w:val="1"/>
          <w:bCs w:val="1"/>
          <w:color w:val="auto"/>
        </w:rPr>
        <w:t>FORM OF COMPETITIVE BID ACCEPT/REJECT LETTER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Investment Bank Loan Operations North America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500 Stanton Christiana Road, NCC5, Floor 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302-752-5746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_________, 20__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Ladies/Gentlemen:</w:t>
      </w:r>
    </w:p>
    <w:p>
      <w:pPr>
        <w:spacing w:after="0" w:line="117"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The undersigned, [INSERT NAME OF APPLICABLE BORROWER]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[and General Motors Company, a Delaware corporation (the “Company/Applicable Borrower”)]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refer[s] to the Fourth Amended and Restated 364-Day Revolving Credit Agreement, dated as of April 5, 2022,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[Company/Applicable Borrower]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named therein. Unless otherwise defined herein, terms defined in the Credit Agreement and used herein shall have the meanings given to them therein.</w:t>
      </w:r>
    </w:p>
    <w:p>
      <w:pPr>
        <w:spacing w:after="0" w:line="189"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In accordance with Section 2.9(d) of the Credit Agreement, we have received a summary of bids in connection with our Competitive Bid Request dated _________, 20__ and in accordance with Section 2.9(e) of the Credit Agreement, we hereby accept the following bids:</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Fixed Rate/Margin</w:t>
      </w:r>
      <w:r>
        <w:rPr>
          <w:rFonts w:ascii="Times New Roman" w:cs="Times New Roman" w:eastAsia="Times New Roman" w:hAnsi="Times New Roman"/>
          <w:sz w:val="18"/>
          <w:szCs w:val="18"/>
          <w:color w:val="auto"/>
        </w:rPr>
        <w:t xml:space="preserve"> [%]/[+/-.__%]</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Maturity Date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Lender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Interest Period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Borrowing Date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hereby reject the following bids: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1"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if the Company is not the Applicable Borrower.</w:t>
      </w:r>
    </w:p>
    <w:p>
      <w:pPr>
        <w:spacing w:after="0" w:line="26" w:lineRule="exact"/>
        <w:rPr>
          <w:sz w:val="20"/>
          <w:szCs w:val="20"/>
          <w:color w:val="auto"/>
        </w:rPr>
      </w:pPr>
    </w:p>
    <w:p>
      <w:pPr>
        <w:ind w:left="424" w:hanging="424"/>
        <w:spacing w:after="0"/>
        <w:tabs>
          <w:tab w:leader="none" w:pos="424"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If Bid Requested by the Company, it is the “Applicable Borrower”.</w:t>
      </w:r>
    </w:p>
    <w:p>
      <w:pPr>
        <w:sectPr>
          <w:pgSz w:w="11900" w:h="16838" w:orient="portrait"/>
          <w:cols w:equalWidth="0" w:num="1">
            <w:col w:w="10984"/>
          </w:cols>
          <w:pgMar w:left="436" w:top="266"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Fixed Rate/Margin</w:t>
      </w:r>
      <w:r>
        <w:rPr>
          <w:rFonts w:ascii="Times New Roman" w:cs="Times New Roman" w:eastAsia="Times New Roman" w:hAnsi="Times New Roman"/>
          <w:sz w:val="18"/>
          <w:szCs w:val="18"/>
          <w:color w:val="auto"/>
        </w:rPr>
        <w:t xml:space="preserve"> [%]/[+/-.__%]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Borrowing Date</w:t>
      </w:r>
    </w:p>
    <w:p>
      <w:pPr>
        <w:spacing w:after="0" w:line="207" w:lineRule="exact"/>
        <w:rPr>
          <w:sz w:val="20"/>
          <w:szCs w:val="20"/>
          <w:color w:val="auto"/>
        </w:rPr>
      </w:pPr>
    </w:p>
    <w:p>
      <w:pPr>
        <w:ind w:left="440"/>
        <w:spacing w:after="0"/>
        <w:tabs>
          <w:tab w:leader="none" w:pos="1680" w:val="left"/>
        </w:tabs>
        <w:rPr>
          <w:sz w:val="20"/>
          <w:szCs w:val="20"/>
          <w:color w:val="auto"/>
        </w:rPr>
      </w:pPr>
      <w:r>
        <w:rPr>
          <w:rFonts w:ascii="Times New Roman" w:cs="Times New Roman" w:eastAsia="Times New Roman" w:hAnsi="Times New Roman"/>
          <w:sz w:val="18"/>
          <w:szCs w:val="18"/>
          <w:color w:val="auto"/>
        </w:rPr>
        <w:t>The [$]</w:t>
      </w:r>
      <w:r>
        <w:rPr>
          <w:sz w:val="20"/>
          <w:szCs w:val="20"/>
          <w:color w:val="auto"/>
        </w:rPr>
        <w:tab/>
      </w:r>
      <w:r>
        <w:rPr>
          <w:rFonts w:ascii="Times New Roman" w:cs="Times New Roman" w:eastAsia="Times New Roman" w:hAnsi="Times New Roman"/>
          <w:sz w:val="17"/>
          <w:szCs w:val="17"/>
          <w:color w:val="auto"/>
        </w:rPr>
        <w:t>should be made available to the Applicable Borrower in immediately available funds by crediting the following account:</w:t>
      </w:r>
    </w:p>
    <w:p>
      <w:pPr>
        <w:spacing w:after="0" w:line="2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[Bank Name]</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5715</wp:posOffset>
            </wp:positionV>
            <wp:extent cx="26485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ind w:left="1560"/>
        <w:spacing w:after="0"/>
        <w:rPr>
          <w:sz w:val="20"/>
          <w:szCs w:val="20"/>
          <w:color w:val="auto"/>
        </w:rPr>
      </w:pPr>
      <w:r>
        <w:rPr>
          <w:rFonts w:ascii="Times New Roman" w:cs="Times New Roman" w:eastAsia="Times New Roman" w:hAnsi="Times New Roman"/>
          <w:sz w:val="18"/>
          <w:szCs w:val="18"/>
          <w:color w:val="auto"/>
        </w:rPr>
        <w:t>Account #:</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22860</wp:posOffset>
            </wp:positionV>
            <wp:extent cx="26485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-121920</wp:posOffset>
            </wp:positionV>
            <wp:extent cx="26485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5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[INSERT NAME OF APPLICABLE BORROWER]</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00"/>
          </w:cols>
          <w:pgMar w:left="440" w:top="270" w:right="1059" w:bottom="1440" w:gutter="0" w:footer="0" w:header="0"/>
        </w:sectPr>
      </w:pPr>
    </w:p>
    <w:bookmarkStart w:id="145" w:name="page146"/>
    <w:bookmarkEnd w:id="145"/>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FORM OF INCREMENTAL LOAN ACTIVATION NOTICE</w:t>
      </w:r>
    </w:p>
    <w:p>
      <w:pPr>
        <w:spacing w:after="0" w:line="229" w:lineRule="exact"/>
        <w:rPr>
          <w:sz w:val="20"/>
          <w:szCs w:val="20"/>
          <w:color w:val="auto"/>
        </w:rPr>
      </w:pPr>
    </w:p>
    <w:p>
      <w:pPr>
        <w:jc w:val="center"/>
        <w:ind w:right="6760"/>
        <w:spacing w:after="0"/>
        <w:rPr>
          <w:sz w:val="20"/>
          <w:szCs w:val="20"/>
          <w:color w:val="auto"/>
        </w:rPr>
      </w:pPr>
      <w:r>
        <w:rPr>
          <w:rFonts w:ascii="Times New Roman" w:cs="Times New Roman" w:eastAsia="Times New Roman" w:hAnsi="Times New Roman"/>
          <w:sz w:val="17"/>
          <w:szCs w:val="17"/>
          <w:color w:val="auto"/>
        </w:rPr>
        <w:t>To: JPMorgan Chase Bank, N.A., as Administrative Agent</w:t>
      </w:r>
    </w:p>
    <w:p>
      <w:pPr>
        <w:spacing w:after="0" w:line="39"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18"/>
          <w:szCs w:val="18"/>
          <w:color w:val="auto"/>
        </w:rPr>
        <w:t>under the Credit Agreement referred to below</w:t>
      </w:r>
    </w:p>
    <w:p>
      <w:pPr>
        <w:spacing w:after="0" w:line="207"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Reference is made to that certain Fourth Amended and Restated 364-Day Revolving Credit Agreement, dated as of April 5, 2022,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This notice is an Incremental Loan Activation Notice referred to in the Credit Agreement, and the Company and each of the lenders party hereto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hereby notify you that:</w:t>
      </w:r>
    </w:p>
    <w:p>
      <w:pPr>
        <w:spacing w:after="0" w:line="54" w:lineRule="exact"/>
        <w:rPr>
          <w:sz w:val="20"/>
          <w:szCs w:val="20"/>
          <w:color w:val="auto"/>
        </w:rPr>
      </w:pPr>
    </w:p>
    <w:p>
      <w:pPr>
        <w:ind w:right="180" w:firstLine="987"/>
        <w:spacing w:after="0" w:line="282" w:lineRule="auto"/>
        <w:tabs>
          <w:tab w:leader="none" w:pos="117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party hereto agrees to increase the amount of its existing Commitment in the amount set forth opposite such Incremental Lender’s name on the signature pages hereof under the caption “Incremental Commitment”.</w:t>
      </w:r>
    </w:p>
    <w:p>
      <w:pPr>
        <w:spacing w:after="0" w:line="162" w:lineRule="exact"/>
        <w:rPr>
          <w:sz w:val="20"/>
          <w:szCs w:val="20"/>
          <w:color w:val="auto"/>
        </w:rPr>
      </w:pPr>
    </w:p>
    <w:p>
      <w:pPr>
        <w:ind w:left="980"/>
        <w:spacing w:after="0"/>
        <w:tabs>
          <w:tab w:leader="none" w:pos="5280" w:val="left"/>
        </w:tabs>
        <w:rPr>
          <w:sz w:val="20"/>
          <w:szCs w:val="20"/>
          <w:color w:val="auto"/>
        </w:rPr>
      </w:pPr>
      <w:r>
        <w:rPr>
          <w:rFonts w:ascii="Times New Roman" w:cs="Times New Roman" w:eastAsia="Times New Roman" w:hAnsi="Times New Roman"/>
          <w:sz w:val="18"/>
          <w:szCs w:val="18"/>
          <w:color w:val="auto"/>
        </w:rPr>
        <w:t>2. The Commitment Increase Date is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-7620</wp:posOffset>
            </wp:positionV>
            <wp:extent cx="10280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05" w:lineRule="exact"/>
        <w:rPr>
          <w:sz w:val="20"/>
          <w:szCs w:val="20"/>
          <w:color w:val="auto"/>
        </w:rPr>
      </w:pPr>
    </w:p>
    <w:p>
      <w:pPr>
        <w:ind w:right="240" w:firstLine="987"/>
        <w:spacing w:after="0" w:line="312" w:lineRule="auto"/>
        <w:tabs>
          <w:tab w:leader="none" w:pos="117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of each Incremental Lender party hereto to make the Incremental Loans to be made by it is subject to the satisfaction, prior to or concurrently with the making of such extension of credit on the Commitment Increase Date, of the following conditions precedent:</w:t>
      </w:r>
    </w:p>
    <w:p>
      <w:pPr>
        <w:spacing w:after="0" w:line="31" w:lineRule="exact"/>
        <w:rPr>
          <w:rFonts w:ascii="Times New Roman" w:cs="Times New Roman" w:eastAsia="Times New Roman" w:hAnsi="Times New Roman"/>
          <w:sz w:val="17"/>
          <w:szCs w:val="17"/>
          <w:color w:val="auto"/>
        </w:rPr>
      </w:pPr>
    </w:p>
    <w:p>
      <w:pPr>
        <w:ind w:left="980" w:right="120" w:firstLine="408"/>
        <w:spacing w:after="0" w:line="282" w:lineRule="auto"/>
        <w:tabs>
          <w:tab w:leader="none" w:pos="162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this notice, executed and delivered by the Company and each Incremental Lender party hereto.</w:t>
      </w:r>
    </w:p>
    <w:p>
      <w:pPr>
        <w:spacing w:after="0" w:line="53" w:lineRule="exact"/>
        <w:rPr>
          <w:rFonts w:ascii="Times New Roman" w:cs="Times New Roman" w:eastAsia="Times New Roman" w:hAnsi="Times New Roman"/>
          <w:sz w:val="18"/>
          <w:szCs w:val="18"/>
          <w:color w:val="auto"/>
        </w:rPr>
      </w:pPr>
    </w:p>
    <w:p>
      <w:pPr>
        <w:ind w:left="980" w:right="360" w:firstLine="408"/>
        <w:spacing w:after="0" w:line="266" w:lineRule="auto"/>
        <w:tabs>
          <w:tab w:leader="none" w:pos="163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Commitment Increase (including the incurrence of any Incremental Loans on the applicable Commitment Increase Date and use of proceeds thereof), (i) no Default or Event of Default shall be continuing and (ii) the sum of the Total Commitments in effect (including, for the avoidance of doubt, Incremental Commitments) shall not exceed $2 billion.</w:t>
      </w:r>
    </w:p>
    <w:p>
      <w:pPr>
        <w:spacing w:after="0" w:line="176"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4.Upon execution and delivery hereof, each Incremental Lender shall have the rights and obligations of a Lender under the Credit Agreement and the other Loan Documents, and shall be bound by the provisions thereof.</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80"/>
          </w:cols>
          <w:pgMar w:left="440" w:top="266" w:right="47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432"/>
        </w:trPr>
        <w:tc>
          <w:tcPr>
            <w:tcW w:w="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r>
      <w:tr>
        <w:trPr>
          <w:trHeight w:val="44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 Loan Commitment</w:t>
            </w: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[NAME OF EACH INCREMENTAL LENDER]</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46"/>
        </w:trPr>
        <w:tc>
          <w:tcPr>
            <w:tcW w:w="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r>
      <w:tr>
        <w:trPr>
          <w:trHeight w:val="56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RECEIVED BY:</w:t>
            </w:r>
          </w:p>
        </w:tc>
        <w:tc>
          <w:tcPr>
            <w:tcW w:w="15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154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5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91"/>
        </w:trPr>
        <w:tc>
          <w:tcPr>
            <w:tcW w:w="300" w:type="dxa"/>
            <w:vAlign w:val="bottom"/>
          </w:tcPr>
          <w:p>
            <w:pPr>
              <w:spacing w:after="0"/>
              <w:rPr>
                <w:sz w:val="16"/>
                <w:szCs w:val="16"/>
                <w:color w:val="auto"/>
              </w:rPr>
            </w:pPr>
          </w:p>
        </w:tc>
        <w:tc>
          <w:tcPr>
            <w:tcW w:w="41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540" w:type="dxa"/>
            <w:vAlign w:val="bottom"/>
          </w:tcPr>
          <w:p>
            <w:pPr>
              <w:spacing w:after="0"/>
              <w:rPr>
                <w:sz w:val="16"/>
                <w:szCs w:val="16"/>
                <w:color w:val="auto"/>
              </w:rPr>
            </w:pPr>
          </w:p>
        </w:tc>
        <w:tc>
          <w:tcPr>
            <w:tcW w:w="508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1540" w:type="dxa"/>
            <w:vAlign w:val="bottom"/>
          </w:tcPr>
          <w:p>
            <w:pPr>
              <w:spacing w:after="0"/>
              <w:rPr>
                <w:sz w:val="20"/>
                <w:szCs w:val="20"/>
                <w:color w:val="auto"/>
              </w:rPr>
            </w:pPr>
          </w:p>
        </w:tc>
        <w:tc>
          <w:tcPr>
            <w:tcW w:w="50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7" w:name="page148"/>
    <w:bookmarkEnd w:id="147"/>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LOAN PARTY]</w:t>
      </w:r>
    </w:p>
    <w:p>
      <w:pPr>
        <w:spacing w:after="0" w:line="207"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6021705</wp:posOffset>
            </wp:positionH>
            <wp:positionV relativeFrom="paragraph">
              <wp:posOffset>-7620</wp:posOffset>
            </wp:positionV>
            <wp:extent cx="9709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spacing w:after="0" w:line="20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Certificate is furnished pursuant to Section 5.1(c) of that certain Fourth Amended and Restated 364-Day Revolving Credit Agreement, dated as of April 5, 2022,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from time to time party thereto, JPMorgan Chase Bank, N.A. as the Administrative Agent for the Lenders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Bank of America N.A. as co-syndication agent, and the other agents party thereto. Unless otherwise defined herein, capitalized terms used in this Certificate have the meanings assigned to such terms in the Credit Agreement.</w:t>
      </w:r>
    </w:p>
    <w:p>
      <w:pPr>
        <w:spacing w:after="0" w:line="189"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 of [the Company] [Name of Loan Party], a Delaware [corporation][limited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in the name and on behalf of the Company, and without assuming any personal liability, that:</w:t>
      </w:r>
    </w:p>
    <w:p>
      <w:pPr>
        <w:spacing w:after="0" w:line="54" w:lineRule="exact"/>
        <w:rPr>
          <w:sz w:val="20"/>
          <w:szCs w:val="20"/>
          <w:color w:val="auto"/>
        </w:rPr>
      </w:pPr>
    </w:p>
    <w:p>
      <w:pPr>
        <w:jc w:val="both"/>
        <w:ind w:right="320" w:firstLine="436"/>
        <w:spacing w:after="0" w:line="261" w:lineRule="auto"/>
        <w:tabs>
          <w:tab w:leader="none" w:pos="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79" w:lineRule="exact"/>
        <w:rPr>
          <w:rFonts w:ascii="Times New Roman" w:cs="Times New Roman" w:eastAsia="Times New Roman" w:hAnsi="Times New Roman"/>
          <w:sz w:val="18"/>
          <w:szCs w:val="18"/>
          <w:color w:val="auto"/>
        </w:rPr>
      </w:pPr>
    </w:p>
    <w:p>
      <w:pPr>
        <w:ind w:right="820" w:firstLine="436"/>
        <w:spacing w:after="0" w:line="282" w:lineRule="auto"/>
        <w:tabs>
          <w:tab w:leader="none" w:pos="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 is a true, correct and complete copy of the [by-laws][Limited Liability Company Agreement][Operating Agreement] of the Company as in effect on the date hereof.</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III is a true, correct and complete copy of resolutions duly adopted by the Board of [Directors] [Managers] of the Company [at a meeting thereof] [by written consent] as of the ___ day of ____________, 2022;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 Company is a party are in substantially the forms of those documents approved by the Board of [Directors] [Managers] of the Company [at such meeting].</w:t>
      </w:r>
    </w:p>
    <w:p>
      <w:pPr>
        <w:sectPr>
          <w:pgSz w:w="11900" w:h="16838" w:orient="portrait"/>
          <w:cols w:equalWidth="0" w:num="1">
            <w:col w:w="10980"/>
          </w:cols>
          <w:pgMar w:left="440" w:top="266" w:right="479" w:bottom="1440" w:gutter="0" w:footer="0" w:header="0"/>
        </w:sectPr>
      </w:pPr>
    </w:p>
    <w:bookmarkStart w:id="148" w:name="page149"/>
    <w:bookmarkEnd w:id="148"/>
    <w:p>
      <w:pPr>
        <w:ind w:left="-436" w:firstLine="436"/>
        <w:spacing w:after="0" w:line="282" w:lineRule="auto"/>
        <w:tabs>
          <w:tab w:leader="none" w:pos="18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384"/>
          </w:cols>
          <w:pgMar w:left="876" w:top="270" w:right="639" w:bottom="1440" w:gutter="0" w:footer="0" w:header="0"/>
        </w:sectPr>
      </w:pPr>
    </w:p>
    <w:bookmarkStart w:id="149" w:name="page150"/>
    <w:bookmarkEnd w:id="14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Witness my hand as of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Secretary][Responsible Officer] of the Company, do hereby certify, in the name and on behalf of the Company, and without assuming any personal liability, that:</w:t>
      </w:r>
    </w:p>
    <w:p>
      <w:pPr>
        <w:spacing w:after="0" w:line="4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Borders>
              <w:bottom w:val="single" w:sz="8" w:color="auto"/>
            </w:tcBorders>
          </w:tcPr>
          <w:p>
            <w:pPr>
              <w:spacing w:after="0"/>
              <w:rPr>
                <w:sz w:val="17"/>
                <w:szCs w:val="17"/>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is [a] [the] duly elected and qualified [Assistant] Secretary of the Company and the signature above is [his][her] genuine</w:t>
            </w:r>
          </w:p>
        </w:tc>
      </w:tr>
      <w:tr>
        <w:trPr>
          <w:trHeight w:val="237"/>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8700" w:type="dxa"/>
            <w:vAlign w:val="bottom"/>
          </w:tcPr>
          <w:p>
            <w:pPr>
              <w:spacing w:after="0"/>
              <w:rPr>
                <w:sz w:val="20"/>
                <w:szCs w:val="20"/>
                <w:color w:val="auto"/>
              </w:rPr>
            </w:pPr>
          </w:p>
        </w:tc>
      </w:tr>
    </w:tbl>
    <w:p>
      <w:pPr>
        <w:spacing w:after="0" w:line="198" w:lineRule="exact"/>
        <w:rPr>
          <w:sz w:val="20"/>
          <w:szCs w:val="20"/>
          <w:color w:val="auto"/>
        </w:rPr>
      </w:pPr>
    </w:p>
    <w:p>
      <w:pPr>
        <w:jc w:val="both"/>
        <w:ind w:left="4" w:right="40" w:firstLine="436"/>
        <w:spacing w:after="0" w:line="261" w:lineRule="auto"/>
        <w:tabs>
          <w:tab w:leader="none" w:pos="6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Times New Roman" w:cs="Times New Roman" w:eastAsia="Times New Roman" w:hAnsi="Times New Roman"/>
          <w:sz w:val="15"/>
          <w:szCs w:val="15"/>
          <w:color w:val="auto"/>
        </w:rPr>
        <w:t>1</w:t>
      </w:r>
    </w:p>
    <w:p>
      <w:pPr>
        <w:spacing w:after="0" w:line="1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has occurred and is continuing as of the date hereof.] </w:t>
      </w:r>
      <w:r>
        <w:rPr>
          <w:rFonts w:ascii="Times New Roman" w:cs="Times New Roman" w:eastAsia="Times New Roman" w:hAnsi="Times New Roman"/>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in Certificate relating to General Motors Company only.</w:t>
      </w:r>
    </w:p>
    <w:p>
      <w:pPr>
        <w:spacing w:after="0" w:line="26" w:lineRule="exact"/>
        <w:rPr>
          <w:sz w:val="20"/>
          <w:szCs w:val="20"/>
          <w:color w:val="auto"/>
        </w:rPr>
      </w:pPr>
    </w:p>
    <w:p>
      <w:pPr>
        <w:ind w:left="424" w:hanging="424"/>
        <w:spacing w:after="0"/>
        <w:tabs>
          <w:tab w:leader="none" w:pos="424"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in Certificate relating to General Motors Company only.</w:t>
      </w:r>
    </w:p>
    <w:p>
      <w:pPr>
        <w:sectPr>
          <w:pgSz w:w="11900" w:h="16838" w:orient="portrait"/>
          <w:cols w:equalWidth="0" w:num="1">
            <w:col w:w="11004"/>
          </w:cols>
          <w:pgMar w:left="436" w:top="270" w:right="459" w:bottom="1440" w:gutter="0" w:footer="0" w:header="0"/>
        </w:sectPr>
      </w:pPr>
    </w:p>
    <w:bookmarkStart w:id="150" w:name="page151"/>
    <w:bookmarkEnd w:id="150"/>
    <w:p>
      <w:pPr>
        <w:jc w:val="center"/>
        <w:ind w:left="7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[Copy of the Certificate of [Incorporation][Formation]]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019"/>
          </w:cols>
          <w:pgMar w:left="1440" w:top="270" w:right="1440" w:bottom="1440" w:gutter="0" w:footer="0" w:header="0"/>
        </w:sectPr>
      </w:pPr>
    </w:p>
    <w:bookmarkStart w:id="151" w:name="page152"/>
    <w:bookmarkEnd w:id="151"/>
    <w:p>
      <w:pPr>
        <w:jc w:val="center"/>
        <w:ind w:left="7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pacing w:after="0" w:line="3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[Copy of the [by-laws] [Limited Liability Company Agreement][Operating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019"/>
          </w:cols>
          <w:pgMar w:left="1440" w:top="270" w:right="1440" w:bottom="1440" w:gutter="0" w:footer="0" w:header="0"/>
        </w:sectPr>
      </w:pPr>
    </w:p>
    <w:bookmarkStart w:id="152" w:name="page153"/>
    <w:bookmarkEnd w:id="152"/>
    <w:p>
      <w:pPr>
        <w:jc w:val="center"/>
        <w:ind w:left="7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III</w:t>
      </w:r>
    </w:p>
    <w:p>
      <w:pPr>
        <w:spacing w:after="0" w:line="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Resolutions of the Board of [Directors] [Managers] of [Name of Loan Party]</w:t>
      </w:r>
    </w:p>
    <w:p>
      <w:pPr>
        <w:sectPr>
          <w:pgSz w:w="11900" w:h="16838" w:orient="portrait"/>
          <w:cols w:equalWidth="0" w:num="1">
            <w:col w:w="9019"/>
          </w:cols>
          <w:pgMar w:left="1440" w:top="270" w:right="1440" w:bottom="1440" w:gutter="0" w:footer="0" w:header="0"/>
        </w:sectPr>
      </w:pPr>
    </w:p>
    <w:bookmarkStart w:id="153" w:name="page154"/>
    <w:bookmarkEnd w:id="153"/>
    <w:p>
      <w:pPr>
        <w:jc w:val="center"/>
        <w:ind w:left="7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IV</w:t>
      </w:r>
    </w:p>
    <w:p>
      <w:pPr>
        <w:spacing w:after="0" w:line="3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Certificate</w:t>
      </w:r>
    </w:p>
    <w:p>
      <w:pPr>
        <w:spacing w:after="0" w:line="234" w:lineRule="exact"/>
        <w:rPr>
          <w:sz w:val="20"/>
          <w:szCs w:val="20"/>
          <w:color w:val="auto"/>
        </w:rPr>
      </w:pPr>
    </w:p>
    <w:p>
      <w:pPr>
        <w:ind w:left="340"/>
        <w:spacing w:after="0"/>
        <w:tabs>
          <w:tab w:leader="none" w:pos="4500" w:val="left"/>
          <w:tab w:leader="none" w:pos="7940" w:val="left"/>
        </w:tabs>
        <w:rPr>
          <w:sz w:val="20"/>
          <w:szCs w:val="20"/>
          <w:color w:val="auto"/>
        </w:rPr>
      </w:pPr>
      <w:r>
        <w:rPr>
          <w:rFonts w:ascii="Times New Roman" w:cs="Times New Roman" w:eastAsia="Times New Roman" w:hAnsi="Times New Roman"/>
          <w:sz w:val="18"/>
          <w:szCs w:val="18"/>
          <w:u w:val="single" w:color="auto"/>
          <w:color w:val="auto"/>
        </w:rPr>
        <w:t>Name of Officer</w:t>
      </w:r>
      <w:r>
        <w:rPr>
          <w:sz w:val="20"/>
          <w:szCs w:val="20"/>
          <w:color w:val="auto"/>
        </w:rPr>
        <w:tab/>
      </w:r>
      <w:r>
        <w:rPr>
          <w:rFonts w:ascii="Times New Roman" w:cs="Times New Roman" w:eastAsia="Times New Roman" w:hAnsi="Times New Roman"/>
          <w:sz w:val="18"/>
          <w:szCs w:val="18"/>
          <w:u w:val="single" w:color="auto"/>
          <w:color w:val="auto"/>
        </w:rPr>
        <w:t>Office</w:t>
      </w:r>
      <w:r>
        <w:rPr>
          <w:sz w:val="20"/>
          <w:szCs w:val="20"/>
          <w:color w:val="auto"/>
        </w:rPr>
        <w:tab/>
      </w:r>
      <w:r>
        <w:rPr>
          <w:rFonts w:ascii="Times New Roman" w:cs="Times New Roman" w:eastAsia="Times New Roman" w:hAnsi="Times New Roman"/>
          <w:sz w:val="18"/>
          <w:szCs w:val="18"/>
          <w:u w:val="single" w:color="auto"/>
          <w:color w:val="auto"/>
        </w:rPr>
        <w:t>Signature</w:t>
      </w:r>
    </w:p>
    <w:p>
      <w:pPr>
        <w:sectPr>
          <w:pgSz w:w="11900" w:h="16838" w:orient="portrait"/>
          <w:cols w:equalWidth="0" w:num="1">
            <w:col w:w="9019"/>
          </w:cols>
          <w:pgMar w:left="1440" w:top="270" w:right="1440" w:bottom="1440" w:gutter="0" w:footer="0" w:header="0"/>
        </w:sectPr>
      </w:pPr>
    </w:p>
    <w:bookmarkStart w:id="154" w:name="page155"/>
    <w:bookmarkEnd w:id="154"/>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ASSIGNMENT AND ASSUMPTION, dated as of _____________, 20__ (as amended, supplemented or modified from time to time, this</w:t>
      </w:r>
    </w:p>
    <w:p>
      <w:pPr>
        <w:spacing w:after="0" w:line="27"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[NAME OF ASSIGNOR], a Lender under the Credit Agreement referred to below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[NAME OF ASSIGNEE]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Reference is made to the Fourth Amended and Restated 364-Day Revolving Credit Agreement, dated as of April 5, 2022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from time to time party thereto (together with their respective successors and permitted assigns,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Assignor and the Assignee hereby agree as follows:</w:t>
      </w:r>
    </w:p>
    <w:p>
      <w:pPr>
        <w:spacing w:after="0" w:line="117" w:lineRule="exact"/>
        <w:rPr>
          <w:sz w:val="20"/>
          <w:szCs w:val="20"/>
          <w:color w:val="auto"/>
        </w:rPr>
      </w:pPr>
    </w:p>
    <w:p>
      <w:pPr>
        <w:ind w:firstLine="436"/>
        <w:spacing w:after="0" w:line="252" w:lineRule="auto"/>
        <w:tabs>
          <w:tab w:leader="none" w:pos="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 agreed consideration, the Assignor hereby irrevocably sells and assigns to the Assignee, without recourse to, or (except as otherwise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below) warranty by, the Assignor, and the Assignee hereby irrevocably purchases and assumes from the Assignor, without recourse to, or (except as otherwise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below) warranty by, the Assignor, as of the Trade Date (as defined below), the interest described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xml:space="preserve">”) in and to the Assignor’s rights and obligations under the Credit Agreement with respect to its [Commitment][and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it is expressly understood and agreed that (i) the Assignor is not assigning to the Assignee and the Assignor shall retain (A) all of the Assignor’s rights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from and after the Trade Date.</w:t>
      </w:r>
    </w:p>
    <w:p>
      <w:pPr>
        <w:sectPr>
          <w:pgSz w:w="11900" w:h="16838" w:orient="portrait"/>
          <w:cols w:equalWidth="0" w:num="1">
            <w:col w:w="10980"/>
          </w:cols>
          <w:pgMar w:left="440" w:top="266" w:right="479" w:bottom="1440" w:gutter="0" w:footer="0" w:header="0"/>
        </w:sectPr>
      </w:pPr>
    </w:p>
    <w:bookmarkStart w:id="155" w:name="page156"/>
    <w:bookmarkEnd w:id="155"/>
    <w:p>
      <w:pPr>
        <w:ind w:left="4" w:firstLine="436"/>
        <w:spacing w:after="0" w:line="252" w:lineRule="auto"/>
        <w:tabs>
          <w:tab w:leader="none" w:pos="62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97" w:lineRule="exact"/>
        <w:rPr>
          <w:rFonts w:ascii="Times New Roman" w:cs="Times New Roman" w:eastAsia="Times New Roman" w:hAnsi="Times New Roman"/>
          <w:sz w:val="18"/>
          <w:szCs w:val="18"/>
          <w:color w:val="auto"/>
        </w:rPr>
      </w:pPr>
    </w:p>
    <w:p>
      <w:pPr>
        <w:ind w:left="4" w:right="240" w:firstLine="436"/>
        <w:spacing w:after="0" w:line="272" w:lineRule="auto"/>
        <w:tabs>
          <w:tab w:leader="none" w:pos="624"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w:t>
      </w:r>
    </w:p>
    <w:p>
      <w:pPr>
        <w:spacing w:after="0" w:line="1" w:lineRule="exact"/>
        <w:rPr>
          <w:rFonts w:ascii="Times New Roman" w:cs="Times New Roman" w:eastAsia="Times New Roman" w:hAnsi="Times New Roman"/>
          <w:sz w:val="17"/>
          <w:szCs w:val="17"/>
          <w:color w:val="auto"/>
        </w:rPr>
      </w:pPr>
    </w:p>
    <w:p>
      <w:pPr>
        <w:ind w:left="4" w:hanging="4"/>
        <w:spacing w:after="0" w:line="268" w:lineRule="auto"/>
        <w:tabs>
          <w:tab w:leader="none" w:pos="259"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confirms that it has received a copy of the Credit Agreement, together with copies of the most recent financial statements delivered or deemed delivered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thereof (or, if none of such financial statements shall have then been delivered or deemed delivered, then copies of the financial statements referred to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w:t>
      </w:r>
    </w:p>
    <w:p>
      <w:pPr>
        <w:sectPr>
          <w:pgSz w:w="11900" w:h="16838" w:orient="portrait"/>
          <w:cols w:equalWidth="0" w:num="1">
            <w:col w:w="11004"/>
          </w:cols>
          <w:pgMar w:left="436" w:top="270" w:right="459" w:bottom="1440" w:gutter="0" w:footer="0" w:header="0"/>
        </w:sectPr>
      </w:pPr>
    </w:p>
    <w:bookmarkStart w:id="156" w:name="page157"/>
    <w:bookmarkEnd w:id="15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together with such powers as are incidental thereto; and (e) agrees that it will be bound by the provisions of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183" w:lineRule="exact"/>
        <w:rPr>
          <w:sz w:val="20"/>
          <w:szCs w:val="20"/>
          <w:color w:val="auto"/>
        </w:rPr>
      </w:pPr>
    </w:p>
    <w:p>
      <w:pPr>
        <w:ind w:right="40" w:firstLine="436"/>
        <w:spacing w:after="0" w:line="256"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date of this Agreement shall be the Trade Date of assignment described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xml:space="preserve">”). Following the execution of this Agreement by the Assignor, the Assignee, the Company, (in the case of the Company, to the extent that the consent of any such Person is required or permitted by the Credit Agreement), it will be delivered to the Administrative Agent for acceptance by it and recording by the Administrative Agent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87" w:lineRule="exact"/>
        <w:rPr>
          <w:rFonts w:ascii="Times New Roman" w:cs="Times New Roman" w:eastAsia="Times New Roman" w:hAnsi="Times New Roman"/>
          <w:sz w:val="18"/>
          <w:szCs w:val="18"/>
          <w:color w:val="auto"/>
        </w:rPr>
      </w:pPr>
    </w:p>
    <w:p>
      <w:pPr>
        <w:ind w:right="180" w:firstLine="436"/>
        <w:spacing w:after="0" w:line="266"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UNDER THIS AGREEMENT SHALL BE GOVERNED BY, AND CONSTRUED AND INTERPRETED IN ACCORDANCE WITH, THE LAW OF THE STATE OF NEW YORK.</w:t>
      </w:r>
    </w:p>
    <w:p>
      <w:pPr>
        <w:spacing w:after="0" w:line="161" w:lineRule="exact"/>
        <w:rPr>
          <w:rFonts w:ascii="Times New Roman" w:cs="Times New Roman" w:eastAsia="Times New Roman" w:hAnsi="Times New Roman"/>
          <w:sz w:val="18"/>
          <w:szCs w:val="18"/>
          <w:color w:val="auto"/>
        </w:rPr>
      </w:pPr>
    </w:p>
    <w:p>
      <w:pPr>
        <w:ind w:right="340" w:firstLine="436"/>
        <w:spacing w:after="0" w:line="266"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1000"/>
          </w:cols>
          <w:pgMar w:left="440" w:top="270" w:right="459" w:bottom="1440" w:gutter="0" w:footer="0" w:header="0"/>
        </w:sectPr>
      </w:pPr>
    </w:p>
    <w:bookmarkStart w:id="157" w:name="page158"/>
    <w:bookmarkEnd w:id="15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the parties hereto have caused this Agreement to be executed as of the date first above written by their respective duly authorized officers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8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 as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-7620</wp:posOffset>
            </wp:positionV>
            <wp:extent cx="13995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 as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-7620</wp:posOffset>
            </wp:positionV>
            <wp:extent cx="14281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2811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40"/>
          </w:cols>
          <w:pgMar w:left="440" w:top="270" w:right="519" w:bottom="1440" w:gutter="0" w:footer="0" w:header="0"/>
        </w:sectPr>
      </w:pPr>
    </w:p>
    <w:bookmarkStart w:id="158" w:name="page159"/>
    <w:bookmarkEnd w:id="158"/>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Consented to</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17145</wp:posOffset>
            </wp:positionV>
            <wp:extent cx="24345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17145</wp:posOffset>
            </wp:positionV>
            <wp:extent cx="24345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424" w:hanging="424"/>
        <w:spacing w:after="0" w:line="261" w:lineRule="auto"/>
        <w:tabs>
          <w:tab w:leader="none" w:pos="424"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984"/>
          </w:cols>
          <w:pgMar w:left="436" w:top="270" w:right="479" w:bottom="1440" w:gutter="0" w:footer="0" w:header="0"/>
        </w:sectPr>
      </w:pPr>
    </w:p>
    <w:bookmarkStart w:id="159" w:name="page160"/>
    <w:bookmarkEnd w:id="159"/>
    <w:p>
      <w:pPr>
        <w:jc w:val="center"/>
        <w:ind w:left="7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is attached to and incorporated in the Assignment and Assumption, dated as of ________________, 20__ (as amended,</w:t>
      </w:r>
    </w:p>
    <w:p>
      <w:pPr>
        <w:spacing w:after="0" w:line="27"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supplemented or modified from time to time,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between [NAME OF ASSIGNOR], a Lender under the Credit Agreement referred to below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[NAME OF ASSIGNEE]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Reference is made to the Fourth Amended and Restated 364-Day Revolving Credit Agreement, dated as of April 5, 2022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Guarantors from time to time party thereto, the lenders from time to time party thereto (together with their respective successors and permitted assigns,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Name of the Assignor: 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Name of the Assignee: ______________________</w:t>
      </w:r>
    </w:p>
    <w:p>
      <w:pPr>
        <w:spacing w:after="0" w:line="131" w:lineRule="exact"/>
        <w:rPr>
          <w:sz w:val="20"/>
          <w:szCs w:val="20"/>
          <w:color w:val="auto"/>
        </w:rPr>
      </w:pPr>
    </w:p>
    <w:p>
      <w:pPr>
        <w:ind w:left="1420" w:hanging="439"/>
        <w:spacing w:after="0"/>
        <w:tabs>
          <w:tab w:leader="none" w:pos="14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is an affiliate of: [Name of Lender]]</w:t>
      </w:r>
    </w:p>
    <w:p>
      <w:pPr>
        <w:spacing w:after="0" w:line="130" w:lineRule="exact"/>
        <w:rPr>
          <w:rFonts w:ascii="Times New Roman" w:cs="Times New Roman" w:eastAsia="Times New Roman" w:hAnsi="Times New Roman"/>
          <w:sz w:val="18"/>
          <w:szCs w:val="18"/>
          <w:color w:val="auto"/>
        </w:rPr>
      </w:pPr>
    </w:p>
    <w:p>
      <w:pPr>
        <w:ind w:left="1420" w:right="220" w:hanging="439"/>
        <w:spacing w:after="0" w:line="282" w:lineRule="auto"/>
        <w:tabs>
          <w:tab w:leader="none" w:pos="14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is an Approved Fund administered or managed by: [Name of Lender][an affiliate of [Name of Lender]][an entity or an affiliate of an entity that administers or manages [Name of Lender]]</w:t>
      </w:r>
    </w:p>
    <w:p>
      <w:pPr>
        <w:spacing w:after="0" w:line="67" w:lineRule="exact"/>
        <w:rPr>
          <w:rFonts w:ascii="Times New Roman" w:cs="Times New Roman" w:eastAsia="Times New Roman" w:hAnsi="Times New Roman"/>
          <w:sz w:val="18"/>
          <w:szCs w:val="18"/>
          <w:color w:val="auto"/>
        </w:rPr>
      </w:pPr>
    </w:p>
    <w:p>
      <w:pPr>
        <w:ind w:left="1420" w:right="520" w:hanging="439"/>
        <w:spacing w:after="0" w:line="282" w:lineRule="auto"/>
        <w:tabs>
          <w:tab w:leader="none" w:pos="14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is [not an Ineligible Assignee] [an Ineligible Assignee, but the Company has consented to the assignment by the Assignor to the Assignee.]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Aggregate Amount</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12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Amount of</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12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Facility Assigned</w:t>
            </w:r>
          </w:p>
        </w:tc>
        <w:tc>
          <w:tcPr>
            <w:tcW w:w="64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for all Lenders</w:t>
            </w:r>
          </w:p>
        </w:tc>
        <w:tc>
          <w:tcPr>
            <w:tcW w:w="12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Assigned of</w:t>
            </w:r>
          </w:p>
        </w:tc>
        <w:tc>
          <w:tcPr>
            <w:tcW w:w="0" w:type="dxa"/>
            <w:vAlign w:val="bottom"/>
          </w:tcPr>
          <w:p>
            <w:pPr>
              <w:spacing w:after="0"/>
              <w:rPr>
                <w:sz w:val="1"/>
                <w:szCs w:val="1"/>
                <w:color w:val="auto"/>
              </w:rPr>
            </w:pPr>
          </w:p>
        </w:tc>
      </w:tr>
      <w:tr>
        <w:trPr>
          <w:trHeight w:val="165"/>
        </w:trPr>
        <w:tc>
          <w:tcPr>
            <w:tcW w:w="1000" w:type="dxa"/>
            <w:vAlign w:val="bottom"/>
            <w:tcBorders>
              <w:bottom w:val="single" w:sz="8" w:color="auto"/>
            </w:tcBorders>
            <w:vMerge w:val="continue"/>
          </w:tcPr>
          <w:p>
            <w:pPr>
              <w:spacing w:after="0"/>
              <w:rPr>
                <w:sz w:val="14"/>
                <w:szCs w:val="14"/>
                <w:color w:val="auto"/>
              </w:rPr>
            </w:pPr>
          </w:p>
        </w:tc>
        <w:tc>
          <w:tcPr>
            <w:tcW w:w="6400" w:type="dxa"/>
            <w:vAlign w:val="bottom"/>
          </w:tcPr>
          <w:p>
            <w:pPr>
              <w:spacing w:after="0"/>
              <w:rPr>
                <w:sz w:val="14"/>
                <w:szCs w:val="14"/>
                <w:color w:val="auto"/>
              </w:rPr>
            </w:pPr>
          </w:p>
        </w:tc>
        <w:tc>
          <w:tcPr>
            <w:tcW w:w="116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under such Facility</w:t>
            </w:r>
          </w:p>
        </w:tc>
        <w:tc>
          <w:tcPr>
            <w:tcW w:w="40" w:type="dxa"/>
            <w:vAlign w:val="bottom"/>
          </w:tcPr>
          <w:p>
            <w:pPr>
              <w:spacing w:after="0"/>
              <w:rPr>
                <w:sz w:val="14"/>
                <w:szCs w:val="14"/>
                <w:color w:val="auto"/>
              </w:rPr>
            </w:pPr>
          </w:p>
        </w:tc>
        <w:tc>
          <w:tcPr>
            <w:tcW w:w="118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Assigned</w:t>
            </w:r>
          </w:p>
        </w:tc>
        <w:tc>
          <w:tcPr>
            <w:tcW w:w="40" w:type="dxa"/>
            <w:vAlign w:val="bottom"/>
          </w:tcPr>
          <w:p>
            <w:pPr>
              <w:spacing w:after="0"/>
              <w:rPr>
                <w:sz w:val="14"/>
                <w:szCs w:val="14"/>
                <w:color w:val="auto"/>
              </w:rPr>
            </w:pPr>
          </w:p>
        </w:tc>
        <w:tc>
          <w:tcPr>
            <w:tcW w:w="120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Commitment/Loans</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60" w:name="page161"/>
    <w:bookmarkEnd w:id="16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Trade Date of Assignment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__________, 20_.</w:t>
      </w:r>
      <w:r>
        <w:rPr>
          <w:rFonts w:ascii="Times New Roman" w:cs="Times New Roman" w:eastAsia="Times New Roman" w:hAnsi="Times New Roman"/>
          <w:sz w:val="15"/>
          <w:szCs w:val="15"/>
          <w:color w:val="auto"/>
        </w:rPr>
        <w:t>1</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715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8" w:lineRule="exact"/>
        <w:rPr>
          <w:sz w:val="20"/>
          <w:szCs w:val="20"/>
          <w:color w:val="auto"/>
        </w:rPr>
      </w:pPr>
    </w:p>
    <w:p>
      <w:pPr>
        <w:ind w:left="424" w:hanging="424"/>
        <w:spacing w:after="0"/>
        <w:tabs>
          <w:tab w:leader="none" w:pos="424"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inserted by Administrative Agent and which shall be the effective date of recordation of transfer in the Register therefor.</w:t>
      </w:r>
    </w:p>
    <w:p>
      <w:pPr>
        <w:sectPr>
          <w:pgSz w:w="11900" w:h="16838" w:orient="portrait"/>
          <w:cols w:equalWidth="0" w:num="1">
            <w:col w:w="10864"/>
          </w:cols>
          <w:pgMar w:left="436" w:top="270" w:right="599" w:bottom="1440" w:gutter="0" w:footer="0" w:header="0"/>
        </w:sectPr>
      </w:pPr>
    </w:p>
    <w:bookmarkStart w:id="161" w:name="page162"/>
    <w:bookmarkEnd w:id="161"/>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9"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JOINDER AGREEMENT, dated as of ___, 20__, made by each signatory hereto (each a “</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in favor of JPMorgan Chase Bank,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referred to in the Fourth Amended and Restated 364-Day Revolving Credit Agreement, dated as of April 5, 2022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parties to this Joinder Agreement wish to add the Subsidiary Borrower to the Credit Agreement in the manner hereinafter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and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this Joinder Agreement is entered into pursuant to Section 10.1(d)(i) of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hereby agree as follows:</w:t>
      </w:r>
    </w:p>
    <w:p>
      <w:pPr>
        <w:spacing w:after="0" w:line="117" w:lineRule="exact"/>
        <w:rPr>
          <w:sz w:val="20"/>
          <w:szCs w:val="20"/>
          <w:color w:val="auto"/>
        </w:rPr>
      </w:pPr>
    </w:p>
    <w:p>
      <w:pPr>
        <w:jc w:val="both"/>
        <w:ind w:right="120" w:firstLine="987"/>
        <w:spacing w:after="0" w:line="261" w:lineRule="auto"/>
        <w:tabs>
          <w:tab w:leader="none" w:pos="117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17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taxpayer identification number (if any) and jurisdiction of organization of the Subsidiary Borrower is set forth in Annex I to this Joinder Agreement.</w:t>
      </w:r>
    </w:p>
    <w:p>
      <w:pPr>
        <w:spacing w:after="0" w:line="157" w:lineRule="exact"/>
        <w:rPr>
          <w:rFonts w:ascii="Times New Roman" w:cs="Times New Roman" w:eastAsia="Times New Roman" w:hAnsi="Times New Roman"/>
          <w:sz w:val="18"/>
          <w:szCs w:val="18"/>
          <w:color w:val="auto"/>
        </w:rPr>
      </w:pPr>
    </w:p>
    <w:p>
      <w:pPr>
        <w:ind w:right="80" w:firstLine="987"/>
        <w:spacing w:after="0" w:line="286" w:lineRule="auto"/>
        <w:tabs>
          <w:tab w:leader="none" w:pos="1171"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0940"/>
          </w:cols>
          <w:pgMar w:left="440" w:top="266" w:right="519" w:bottom="1440" w:gutter="0" w:footer="0" w:header="0"/>
        </w:sectPr>
      </w:pPr>
    </w:p>
    <w:bookmarkStart w:id="162" w:name="page163"/>
    <w:bookmarkEnd w:id="16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[EACH SUBSIDIARY BORROWER],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Subsidiary Borrower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AND AGREED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163" w:name="page164"/>
    <w:bookmarkEnd w:id="163"/>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I-1</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Fourth Amended and Restated 364-Day Revolving Credit Agreement, dated as of April 5, 2022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980"/>
          </w:cols>
          <w:pgMar w:left="440" w:top="266" w:right="479" w:bottom="1440" w:gutter="0" w:footer="0" w:header="0"/>
        </w:sectPr>
      </w:pPr>
    </w:p>
    <w:bookmarkStart w:id="164" w:name="page165"/>
    <w:bookmarkEnd w:id="16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______________, 20__</w:t>
      </w:r>
    </w:p>
    <w:p>
      <w:pPr>
        <w:sectPr>
          <w:pgSz w:w="11900" w:h="16838" w:orient="portrait"/>
          <w:cols w:equalWidth="0" w:num="1">
            <w:col w:w="10540"/>
          </w:cols>
          <w:pgMar w:left="440" w:top="270" w:right="919" w:bottom="1440" w:gutter="0" w:footer="0" w:header="0"/>
        </w:sectPr>
      </w:pPr>
    </w:p>
    <w:bookmarkStart w:id="165" w:name="page166"/>
    <w:bookmarkEnd w:id="165"/>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I-2</w:t>
      </w:r>
    </w:p>
    <w:p>
      <w:pPr>
        <w:spacing w:after="0" w:line="31"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25"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Fourth Amended and Restated 364-Day Revolving Credit Agreement, dated as of April 5, 2022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00"/>
          </w:cols>
          <w:pgMar w:left="440" w:top="266" w:right="459" w:bottom="1440" w:gutter="0" w:footer="0" w:header="0"/>
        </w:sectPr>
      </w:pPr>
    </w:p>
    <w:bookmarkStart w:id="166" w:name="page167"/>
    <w:bookmarkEnd w:id="16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______________, 20__</w:t>
      </w:r>
    </w:p>
    <w:p>
      <w:pPr>
        <w:sectPr>
          <w:pgSz w:w="11900" w:h="16838" w:orient="portrait"/>
          <w:cols w:equalWidth="0" w:num="1">
            <w:col w:w="10540"/>
          </w:cols>
          <w:pgMar w:left="440" w:top="270" w:right="919" w:bottom="1440" w:gutter="0" w:footer="0" w:header="0"/>
        </w:sectPr>
      </w:pPr>
    </w:p>
    <w:bookmarkStart w:id="167" w:name="page168"/>
    <w:bookmarkEnd w:id="167"/>
    <w:p>
      <w:pPr>
        <w:jc w:val="center"/>
        <w:ind w:left="9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I-3</w:t>
      </w:r>
    </w:p>
    <w:p>
      <w:pPr>
        <w:spacing w:after="0" w:line="31"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Fourth Amended and Restated 364-Day Revolving Credit Agreement, dated as of April 5, 2022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980"/>
          </w:cols>
          <w:pgMar w:left="440" w:top="266" w:right="479" w:bottom="1440" w:gutter="0" w:footer="0" w:header="0"/>
        </w:sectPr>
      </w:pPr>
    </w:p>
    <w:bookmarkStart w:id="168" w:name="page169"/>
    <w:bookmarkEnd w:id="16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______________, 20__</w:t>
      </w:r>
    </w:p>
    <w:p>
      <w:pPr>
        <w:sectPr>
          <w:pgSz w:w="11900" w:h="16838" w:orient="portrait"/>
          <w:cols w:equalWidth="0" w:num="1">
            <w:col w:w="10540"/>
          </w:cols>
          <w:pgMar w:left="440" w:top="270" w:right="919" w:bottom="1440" w:gutter="0" w:footer="0" w:header="0"/>
        </w:sectPr>
      </w:pPr>
    </w:p>
    <w:bookmarkStart w:id="169" w:name="page170"/>
    <w:bookmarkEnd w:id="169"/>
    <w:p>
      <w:pPr>
        <w:jc w:val="center"/>
        <w:ind w:left="9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I-4</w:t>
      </w:r>
    </w:p>
    <w:p>
      <w:pPr>
        <w:spacing w:after="0" w:line="31"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25"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Fourth Amended and Restated 364-Day Revolving Credit Agreement, dated as of April 5, 2022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direct or indirect partners/members that is claiming the portfolio interest exception: (i) an IRS Form W-8BEN or IRS Form W-8BEN-E, as applicable, or</w:t>
      </w:r>
    </w:p>
    <w:p>
      <w:pPr>
        <w:spacing w:after="0" w:line="21" w:lineRule="exact"/>
        <w:rPr>
          <w:sz w:val="20"/>
          <w:szCs w:val="20"/>
          <w:color w:val="auto"/>
        </w:rPr>
      </w:pPr>
    </w:p>
    <w:p>
      <w:pPr>
        <w:ind w:left="4" w:right="20" w:hanging="4"/>
        <w:spacing w:after="0" w:line="252" w:lineRule="auto"/>
        <w:tabs>
          <w:tab w:leader="none" w:pos="2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004"/>
          </w:cols>
          <w:pgMar w:left="436" w:top="266" w:right="459" w:bottom="1440" w:gutter="0" w:footer="0" w:header="0"/>
        </w:sectPr>
      </w:pPr>
    </w:p>
    <w:bookmarkStart w:id="170" w:name="page171"/>
    <w:bookmarkEnd w:id="17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______________, 20__</w:t>
      </w:r>
    </w:p>
    <w:p>
      <w:pPr>
        <w:sectPr>
          <w:pgSz w:w="11900" w:h="16838" w:orient="portrait"/>
          <w:cols w:equalWidth="0" w:num="1">
            <w:col w:w="10540"/>
          </w:cols>
          <w:pgMar w:left="440" w:top="270" w:right="919" w:bottom="1440" w:gutter="0" w:footer="0" w:header="0"/>
        </w:sectPr>
      </w:pPr>
    </w:p>
    <w:bookmarkStart w:id="171" w:name="page172"/>
    <w:bookmarkEnd w:id="171"/>
    <w:p>
      <w:pPr>
        <w:jc w:val="center"/>
        <w:ind w:left="9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J</w:t>
      </w:r>
    </w:p>
    <w:p>
      <w:pPr>
        <w:spacing w:after="0" w:line="31"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_____________, 20__</w:t>
      </w: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 under the Credit Agreements referred to below</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(i) the Fourth Amended and Restated Three Year Revolving Credit Agreement, dated as of April 7, 2021 (as amended, restated, amended and</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restated, renewed, supplemented or modified from time to time, the “3</w:t>
      </w:r>
      <w:r>
        <w:rPr>
          <w:rFonts w:ascii="Times New Roman" w:cs="Times New Roman" w:eastAsia="Times New Roman" w:hAnsi="Times New Roman"/>
          <w:sz w:val="18"/>
          <w:szCs w:val="18"/>
          <w:u w:val="single" w:color="auto"/>
          <w:color w:val="auto"/>
        </w:rPr>
        <w:t>-Year Credit Agreement</w:t>
      </w:r>
      <w:r>
        <w:rPr>
          <w:rFonts w:ascii="Times New Roman" w:cs="Times New Roman" w:eastAsia="Times New Roman" w:hAnsi="Times New Roman"/>
          <w:sz w:val="18"/>
          <w:szCs w:val="18"/>
          <w:color w:val="auto"/>
        </w:rPr>
        <w:t>”), among General Motors Company (together with</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GM Global</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Treasury Centre Limited, a corporation organized under the laws of England and Wales (“</w:t>
      </w:r>
      <w:r>
        <w:rPr>
          <w:rFonts w:ascii="Times New Roman" w:cs="Times New Roman" w:eastAsia="Times New Roman" w:hAnsi="Times New Roman"/>
          <w:sz w:val="18"/>
          <w:szCs w:val="18"/>
          <w:u w:val="single" w:color="auto"/>
          <w:color w:val="auto"/>
        </w:rPr>
        <w:t>GMGTC</w:t>
      </w:r>
      <w:r>
        <w:rPr>
          <w:rFonts w:ascii="Times New Roman" w:cs="Times New Roman" w:eastAsia="Times New Roman" w:hAnsi="Times New Roman"/>
          <w:sz w:val="18"/>
          <w:szCs w:val="18"/>
          <w:color w:val="auto"/>
        </w:rPr>
        <w:t>”), General Motors do Brasil Ltda., a Brazilian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limited liability company (“</w:t>
      </w:r>
      <w:r>
        <w:rPr>
          <w:rFonts w:ascii="Times New Roman" w:cs="Times New Roman" w:eastAsia="Times New Roman" w:hAnsi="Times New Roman"/>
          <w:sz w:val="18"/>
          <w:szCs w:val="18"/>
          <w:u w:val="single" w:color="auto"/>
          <w:color w:val="auto"/>
        </w:rPr>
        <w:t>GMB</w:t>
      </w:r>
      <w:r>
        <w:rPr>
          <w:rFonts w:ascii="Times New Roman" w:cs="Times New Roman" w:eastAsia="Times New Roman" w:hAnsi="Times New Roman"/>
          <w:sz w:val="18"/>
          <w:szCs w:val="18"/>
          <w:color w:val="auto"/>
        </w:rPr>
        <w:t>”), the Subsidiary Borrowers from time to time party thereto, the lenders from time to time party thereto, as</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lenders (the “</w:t>
      </w:r>
      <w:r>
        <w:rPr>
          <w:rFonts w:ascii="Times New Roman" w:cs="Times New Roman" w:eastAsia="Times New Roman" w:hAnsi="Times New Roman"/>
          <w:sz w:val="18"/>
          <w:szCs w:val="18"/>
          <w:u w:val="single" w:color="auto"/>
          <w:color w:val="auto"/>
        </w:rPr>
        <w:t>3-Year Lenders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for the 3-Year Lenders (in such capacity, together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with any successor thereto in such capacity, the “</w:t>
      </w:r>
      <w:r>
        <w:rPr>
          <w:rFonts w:ascii="Times New Roman" w:cs="Times New Roman" w:eastAsia="Times New Roman" w:hAnsi="Times New Roman"/>
          <w:sz w:val="17"/>
          <w:szCs w:val="17"/>
          <w:u w:val="single" w:color="auto"/>
          <w:color w:val="auto"/>
        </w:rPr>
        <w:t>3-Year Administrative Agent</w:t>
      </w:r>
      <w:r>
        <w:rPr>
          <w:rFonts w:ascii="Times New Roman" w:cs="Times New Roman" w:eastAsia="Times New Roman" w:hAnsi="Times New Roman"/>
          <w:sz w:val="17"/>
          <w:szCs w:val="17"/>
          <w:color w:val="auto"/>
        </w:rPr>
        <w:t>”), Banco do Brasil S.A., as Brazilian administrative agent, Citibank,</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party thereto, (ii) the Fourth Amended and Restated Five Year Revolving Credit Agreement, dated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April 18, 2018 (as amended by that certain Amendment No. 1 and Consent, dated as of April 7, 2021 and as further amended, restated,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GMGTC, GMB,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 as administrative agent for the 5-Year Lenders (in such capacity, together with any successor thereto in such capacity, the “</w:t>
      </w:r>
      <w:r>
        <w:rPr>
          <w:rFonts w:ascii="Times New Roman" w:cs="Times New Roman" w:eastAsia="Times New Roman" w:hAnsi="Times New Roman"/>
          <w:sz w:val="17"/>
          <w:szCs w:val="17"/>
          <w:u w:val="single" w:color="auto"/>
          <w:color w:val="auto"/>
        </w:rPr>
        <w:t>5-Year</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Banco do Brasil S.A., as Brazilian administrative agent, the Syndication Agent, the Co-Syndication Agent, and the other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agents party thereto and (iii) the Fourth Amended and Restated 364-Day Revolving Credit Agreement, dated as of April 5, 2022 (as amended,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 Agreement</w:t>
      </w:r>
      <w:r>
        <w:rPr>
          <w:rFonts w:ascii="Times New Roman" w:cs="Times New Roman" w:eastAsia="Times New Roman" w:hAnsi="Times New Roman"/>
          <w:sz w:val="18"/>
          <w:szCs w:val="18"/>
          <w:color w:val="auto"/>
        </w:rPr>
        <w:t>” and together with the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 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(in such</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capacity, together with any successor thereto in such capacity,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party thereto.</w:t>
      </w:r>
    </w:p>
    <w:p>
      <w:pPr>
        <w:sectPr>
          <w:pgSz w:w="11900" w:h="16838" w:orient="portrait"/>
          <w:cols w:equalWidth="0" w:num="1">
            <w:col w:w="11020"/>
          </w:cols>
          <w:pgMar w:left="440" w:top="266" w:right="439" w:bottom="1440" w:gutter="0" w:footer="0" w:header="0"/>
        </w:sectPr>
      </w:pPr>
    </w:p>
    <w:bookmarkStart w:id="172" w:name="page173"/>
    <w:bookmarkEnd w:id="172"/>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Compliance Certificate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is furnished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68" w:lineRule="exact"/>
        <w:rPr>
          <w:sz w:val="20"/>
          <w:szCs w:val="20"/>
          <w:color w:val="auto"/>
        </w:rPr>
      </w:pPr>
    </w:p>
    <w:p>
      <w:pPr>
        <w:ind w:left="620" w:hanging="184"/>
        <w:spacing w:after="0"/>
        <w:tabs>
          <w:tab w:leader="none" w:pos="6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[a] duly elected [insert title of Responsible Officer] of the Company;</w:t>
      </w:r>
    </w:p>
    <w:p>
      <w:pPr>
        <w:spacing w:after="0" w:line="225" w:lineRule="exact"/>
        <w:rPr>
          <w:rFonts w:ascii="Times New Roman" w:cs="Times New Roman" w:eastAsia="Times New Roman" w:hAnsi="Times New Roman"/>
          <w:sz w:val="18"/>
          <w:szCs w:val="18"/>
          <w:color w:val="auto"/>
        </w:rPr>
      </w:pPr>
    </w:p>
    <w:p>
      <w:pPr>
        <w:ind w:right="20" w:firstLine="436"/>
        <w:spacing w:after="0" w:line="282" w:lineRule="auto"/>
        <w:tabs>
          <w:tab w:leader="none" w:pos="6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of my knowledge, no Default or Event of Default has occurred and is continuing as of the date hereof [, except as set forth in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 and</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80"/>
          </w:cols>
          <w:pgMar w:left="440" w:top="270" w:right="479" w:bottom="1440" w:gutter="0" w:footer="0" w:header="0"/>
        </w:sectPr>
      </w:pPr>
    </w:p>
    <w:bookmarkStart w:id="173" w:name="page174"/>
    <w:bookmarkEnd w:id="17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certifications, together with the calculations set forth in </w:t>
      </w:r>
      <w:r>
        <w:rPr>
          <w:rFonts w:ascii="Times New Roman" w:cs="Times New Roman" w:eastAsia="Times New Roman" w:hAnsi="Times New Roman"/>
          <w:sz w:val="18"/>
          <w:szCs w:val="18"/>
          <w:u w:val="single" w:color="auto"/>
          <w:color w:val="auto"/>
        </w:rPr>
        <w:t>Schedules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hereto, are made and delivered in my capacity described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for and on behalf of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bookmarkStart w:id="174" w:name="page175"/>
    <w:bookmarkEnd w:id="174"/>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31"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Consolidated Domestic Liquidity as of _____________, 20__(the “Calculation Date”)</w:t>
      </w:r>
      <w:r>
        <w:rPr>
          <w:rFonts w:ascii="Times New Roman" w:cs="Times New Roman" w:eastAsia="Times New Roman" w:hAnsi="Times New Roman"/>
          <w:sz w:val="15"/>
          <w:szCs w:val="15"/>
          <w:u w:val="single" w:color="auto"/>
          <w:color w:val="auto"/>
        </w:rPr>
        <w:t>1</w:t>
      </w:r>
    </w:p>
    <w:p>
      <w:pPr>
        <w:spacing w:after="0" w:line="252" w:lineRule="exact"/>
        <w:rPr>
          <w:sz w:val="20"/>
          <w:szCs w:val="20"/>
          <w:color w:val="auto"/>
        </w:rPr>
      </w:pPr>
    </w:p>
    <w:p>
      <w:pPr>
        <w:ind w:left="304" w:hanging="304"/>
        <w:spacing w:after="0"/>
        <w:tabs>
          <w:tab w:leader="none" w:pos="30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364-Day Credit Agreement as of the Calculation Date</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2740" w:hanging="4"/>
        <w:spacing w:after="0" w:line="312" w:lineRule="auto"/>
        <w:tabs>
          <w:tab w:leader="none" w:pos="279"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available commitments (after giving effect to any applicable borrowing base limitations) under other effective committed credit facilities of the Company or any Domestic Subsidiary</w:t>
      </w: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 xml:space="preserve"> as of the Calculation Date.</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2420" w:hanging="4"/>
        <w:spacing w:after="0" w:line="258" w:lineRule="auto"/>
        <w:tabs>
          <w:tab w:leader="none" w:pos="26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 of (A) plus (B) plus (C) plus (D) plus (E) plus (F):</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______________________</w:t>
            </w:r>
          </w:p>
        </w:tc>
      </w:tr>
      <w:tr>
        <w:trPr>
          <w:trHeight w:val="196"/>
        </w:trPr>
        <w:tc>
          <w:tcPr>
            <w:tcW w:w="39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Consolidated Domestic Liquidity:</w:t>
            </w:r>
          </w:p>
        </w:tc>
        <w:tc>
          <w:tcPr>
            <w:tcW w:w="246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0"/>
        </w:trPr>
        <w:tc>
          <w:tcPr>
            <w:tcW w:w="24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715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4" w:lineRule="exact"/>
        <w:rPr>
          <w:sz w:val="20"/>
          <w:szCs w:val="20"/>
          <w:color w:val="auto"/>
        </w:rPr>
      </w:pPr>
    </w:p>
    <w:p>
      <w:pPr>
        <w:ind w:left="424" w:hanging="424"/>
        <w:spacing w:after="0"/>
        <w:tabs>
          <w:tab w:leader="none" w:pos="424"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last day of the most recent fiscal period covered by the financial statements of the Company delivered or deemed delivered pursuant to</w:t>
      </w:r>
    </w:p>
    <w:p>
      <w:pPr>
        <w:spacing w:after="0" w:line="225" w:lineRule="exact"/>
        <w:rPr>
          <w:sz w:val="20"/>
          <w:szCs w:val="20"/>
          <w:color w:val="auto"/>
        </w:rPr>
      </w:pPr>
    </w:p>
    <w:p>
      <w:pPr>
        <w:ind w:left="424" w:hanging="424"/>
        <w:spacing w:after="0"/>
        <w:tabs>
          <w:tab w:leader="none" w:pos="424"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Excluding any warehouse facilities of GMF.</w:t>
      </w:r>
    </w:p>
    <w:p>
      <w:pPr>
        <w:sectPr>
          <w:pgSz w:w="11900" w:h="16838" w:orient="portrait"/>
          <w:cols w:equalWidth="0" w:num="1">
            <w:col w:w="10944"/>
          </w:cols>
          <w:pgMar w:left="436" w:top="266" w:right="519" w:bottom="1440" w:gutter="0" w:footer="0" w:header="0"/>
        </w:sectPr>
      </w:pPr>
    </w:p>
    <w:bookmarkStart w:id="175" w:name="page176"/>
    <w:bookmarkEnd w:id="175"/>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31"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Consolidated Global Liquidity as of _____________, 20__(the “Calculation Date”)</w:t>
      </w:r>
      <w:r>
        <w:rPr>
          <w:rFonts w:ascii="Times New Roman" w:cs="Times New Roman" w:eastAsia="Times New Roman" w:hAnsi="Times New Roman"/>
          <w:sz w:val="15"/>
          <w:szCs w:val="15"/>
          <w:u w:val="single" w:color="auto"/>
          <w:color w:val="auto"/>
        </w:rPr>
        <w:t>1</w:t>
      </w:r>
    </w:p>
    <w:p>
      <w:pPr>
        <w:spacing w:after="0" w:line="252" w:lineRule="exact"/>
        <w:rPr>
          <w:sz w:val="20"/>
          <w:szCs w:val="20"/>
          <w:color w:val="auto"/>
        </w:rPr>
      </w:pPr>
    </w:p>
    <w:p>
      <w:pPr>
        <w:ind w:left="304" w:hanging="304"/>
        <w:spacing w:after="0"/>
        <w:tabs>
          <w:tab w:leader="none" w:pos="30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364-Day Credit Agreement as of the Calculation Date</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2740" w:hanging="4"/>
        <w:spacing w:after="0" w:line="282" w:lineRule="auto"/>
        <w:tabs>
          <w:tab w:leader="none" w:pos="27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of its Subsidiaries</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as of the Calculation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2440" w:hanging="4"/>
        <w:spacing w:after="0" w:line="272" w:lineRule="auto"/>
        <w:tabs>
          <w:tab w:leader="none" w:pos="269"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Sum of (A) plus (B) plus (C) plus (D) plus (E) plus (F):</w:t>
            </w:r>
          </w:p>
        </w:tc>
        <w:tc>
          <w:tcPr>
            <w:tcW w:w="2400" w:type="dxa"/>
            <w:vAlign w:val="bottom"/>
          </w:tcPr>
          <w:p>
            <w:pPr>
              <w:spacing w:after="0"/>
              <w:rPr>
                <w:sz w:val="18"/>
                <w:szCs w:val="18"/>
                <w:color w:val="auto"/>
              </w:rPr>
            </w:pP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______________________</w:t>
            </w:r>
          </w:p>
        </w:tc>
      </w:tr>
      <w:tr>
        <w:trPr>
          <w:trHeight w:val="196"/>
        </w:trPr>
        <w:tc>
          <w:tcPr>
            <w:tcW w:w="64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Consolidated Global Liquidity:</w:t>
            </w:r>
          </w:p>
        </w:tc>
        <w:tc>
          <w:tcPr>
            <w:tcW w:w="4540" w:type="dxa"/>
            <w:vAlign w:val="bottom"/>
          </w:tcPr>
          <w:p>
            <w:pPr>
              <w:spacing w:after="0"/>
              <w:rPr>
                <w:sz w:val="17"/>
                <w:szCs w:val="17"/>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480" w:hanging="424"/>
        <w:spacing w:after="0" w:line="260" w:lineRule="auto"/>
        <w:tabs>
          <w:tab w:leader="none" w:pos="424"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pacing w:after="0" w:line="1" w:lineRule="exact"/>
        <w:rPr>
          <w:sz w:val="20"/>
          <w:szCs w:val="20"/>
          <w:color w:val="auto"/>
        </w:rPr>
      </w:pPr>
    </w:p>
    <w:p>
      <w:pPr>
        <w:ind w:left="424" w:hanging="424"/>
        <w:spacing w:after="0"/>
        <w:tabs>
          <w:tab w:leader="none" w:pos="424"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Excluding any warehouse facilities of GMF.</w:t>
      </w:r>
    </w:p>
    <w:p>
      <w:pPr>
        <w:sectPr>
          <w:pgSz w:w="11900" w:h="16838" w:orient="portrait"/>
          <w:cols w:equalWidth="0" w:num="1">
            <w:col w:w="10944"/>
          </w:cols>
          <w:pgMar w:left="436" w:top="266" w:right="519" w:bottom="1440" w:gutter="0" w:footer="0" w:header="0"/>
        </w:sectPr>
      </w:pPr>
    </w:p>
    <w:bookmarkStart w:id="176" w:name="page177"/>
    <w:bookmarkEnd w:id="176"/>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31"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3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[Defaults/Events of Default that have occurred and are continuing]</w:t>
      </w:r>
    </w:p>
    <w:p>
      <w:pPr>
        <w:sectPr>
          <w:pgSz w:w="11900" w:h="16838" w:orient="portrait"/>
          <w:cols w:equalWidth="0" w:num="1">
            <w:col w:w="9800"/>
          </w:cols>
          <w:pgMar w:left="1440" w:top="266" w:right="659" w:bottom="1440" w:gutter="0" w:footer="0" w:header="0"/>
        </w:sectPr>
      </w:pPr>
    </w:p>
    <w:bookmarkStart w:id="177" w:name="page178"/>
    <w:bookmarkEnd w:id="177"/>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K</w:t>
      </w:r>
    </w:p>
    <w:p>
      <w:pPr>
        <w:spacing w:after="0" w:line="31"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___________, 20__</w:t>
      </w:r>
    </w:p>
    <w:p>
      <w:pPr>
        <w:spacing w:after="0" w:line="200" w:lineRule="exact"/>
        <w:rPr>
          <w:sz w:val="20"/>
          <w:szCs w:val="20"/>
          <w:color w:val="auto"/>
        </w:rPr>
      </w:pPr>
    </w:p>
    <w:p>
      <w:pPr>
        <w:sectPr>
          <w:pgSz w:w="11900" w:h="16838" w:orient="portrait"/>
          <w:cols w:equalWidth="0" w:num="2">
            <w:col w:w="8720" w:space="720"/>
            <w:col w:w="1580"/>
          </w:cols>
          <w:pgMar w:left="440" w:top="266" w:right="439" w:bottom="1440" w:gutter="0" w:footer="0" w:header="0"/>
          <w:type w:val="continuous"/>
        </w:sectPr>
      </w:pPr>
    </w:p>
    <w:p>
      <w:pPr>
        <w:spacing w:after="0" w:line="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[NAME OF BORROWER], [JURISDICTION OF INCORPORATION/FORMATION], [TYPE OF ORGANIZATION] (together with its successors and permitted assigns,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hereby unconditionally promises to pay to</w:t>
      </w:r>
    </w:p>
    <w:p>
      <w:pPr>
        <w:spacing w:after="0"/>
        <w:rPr>
          <w:sz w:val="20"/>
          <w:szCs w:val="20"/>
          <w:color w:val="auto"/>
        </w:rPr>
      </w:pPr>
      <w:r>
        <w:rPr>
          <w:rFonts w:ascii="Times New Roman" w:cs="Times New Roman" w:eastAsia="Times New Roman" w:hAnsi="Times New Roman"/>
          <w:sz w:val="17"/>
          <w:szCs w:val="17"/>
          <w:color w:val="auto"/>
        </w:rPr>
        <w:t>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 assigns, on the Lender’s Termination Date specified in the Credit Agreement (as hereinafter defined)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Funding Office specified in such Credit Agreement, in the currency of such Loans and in immediately available funds, the principal amount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 (__________), or, if less, (b) the unpaid principal amount of the Loans of the Lender outstanding under the Credit Agreement.</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 xml:space="preserve">The Applicable Borrower further agrees to pay interest in like money at such Funding Office on the unpaid principal amount hereof from time to time outstanding at the rates and on the dates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the Credit Agreement.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holder of this Note is authorized to endorse on the schedules annexed hereto and made a part hereof or on a continuation thereof which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attached hereto and made a part hereof the date, Type and amount of each Loan evidenced hereby, and the date and amount of each payment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of principal with respect thereto, each conversion of all or a portion thereof to another Type, each continuation of all or a portion thereof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Type and, in the case of Term Benchmark Loans, the length of each Interest Period with respect thereto. Subject to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of the Credit Agreement,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endorsed.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make any such endorsement or any error in any such endorsement shall not affect the obligations of the Applicable Borrower in respect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Note (a) is one of the Notes referred to in the Fourth Amended and Restated 364-Day Revolving Credit Agreement, dated as of April 5, 2022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General Motors Financial Company, Inc., a Texas corporation, the Subsidiary Borrowers from time to time party thereto, the Lender, the other lenders from time to time party thereto, JPMorgan Chase Bank, N.A.,</w:t>
      </w:r>
    </w:p>
    <w:p>
      <w:pPr>
        <w:sectPr>
          <w:pgSz w:w="11900" w:h="16838" w:orient="portrait"/>
          <w:cols w:equalWidth="0" w:num="1">
            <w:col w:w="11020"/>
          </w:cols>
          <w:pgMar w:left="440" w:top="266" w:right="439" w:bottom="1440" w:gutter="0" w:footer="0" w:header="0"/>
          <w:type w:val="continuous"/>
        </w:sectPr>
      </w:pPr>
    </w:p>
    <w:bookmarkStart w:id="178" w:name="page179"/>
    <w:bookmarkEnd w:id="17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LAW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APPLICABLE BORROWER].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17145</wp:posOffset>
            </wp:positionV>
            <wp:extent cx="25888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79" w:name="page180"/>
    <w:bookmarkEnd w:id="179"/>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1"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color w:val="auto"/>
              </w:rPr>
              <w:t>Amount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 ABR</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Unpaid Principal</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38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32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15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38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ABR Loans</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2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8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ABR Loans</w:t>
            </w:r>
          </w:p>
        </w:tc>
        <w:tc>
          <w:tcPr>
            <w:tcW w:w="1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80" w:name="page181"/>
    <w:bookmarkEnd w:id="180"/>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31"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TERM BENCHMARK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Unpaid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color w:val="auto"/>
              </w:rPr>
              <w:t>Amount of</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Converted</w:t>
            </w:r>
          </w:p>
        </w:tc>
        <w:tc>
          <w:tcPr>
            <w:tcW w:w="11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8"/>
              </w:rPr>
              <w:t>Term</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Interest</w:t>
            </w:r>
          </w:p>
        </w:tc>
        <w:tc>
          <w:tcPr>
            <w:tcW w:w="20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w w:val="98"/>
              </w:rPr>
              <w:t>Term</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15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Benchmark Loans</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7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81" w:name="page182"/>
    <w:bookmarkEnd w:id="181"/>
    <w:p>
      <w:pPr>
        <w:jc w:val="center"/>
        <w:ind w:left="8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L</w:t>
      </w:r>
    </w:p>
    <w:p>
      <w:pPr>
        <w:spacing w:after="0" w:line="31"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lenders referred to below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Investment Bank Loan Operations North America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500 Stanton Christiana Road, NCC5, Floor 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302-752-5746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207" w:lineRule="exact"/>
        <w:rPr>
          <w:sz w:val="20"/>
          <w:szCs w:val="20"/>
          <w:color w:val="auto"/>
        </w:rPr>
      </w:pPr>
    </w:p>
    <w:p>
      <w:pPr>
        <w:ind w:left="8864"/>
        <w:spacing w:after="0"/>
        <w:rPr>
          <w:sz w:val="20"/>
          <w:szCs w:val="20"/>
          <w:color w:val="auto"/>
        </w:rPr>
      </w:pPr>
      <w:r>
        <w:rPr>
          <w:rFonts w:ascii="Times New Roman" w:cs="Times New Roman" w:eastAsia="Times New Roman" w:hAnsi="Times New Roman"/>
          <w:sz w:val="18"/>
          <w:szCs w:val="18"/>
          <w:color w:val="auto"/>
        </w:rPr>
        <w:t>_________, 20__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Ladies/Gentlemen:</w:t>
      </w:r>
    </w:p>
    <w:p>
      <w:pPr>
        <w:spacing w:after="0" w:line="11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The undersigned, [INSERT NAME OF APPLICABLE BORROWER]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[and General Motors Company, a Delaware corporation (“</w:t>
      </w:r>
      <w:r>
        <w:rPr>
          <w:rFonts w:ascii="Times New Roman" w:cs="Times New Roman" w:eastAsia="Times New Roman" w:hAnsi="Times New Roman"/>
          <w:sz w:val="18"/>
          <w:szCs w:val="18"/>
          <w:u w:val="single" w:color="auto"/>
          <w:color w:val="auto"/>
        </w:rPr>
        <w:t>Company/Applicable Borrower”)]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refer[s] to the Fourth Amended and Restated 364-Day Revolving Credit Agreement, dated as of April 5, 2022,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Company/the Applicable Borrower]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[2.2] of the Credit Agreement that it requests an Extension of Credit under the Credit Agreement, and in connection sets forth below the terms on which such Extension of Credit is requested to be made[, to which the Company hereby consents]</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0" w:lineRule="exact"/>
        <w:rPr>
          <w:sz w:val="20"/>
          <w:szCs w:val="20"/>
          <w:color w:val="auto"/>
        </w:rPr>
      </w:pPr>
    </w:p>
    <w:p>
      <w:pPr>
        <w:ind w:left="424" w:hanging="424"/>
        <w:spacing w:after="0"/>
        <w:tabs>
          <w:tab w:leader="none" w:pos="424"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if the Company is not the Applicable Borrower.</w:t>
      </w:r>
    </w:p>
    <w:p>
      <w:pPr>
        <w:spacing w:after="0" w:line="26" w:lineRule="exact"/>
        <w:rPr>
          <w:sz w:val="20"/>
          <w:szCs w:val="20"/>
          <w:color w:val="auto"/>
        </w:rPr>
      </w:pPr>
    </w:p>
    <w:p>
      <w:pPr>
        <w:ind w:left="424" w:hanging="424"/>
        <w:spacing w:after="0"/>
        <w:tabs>
          <w:tab w:leader="none" w:pos="424"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If Borrowing Request from the Company, it is the “Applicable Borrower”.</w:t>
      </w:r>
    </w:p>
    <w:p>
      <w:pPr>
        <w:spacing w:after="0" w:line="9" w:lineRule="exact"/>
        <w:rPr>
          <w:sz w:val="20"/>
          <w:szCs w:val="20"/>
          <w:color w:val="auto"/>
        </w:rPr>
      </w:pPr>
    </w:p>
    <w:p>
      <w:pPr>
        <w:ind w:left="424" w:hanging="424"/>
        <w:spacing w:after="0"/>
        <w:tabs>
          <w:tab w:leader="none" w:pos="424"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if the Applicable Borrower is a Domestic Subsidiary Borrower.</w:t>
      </w:r>
    </w:p>
    <w:p>
      <w:pPr>
        <w:sectPr>
          <w:pgSz w:w="11900" w:h="16838" w:orient="portrait"/>
          <w:cols w:equalWidth="0" w:num="1">
            <w:col w:w="10984"/>
          </w:cols>
          <w:pgMar w:left="436" w:top="266" w:right="479" w:bottom="1440" w:gutter="0" w:footer="0" w:header="0"/>
        </w:sectPr>
      </w:pPr>
    </w:p>
    <w:bookmarkStart w:id="182" w:name="page183"/>
    <w:bookmarkEnd w:id="182"/>
    <w:p>
      <w:pPr>
        <w:ind w:left="784" w:hanging="424"/>
        <w:spacing w:after="0"/>
        <w:tabs>
          <w:tab w:leader="none" w:pos="7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Borrowing Date</w:t>
      </w:r>
    </w:p>
    <w:p>
      <w:pPr>
        <w:spacing w:after="0" w:line="27" w:lineRule="exact"/>
        <w:rPr>
          <w:rFonts w:ascii="Times New Roman" w:cs="Times New Roman" w:eastAsia="Times New Roman" w:hAnsi="Times New Roman"/>
          <w:sz w:val="18"/>
          <w:szCs w:val="18"/>
          <w:color w:val="auto"/>
        </w:rPr>
      </w:pPr>
    </w:p>
    <w:p>
      <w:pPr>
        <w:ind w:left="7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Business Day)</w:t>
      </w:r>
      <w:r>
        <w:rPr>
          <w:rFonts w:ascii="Times New Roman" w:cs="Times New Roman" w:eastAsia="Times New Roman" w:hAnsi="Times New Roman"/>
          <w:sz w:val="15"/>
          <w:szCs w:val="15"/>
          <w:color w:val="auto"/>
        </w:rPr>
        <w:t>4</w:t>
      </w:r>
    </w:p>
    <w:p>
      <w:pPr>
        <w:spacing w:after="0" w:line="18" w:lineRule="exact"/>
        <w:rPr>
          <w:sz w:val="20"/>
          <w:szCs w:val="20"/>
          <w:color w:val="auto"/>
        </w:rPr>
      </w:pPr>
    </w:p>
    <w:p>
      <w:pPr>
        <w:ind w:left="784" w:hanging="424"/>
        <w:spacing w:after="0"/>
        <w:tabs>
          <w:tab w:leader="none" w:pos="7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of Extension of Credit</w:t>
      </w:r>
      <w:r>
        <w:rPr>
          <w:rFonts w:ascii="Times New Roman" w:cs="Times New Roman" w:eastAsia="Times New Roman" w:hAnsi="Times New Roman"/>
          <w:sz w:val="15"/>
          <w:szCs w:val="15"/>
          <w:color w:val="auto"/>
        </w:rPr>
        <w:t>5</w:t>
      </w:r>
    </w:p>
    <w:p>
      <w:pPr>
        <w:spacing w:after="0" w:line="27" w:lineRule="exact"/>
        <w:rPr>
          <w:rFonts w:ascii="Times New Roman" w:cs="Times New Roman" w:eastAsia="Times New Roman" w:hAnsi="Times New Roman"/>
          <w:sz w:val="18"/>
          <w:szCs w:val="18"/>
          <w:color w:val="auto"/>
        </w:rPr>
      </w:pPr>
    </w:p>
    <w:p>
      <w:pPr>
        <w:ind w:left="784" w:hanging="424"/>
        <w:spacing w:after="0"/>
        <w:tabs>
          <w:tab w:leader="none" w:pos="7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Extension of Credit</w:t>
      </w:r>
      <w:r>
        <w:rPr>
          <w:rFonts w:ascii="Times New Roman" w:cs="Times New Roman" w:eastAsia="Times New Roman" w:hAnsi="Times New Roman"/>
          <w:sz w:val="15"/>
          <w:szCs w:val="15"/>
          <w:color w:val="auto"/>
        </w:rPr>
        <w:t>6</w:t>
      </w:r>
    </w:p>
    <w:p>
      <w:pPr>
        <w:spacing w:after="0" w:line="22" w:lineRule="exact"/>
        <w:rPr>
          <w:rFonts w:ascii="Times New Roman" w:cs="Times New Roman" w:eastAsia="Times New Roman" w:hAnsi="Times New Roman"/>
          <w:sz w:val="18"/>
          <w:szCs w:val="18"/>
          <w:color w:val="auto"/>
        </w:rPr>
      </w:pPr>
    </w:p>
    <w:p>
      <w:pPr>
        <w:ind w:left="784" w:hanging="424"/>
        <w:spacing w:after="0"/>
        <w:tabs>
          <w:tab w:leader="none" w:pos="7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and the last day thereof</w:t>
      </w:r>
      <w:r>
        <w:rPr>
          <w:rFonts w:ascii="Times New Roman" w:cs="Times New Roman" w:eastAsia="Times New Roman" w:hAnsi="Times New Roman"/>
          <w:sz w:val="15"/>
          <w:szCs w:val="15"/>
          <w:color w:val="auto"/>
        </w:rPr>
        <w:t>7</w:t>
      </w:r>
    </w:p>
    <w:p>
      <w:pPr>
        <w:spacing w:after="0" w:line="22" w:lineRule="exact"/>
        <w:rPr>
          <w:rFonts w:ascii="Times New Roman" w:cs="Times New Roman" w:eastAsia="Times New Roman" w:hAnsi="Times New Roman"/>
          <w:sz w:val="18"/>
          <w:szCs w:val="18"/>
          <w:color w:val="auto"/>
        </w:rPr>
      </w:pPr>
    </w:p>
    <w:p>
      <w:pPr>
        <w:ind w:left="784" w:hanging="424"/>
        <w:spacing w:after="0"/>
        <w:tabs>
          <w:tab w:leader="none" w:pos="7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are requested to be disbursed to the Borrower’s account with _____________ (Account No.</w:t>
      </w:r>
    </w:p>
    <w:p>
      <w:pPr>
        <w:spacing w:after="0" w:line="9"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5812155</wp:posOffset>
            </wp:positionH>
            <wp:positionV relativeFrom="paragraph">
              <wp:posOffset>5715</wp:posOffset>
            </wp:positionV>
            <wp:extent cx="11830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-267970</wp:posOffset>
            </wp:positionV>
            <wp:extent cx="11830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-413385</wp:posOffset>
            </wp:positionV>
            <wp:extent cx="11830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-559435</wp:posOffset>
            </wp:positionV>
            <wp:extent cx="11830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-704850</wp:posOffset>
            </wp:positionV>
            <wp:extent cx="11830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715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line="257" w:lineRule="auto"/>
        <w:tabs>
          <w:tab w:leader="none" w:pos="424"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Borrowing Request to be delivered to the Administrative Agent prior to (a) in the case of Term Benchmark Loans, 11:00 A.M., New York City time, three Business Days prior to the requested Borrowing Date or (b) in the case of ABR Loans, 11:00 A.M., New York City time, on the date of the proposed borrowing.</w:t>
      </w:r>
    </w:p>
    <w:p>
      <w:pPr>
        <w:ind w:left="424" w:right="240" w:hanging="424"/>
        <w:spacing w:after="0" w:line="250" w:lineRule="auto"/>
        <w:tabs>
          <w:tab w:leader="none" w:pos="424"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Each borrowing shall be in an amount equal to $25 million (or, if the Total Available Commitments at such time are less than $25 million, such lesser amount) or a whole multiple of $5 million in excess thereof.</w:t>
      </w:r>
    </w:p>
    <w:p>
      <w:pPr>
        <w:spacing w:after="0" w:line="1" w:lineRule="exact"/>
        <w:rPr>
          <w:sz w:val="20"/>
          <w:szCs w:val="20"/>
          <w:color w:val="auto"/>
        </w:rPr>
      </w:pPr>
    </w:p>
    <w:p>
      <w:pPr>
        <w:ind w:left="424" w:hanging="424"/>
        <w:spacing w:after="0"/>
        <w:tabs>
          <w:tab w:leader="none" w:pos="424"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Specify Term Benchmark Borrowing or ABR Borrowing.</w:t>
      </w:r>
    </w:p>
    <w:p>
      <w:pPr>
        <w:spacing w:after="0" w:line="9" w:lineRule="exact"/>
        <w:rPr>
          <w:sz w:val="20"/>
          <w:szCs w:val="20"/>
          <w:color w:val="auto"/>
        </w:rPr>
      </w:pPr>
    </w:p>
    <w:p>
      <w:pPr>
        <w:ind w:left="424" w:hanging="424"/>
        <w:spacing w:after="0"/>
        <w:tabs>
          <w:tab w:leader="none" w:pos="424"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Which shall be subject to the definition of “Interest Period” and end on or before the Termination Date.</w:t>
      </w:r>
    </w:p>
    <w:p>
      <w:pPr>
        <w:sectPr>
          <w:pgSz w:w="11900" w:h="16838" w:orient="portrait"/>
          <w:cols w:equalWidth="0" w:num="1">
            <w:col w:w="10984"/>
          </w:cols>
          <w:pgMar w:left="436" w:top="270" w:right="479" w:bottom="1440" w:gutter="0" w:footer="0" w:header="0"/>
        </w:sectPr>
      </w:pPr>
    </w:p>
    <w:bookmarkStart w:id="183" w:name="page184"/>
    <w:bookmarkEnd w:id="183"/>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 5.2</w:t>
      </w:r>
      <w:r>
        <w:rPr>
          <w:rFonts w:ascii="Times New Roman" w:cs="Times New Roman" w:eastAsia="Times New Roman" w:hAnsi="Times New Roman"/>
          <w:sz w:val="15"/>
          <w:szCs w:val="15"/>
          <w:color w:val="auto"/>
        </w:rPr>
        <w:t>8</w:t>
      </w:r>
      <w:r>
        <w:rPr>
          <w:rFonts w:ascii="Times New Roman" w:cs="Times New Roman" w:eastAsia="Times New Roman" w:hAnsi="Times New Roman"/>
          <w:sz w:val="18"/>
          <w:szCs w:val="18"/>
          <w:color w:val="auto"/>
        </w:rPr>
        <w:t>] of the Credit Agreement have been satisfied.</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[INSERT NAME OF APPLICABLE BORROWER]</w:t>
      </w:r>
      <w:r>
        <w:rPr>
          <w:rFonts w:ascii="Times New Roman" w:cs="Times New Roman" w:eastAsia="Times New Roman" w:hAnsi="Times New Roman"/>
          <w:sz w:val="15"/>
          <w:szCs w:val="15"/>
          <w:color w:val="auto"/>
        </w:rPr>
        <w:t>9</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715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24" w:hanging="424"/>
        <w:spacing w:after="0"/>
        <w:tabs>
          <w:tab w:leader="none" w:pos="424"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Borrowing on the Closing Date.]</w:t>
      </w:r>
    </w:p>
    <w:p>
      <w:pPr>
        <w:spacing w:after="0" w:line="26" w:lineRule="exact"/>
        <w:rPr>
          <w:sz w:val="20"/>
          <w:szCs w:val="20"/>
          <w:color w:val="auto"/>
        </w:rPr>
      </w:pPr>
    </w:p>
    <w:p>
      <w:pPr>
        <w:ind w:left="424" w:hanging="424"/>
        <w:spacing w:after="0"/>
        <w:tabs>
          <w:tab w:leader="none" w:pos="424"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for Borrowings by an Applicable Borrower other than the Company.]</w:t>
      </w:r>
    </w:p>
    <w:sectPr>
      <w:pgSz w:w="11900" w:h="16838" w:orient="portrait"/>
      <w:cols w:equalWidth="0" w:num="1">
        <w:col w:w="10764"/>
      </w:cols>
      <w:pgMar w:left="436"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1)"/>
      <w:numFmt w:val="decimal"/>
      <w:start w:val="1"/>
    </w:lvl>
  </w:abstractNum>
  <w:abstractNum w:abstractNumId="3">
    <w:nsid w:val="1A32234B"/>
    <w:multiLevelType w:val="hybridMultilevel"/>
    <w:lvl w:ilvl="0">
      <w:lvlJc w:val="left"/>
      <w:lvlText w:val="(%1)"/>
      <w:numFmt w:val="decimal"/>
      <w:start w:val="1"/>
    </w:lvl>
  </w:abstractNum>
  <w:abstractNum w:abstractNumId="4">
    <w:nsid w:val="3B0FD379"/>
    <w:multiLevelType w:val="hybridMultilevel"/>
    <w:lvl w:ilvl="0">
      <w:lvlJc w:val="left"/>
      <w:lvlText w:val="(%1)"/>
      <w:numFmt w:val="decimal"/>
      <w:start w:val="1"/>
    </w:lvl>
  </w:abstractNum>
  <w:abstractNum w:abstractNumId="5">
    <w:nsid w:val="68EB2F63"/>
    <w:multiLevelType w:val="hybridMultilevel"/>
    <w:lvl w:ilvl="0">
      <w:lvlJc w:val="left"/>
      <w:lvlText w:val="(%1)"/>
      <w:numFmt w:val="lowerRoman"/>
      <w:start w:val="1"/>
    </w:lvl>
  </w:abstractNum>
  <w:abstractNum w:abstractNumId="6">
    <w:nsid w:val="4962813B"/>
    <w:multiLevelType w:val="hybridMultilevel"/>
    <w:lvl w:ilvl="0">
      <w:lvlJc w:val="left"/>
      <w:lvlText w:val="(%1)"/>
      <w:numFmt w:val="lowerLetter"/>
      <w:start w:val="2"/>
    </w:lvl>
  </w:abstractNum>
  <w:abstractNum w:abstractNumId="7">
    <w:nsid w:val="60B6DF70"/>
    <w:multiLevelType w:val="hybridMultilevel"/>
    <w:lvl w:ilvl="0">
      <w:lvlJc w:val="left"/>
      <w:lvlText w:val="(%1)"/>
      <w:numFmt w:val="lowerRoman"/>
      <w:start w:val="6"/>
    </w:lvl>
  </w:abstractNum>
  <w:abstractNum w:abstractNumId="8">
    <w:nsid w:val="6A5EE64"/>
    <w:multiLevelType w:val="hybridMultilevel"/>
    <w:lvl w:ilvl="0">
      <w:lvlJc w:val="left"/>
      <w:lvlText w:val="(%1)"/>
      <w:numFmt w:val="lowerLetter"/>
      <w:start w:val="9"/>
    </w:lvl>
  </w:abstractNum>
  <w:abstractNum w:abstractNumId="9">
    <w:nsid w:val="14330624"/>
    <w:multiLevelType w:val="hybridMultilevel"/>
    <w:lvl w:ilvl="0">
      <w:lvlJc w:val="left"/>
      <w:lvlText w:val="(%1)"/>
      <w:numFmt w:val="lowerLetter"/>
      <w:start w:val="4"/>
    </w:lvl>
  </w:abstractNum>
  <w:abstractNum w:abstractNumId="10">
    <w:nsid w:val="7FFFCA11"/>
    <w:multiLevelType w:val="hybridMultilevel"/>
    <w:lvl w:ilvl="0">
      <w:lvlJc w:val="left"/>
      <w:lvlText w:val="(%1)"/>
      <w:numFmt w:val="lowerRoman"/>
      <w:start w:val="2"/>
    </w:lvl>
  </w:abstractNum>
  <w:abstractNum w:abstractNumId="11">
    <w:nsid w:val="1A27709E"/>
    <w:multiLevelType w:val="hybridMultilevel"/>
    <w:lvl w:ilvl="0">
      <w:lvlJc w:val="left"/>
      <w:lvlText w:val="(%1)"/>
      <w:numFmt w:val="lowerLetter"/>
      <w:start w:val="2"/>
    </w:lvl>
    <w:lvl w:ilvl="1">
      <w:lvlJc w:val="left"/>
      <w:lvlText w:val="(%2)"/>
      <w:numFmt w:val="upperLetter"/>
      <w:start w:val="1"/>
    </w:lvl>
  </w:abstractNum>
  <w:abstractNum w:abstractNumId="12">
    <w:nsid w:val="71EA1109"/>
    <w:multiLevelType w:val="hybridMultilevel"/>
    <w:lvl w:ilvl="0">
      <w:lvlJc w:val="left"/>
      <w:lvlText w:val="(%1)"/>
      <w:numFmt w:val="lowerLetter"/>
      <w:start w:val="2"/>
    </w:lvl>
  </w:abstractNum>
  <w:abstractNum w:abstractNumId="13">
    <w:nsid w:val="100F59DC"/>
    <w:multiLevelType w:val="hybridMultilevel"/>
    <w:lvl w:ilvl="0">
      <w:lvlJc w:val="left"/>
      <w:lvlText w:val="(%1)"/>
      <w:numFmt w:val="lowerLetter"/>
      <w:start w:val="1"/>
    </w:lvl>
  </w:abstractNum>
  <w:abstractNum w:abstractNumId="14">
    <w:nsid w:val="7FB7E0AA"/>
    <w:multiLevelType w:val="hybridMultilevel"/>
    <w:lvl w:ilvl="0">
      <w:lvlJc w:val="left"/>
      <w:lvlText w:val="(%1)"/>
      <w:numFmt w:val="lowerLetter"/>
      <w:start w:val="5"/>
    </w:lvl>
  </w:abstractNum>
  <w:abstractNum w:abstractNumId="15">
    <w:nsid w:val="6EB5BD4"/>
    <w:multiLevelType w:val="hybridMultilevel"/>
    <w:lvl w:ilvl="0">
      <w:lvlJc w:val="left"/>
      <w:lvlText w:val="%1"/>
      <w:numFmt w:val="lowerRoman"/>
      <w:start w:val="1"/>
    </w:lvl>
    <w:lvl w:ilvl="1">
      <w:lvlJc w:val="left"/>
      <w:lvlText w:val="(%2)"/>
      <w:numFmt w:val="lowerLetter"/>
      <w:start w:val="13"/>
    </w:lvl>
  </w:abstractNum>
  <w:abstractNum w:abstractNumId="16">
    <w:nsid w:val="6F6DD9AC"/>
    <w:multiLevelType w:val="hybridMultilevel"/>
    <w:lvl w:ilvl="0">
      <w:lvlJc w:val="left"/>
      <w:lvlText w:val="(%1)"/>
      <w:numFmt w:val="lowerRoman"/>
      <w:start w:val="8"/>
    </w:lvl>
    <w:lvl w:ilvl="1">
      <w:lvlJc w:val="left"/>
      <w:lvlText w:val="(%2)"/>
      <w:numFmt w:val="lowerLetter"/>
      <w:start w:val="18"/>
    </w:lvl>
  </w:abstractNum>
  <w:abstractNum w:abstractNumId="17">
    <w:nsid w:val="94211F2"/>
    <w:multiLevelType w:val="hybridMultilevel"/>
    <w:lvl w:ilvl="0">
      <w:lvlJc w:val="left"/>
      <w:lvlText w:val="(%1)"/>
      <w:numFmt w:val="lowerLetter"/>
      <w:start w:val="23"/>
    </w:lvl>
  </w:abstractNum>
  <w:abstractNum w:abstractNumId="18">
    <w:nsid w:val="885E1B"/>
    <w:multiLevelType w:val="hybridMultilevel"/>
    <w:lvl w:ilvl="0">
      <w:lvlJc w:val="left"/>
      <w:lvlText w:val="%1"/>
      <w:numFmt w:val="lowerLetter"/>
      <w:start w:val="1"/>
    </w:lvl>
    <w:lvl w:ilvl="1">
      <w:lvlJc w:val="left"/>
      <w:lvlText w:val="(%2)"/>
      <w:numFmt w:val="lowerLetter"/>
      <w:start w:val="2"/>
    </w:lvl>
  </w:abstractNum>
  <w:abstractNum w:abstractNumId="19">
    <w:nsid w:val="76272110"/>
    <w:multiLevelType w:val="hybridMultilevel"/>
    <w:lvl w:ilvl="0">
      <w:lvlJc w:val="left"/>
      <w:lvlText w:val="(%1)"/>
      <w:numFmt w:val="lowerLetter"/>
      <w:start w:val="9"/>
    </w:lvl>
    <w:lvl w:ilvl="1">
      <w:lvlJc w:val="left"/>
      <w:lvlText w:val="%2"/>
      <w:numFmt w:val="lowerLetter"/>
      <w:start w:val="1"/>
    </w:lvl>
  </w:abstractNum>
  <w:abstractNum w:abstractNumId="20">
    <w:nsid w:val="4C04A8AF"/>
    <w:multiLevelType w:val="hybridMultilevel"/>
    <w:lvl w:ilvl="0">
      <w:lvlJc w:val="left"/>
      <w:lvlText w:val="(%1)"/>
      <w:numFmt w:val="lowerLetter"/>
      <w:start w:val="22"/>
    </w:lvl>
    <w:lvl w:ilvl="1">
      <w:lvlJc w:val="left"/>
      <w:lvlText w:val="(%2)"/>
      <w:numFmt w:val="lowerLetter"/>
      <w:start w:val="3"/>
    </w:lvl>
  </w:abstractNum>
  <w:abstractNum w:abstractNumId="21">
    <w:nsid w:val="1716703B"/>
    <w:multiLevelType w:val="hybridMultilevel"/>
    <w:lvl w:ilvl="0">
      <w:lvlJc w:val="left"/>
      <w:lvlText w:val="(%1)"/>
      <w:numFmt w:val="lowerLetter"/>
      <w:start w:val="1"/>
    </w:lvl>
  </w:abstractNum>
  <w:abstractNum w:abstractNumId="22">
    <w:nsid w:val="14E17E33"/>
    <w:multiLevelType w:val="hybridMultilevel"/>
    <w:lvl w:ilvl="0">
      <w:lvlJc w:val="left"/>
      <w:lvlText w:val="(%1)"/>
      <w:numFmt w:val="lowerLetter"/>
      <w:start w:val="2"/>
    </w:lvl>
  </w:abstractNum>
  <w:abstractNum w:abstractNumId="23">
    <w:nsid w:val="3222E7CD"/>
    <w:multiLevelType w:val="hybridMultilevel"/>
    <w:lvl w:ilvl="0">
      <w:lvlJc w:val="left"/>
      <w:lvlText w:val="(%1)"/>
      <w:numFmt w:val="lowerLetter"/>
      <w:start w:val="2"/>
    </w:lvl>
  </w:abstractNum>
  <w:abstractNum w:abstractNumId="24">
    <w:nsid w:val="74DE0EE3"/>
    <w:multiLevelType w:val="hybridMultilevel"/>
    <w:lvl w:ilvl="0">
      <w:lvlJc w:val="left"/>
      <w:lvlText w:val="(%1)"/>
      <w:numFmt w:val="lowerLetter"/>
      <w:start w:val="3"/>
    </w:lvl>
  </w:abstractNum>
  <w:abstractNum w:abstractNumId="25">
    <w:nsid w:val="68EBC550"/>
    <w:multiLevelType w:val="hybridMultilevel"/>
    <w:lvl w:ilvl="0">
      <w:lvlJc w:val="left"/>
      <w:lvlText w:val="(%1)"/>
      <w:numFmt w:val="lowerLetter"/>
      <w:start w:val="6"/>
    </w:lvl>
  </w:abstractNum>
  <w:abstractNum w:abstractNumId="26">
    <w:nsid w:val="2DF6D648"/>
    <w:multiLevelType w:val="hybridMultilevel"/>
    <w:lvl w:ilvl="0">
      <w:lvlJc w:val="left"/>
      <w:lvlText w:val="(%1)"/>
      <w:numFmt w:val="lowerLetter"/>
      <w:start w:val="2"/>
    </w:lvl>
  </w:abstractNum>
  <w:abstractNum w:abstractNumId="27">
    <w:nsid w:val="46B7D447"/>
    <w:multiLevelType w:val="hybridMultilevel"/>
    <w:lvl w:ilvl="0">
      <w:lvlJc w:val="left"/>
      <w:lvlText w:val="(%1)"/>
      <w:numFmt w:val="lowerLetter"/>
      <w:start w:val="2"/>
    </w:lvl>
  </w:abstractNum>
  <w:abstractNum w:abstractNumId="28">
    <w:nsid w:val="4A2AC315"/>
    <w:multiLevelType w:val="hybridMultilevel"/>
    <w:lvl w:ilvl="0">
      <w:lvlJc w:val="left"/>
      <w:lvlText w:val="(%1)"/>
      <w:numFmt w:val="lowerLetter"/>
      <w:start w:val="25"/>
    </w:lvl>
    <w:lvl w:ilvl="1">
      <w:lvlJc w:val="left"/>
      <w:lvlText w:val="(%2)"/>
      <w:numFmt w:val="lowerLetter"/>
      <w:start w:val="2"/>
    </w:lvl>
  </w:abstractNum>
  <w:abstractNum w:abstractNumId="29">
    <w:nsid w:val="39EE015C"/>
    <w:multiLevelType w:val="hybridMultilevel"/>
    <w:lvl w:ilvl="0">
      <w:lvlJc w:val="left"/>
      <w:lvlText w:val="(%1)"/>
      <w:numFmt w:val="lowerRoman"/>
      <w:start w:val="2"/>
    </w:lvl>
  </w:abstractNum>
  <w:abstractNum w:abstractNumId="30">
    <w:nsid w:val="57FC4FBB"/>
    <w:multiLevelType w:val="hybridMultilevel"/>
    <w:lvl w:ilvl="0">
      <w:lvlJc w:val="left"/>
      <w:lvlText w:val="(%1)"/>
      <w:numFmt w:val="lowerRoman"/>
      <w:start w:val="2"/>
    </w:lvl>
  </w:abstractNum>
  <w:abstractNum w:abstractNumId="31">
    <w:nsid w:val="CC1016F"/>
    <w:multiLevelType w:val="hybridMultilevel"/>
    <w:lvl w:ilvl="0">
      <w:lvlJc w:val="left"/>
      <w:lvlText w:val="(%1)"/>
      <w:numFmt w:val="lowerLetter"/>
      <w:start w:val="2"/>
    </w:lvl>
  </w:abstractNum>
  <w:abstractNum w:abstractNumId="32">
    <w:nsid w:val="43F18422"/>
    <w:multiLevelType w:val="hybridMultilevel"/>
    <w:lvl w:ilvl="0">
      <w:lvlJc w:val="left"/>
      <w:lvlText w:val="(%1)"/>
      <w:numFmt w:val="lowerLetter"/>
      <w:start w:val="6"/>
    </w:lvl>
  </w:abstractNum>
  <w:abstractNum w:abstractNumId="33">
    <w:nsid w:val="60EF0119"/>
    <w:multiLevelType w:val="hybridMultilevel"/>
    <w:lvl w:ilvl="0">
      <w:lvlJc w:val="left"/>
      <w:lvlText w:val="(%1)"/>
      <w:numFmt w:val="lowerLetter"/>
      <w:start w:val="2"/>
    </w:lvl>
  </w:abstractNum>
  <w:abstractNum w:abstractNumId="34">
    <w:nsid w:val="26F324BA"/>
    <w:multiLevelType w:val="hybridMultilevel"/>
    <w:lvl w:ilvl="0">
      <w:lvlJc w:val="left"/>
      <w:lvlText w:val="(%1)"/>
      <w:numFmt w:val="lowerLetter"/>
      <w:start w:val="4"/>
    </w:lvl>
  </w:abstractNum>
  <w:abstractNum w:abstractNumId="35">
    <w:nsid w:val="7F01579B"/>
    <w:multiLevelType w:val="hybridMultilevel"/>
    <w:lvl w:ilvl="0">
      <w:lvlJc w:val="left"/>
      <w:lvlText w:val="(%1)"/>
      <w:numFmt w:val="lowerRoman"/>
      <w:start w:val="1"/>
    </w:lvl>
  </w:abstractNum>
  <w:abstractNum w:abstractNumId="36">
    <w:nsid w:val="49DA307D"/>
    <w:multiLevelType w:val="hybridMultilevel"/>
    <w:lvl w:ilvl="0">
      <w:lvlJc w:val="left"/>
      <w:lvlText w:val="(%1)"/>
      <w:numFmt w:val="lowerLetter"/>
      <w:start w:val="2"/>
    </w:lvl>
  </w:abstractNum>
  <w:abstractNum w:abstractNumId="37">
    <w:nsid w:val="7055A5F5"/>
    <w:multiLevelType w:val="hybridMultilevel"/>
    <w:lvl w:ilvl="0">
      <w:lvlJc w:val="left"/>
      <w:lvlText w:val="(%1)"/>
      <w:numFmt w:val="lowerLetter"/>
      <w:start w:val="9"/>
    </w:lvl>
    <w:lvl w:ilvl="1">
      <w:lvlJc w:val="left"/>
      <w:lvlText w:val="(%2)"/>
      <w:numFmt w:val="lowerLetter"/>
      <w:start w:val="2"/>
    </w:lvl>
  </w:abstractNum>
  <w:abstractNum w:abstractNumId="38">
    <w:nsid w:val="5FB8370B"/>
    <w:multiLevelType w:val="hybridMultilevel"/>
    <w:lvl w:ilvl="0">
      <w:lvlJc w:val="left"/>
      <w:lvlText w:val="(%1)"/>
      <w:numFmt w:val="lowerLetter"/>
      <w:start w:val="35"/>
    </w:lvl>
    <w:lvl w:ilvl="1">
      <w:lvlJc w:val="left"/>
      <w:lvlText w:val="%2"/>
      <w:numFmt w:val="lowerLetter"/>
      <w:start w:val="1"/>
    </w:lvl>
  </w:abstractNum>
  <w:abstractNum w:abstractNumId="39">
    <w:nsid w:val="50801EE1"/>
    <w:multiLevelType w:val="hybridMultilevel"/>
    <w:lvl w:ilvl="0">
      <w:lvlJc w:val="left"/>
      <w:lvlText w:val="(%1)"/>
      <w:numFmt w:val="lowerLetter"/>
      <w:start w:val="4"/>
    </w:lvl>
  </w:abstractNum>
  <w:abstractNum w:abstractNumId="40">
    <w:nsid w:val="488AC1A"/>
    <w:multiLevelType w:val="hybridMultilevel"/>
    <w:lvl w:ilvl="0">
      <w:lvlJc w:val="left"/>
      <w:lvlText w:val="(%1)"/>
      <w:numFmt w:val="lowerLetter"/>
      <w:start w:val="6"/>
    </w:lvl>
  </w:abstractNum>
  <w:abstractNum w:abstractNumId="41">
    <w:nsid w:val="5FB8011C"/>
    <w:multiLevelType w:val="hybridMultilevel"/>
    <w:lvl w:ilvl="0">
      <w:lvlJc w:val="left"/>
      <w:lvlText w:val="(%1)"/>
      <w:numFmt w:val="lowerLetter"/>
      <w:start w:val="1"/>
    </w:lvl>
  </w:abstractNum>
  <w:abstractNum w:abstractNumId="42">
    <w:nsid w:val="6AA78F7F"/>
    <w:multiLevelType w:val="hybridMultilevel"/>
    <w:lvl w:ilvl="0">
      <w:lvlJc w:val="left"/>
      <w:lvlText w:val="(%1)"/>
      <w:numFmt w:val="lowerLetter"/>
      <w:start w:val="2"/>
    </w:lvl>
  </w:abstractNum>
  <w:abstractNum w:abstractNumId="43">
    <w:nsid w:val="7672BD23"/>
    <w:multiLevelType w:val="hybridMultilevel"/>
    <w:lvl w:ilvl="0">
      <w:lvlJc w:val="left"/>
      <w:lvlText w:val="(%1)"/>
      <w:numFmt w:val="lowerLetter"/>
      <w:start w:val="2"/>
    </w:lvl>
  </w:abstractNum>
  <w:abstractNum w:abstractNumId="44">
    <w:nsid w:val="6FC75AF8"/>
    <w:multiLevelType w:val="hybridMultilevel"/>
    <w:lvl w:ilvl="0">
      <w:lvlJc w:val="left"/>
      <w:lvlText w:val="(%1)"/>
      <w:numFmt w:val="lowerLetter"/>
      <w:start w:val="1"/>
    </w:lvl>
  </w:abstractNum>
  <w:abstractNum w:abstractNumId="45">
    <w:nsid w:val="6A5F7029"/>
    <w:multiLevelType w:val="hybridMultilevel"/>
    <w:lvl w:ilvl="0">
      <w:lvlJc w:val="left"/>
      <w:lvlText w:val="(%1)"/>
      <w:numFmt w:val="lowerLetter"/>
      <w:start w:val="4"/>
    </w:lvl>
  </w:abstractNum>
  <w:abstractNum w:abstractNumId="46">
    <w:nsid w:val="7D5E18F8"/>
    <w:multiLevelType w:val="hybridMultilevel"/>
    <w:lvl w:ilvl="0">
      <w:lvlJc w:val="left"/>
      <w:lvlText w:val="(%1)"/>
      <w:numFmt w:val="lowerLetter"/>
      <w:start w:val="1"/>
    </w:lvl>
  </w:abstractNum>
  <w:abstractNum w:abstractNumId="47">
    <w:nsid w:val="5F3534A4"/>
    <w:multiLevelType w:val="hybridMultilevel"/>
    <w:lvl w:ilvl="0">
      <w:lvlJc w:val="left"/>
      <w:lvlText w:val="(%1)"/>
      <w:numFmt w:val="lowerRoman"/>
      <w:start w:val="1"/>
    </w:lvl>
  </w:abstractNum>
  <w:abstractNum w:abstractNumId="48">
    <w:nsid w:val="73A1821B"/>
    <w:multiLevelType w:val="hybridMultilevel"/>
    <w:lvl w:ilvl="0">
      <w:lvlJc w:val="left"/>
      <w:lvlText w:val="%1"/>
      <w:numFmt w:val="lowerLetter"/>
      <w:start w:val="1"/>
    </w:lvl>
    <w:lvl w:ilvl="1">
      <w:lvlJc w:val="left"/>
      <w:lvlText w:val="(%2)"/>
      <w:numFmt w:val="lowerLetter"/>
      <w:start w:val="1"/>
    </w:lvl>
  </w:abstractNum>
  <w:abstractNum w:abstractNumId="49">
    <w:nsid w:val="7DE67713"/>
    <w:multiLevelType w:val="hybridMultilevel"/>
    <w:lvl w:ilvl="0">
      <w:lvlJc w:val="left"/>
      <w:lvlText w:val="(%1)"/>
      <w:numFmt w:val="lowerLetter"/>
      <w:start w:val="9"/>
    </w:lvl>
    <w:lvl w:ilvl="1">
      <w:lvlJc w:val="left"/>
      <w:lvlText w:val="(%2)"/>
      <w:numFmt w:val="lowerLetter"/>
      <w:start w:val="4"/>
    </w:lvl>
  </w:abstractNum>
  <w:abstractNum w:abstractNumId="50">
    <w:nsid w:val="555C55B5"/>
    <w:multiLevelType w:val="hybridMultilevel"/>
    <w:lvl w:ilvl="0">
      <w:lvlJc w:val="left"/>
      <w:lvlText w:val="(%1)"/>
      <w:numFmt w:val="lowerLetter"/>
      <w:start w:val="6"/>
    </w:lvl>
  </w:abstractNum>
  <w:abstractNum w:abstractNumId="51">
    <w:nsid w:val="3FA62ACA"/>
    <w:multiLevelType w:val="hybridMultilevel"/>
    <w:lvl w:ilvl="0">
      <w:lvlJc w:val="left"/>
      <w:lvlText w:val="(%1)"/>
      <w:numFmt w:val="lowerLetter"/>
      <w:start w:val="1"/>
    </w:lvl>
  </w:abstractNum>
  <w:abstractNum w:abstractNumId="52">
    <w:nsid w:val="14FCE74E"/>
    <w:multiLevelType w:val="hybridMultilevel"/>
    <w:lvl w:ilvl="0">
      <w:lvlJc w:val="left"/>
      <w:lvlText w:val="%1"/>
      <w:numFmt w:val="lowerLetter"/>
      <w:start w:val="1"/>
    </w:lvl>
    <w:lvl w:ilvl="1">
      <w:lvlJc w:val="left"/>
      <w:lvlText w:val="(%2)"/>
      <w:numFmt w:val="lowerLetter"/>
      <w:start w:val="2"/>
    </w:lvl>
  </w:abstractNum>
  <w:abstractNum w:abstractNumId="53">
    <w:nsid w:val="6A3DD3E8"/>
    <w:multiLevelType w:val="hybridMultilevel"/>
    <w:lvl w:ilvl="0">
      <w:lvlJc w:val="left"/>
      <w:lvlText w:val="(%1)"/>
      <w:numFmt w:val="lowerLetter"/>
      <w:start w:val="23"/>
    </w:lvl>
    <w:lvl w:ilvl="1">
      <w:lvlJc w:val="left"/>
      <w:lvlText w:val="%2"/>
      <w:numFmt w:val="lowerLetter"/>
      <w:start w:val="1"/>
    </w:lvl>
  </w:abstractNum>
  <w:abstractNum w:abstractNumId="54">
    <w:nsid w:val="71C91298"/>
    <w:multiLevelType w:val="hybridMultilevel"/>
    <w:lvl w:ilvl="0">
      <w:lvlJc w:val="left"/>
      <w:lvlText w:val="(%1)"/>
      <w:numFmt w:val="lowerLetter"/>
      <w:start w:val="3"/>
    </w:lvl>
  </w:abstractNum>
  <w:abstractNum w:abstractNumId="55">
    <w:nsid w:val="9DAF632"/>
    <w:multiLevelType w:val="hybridMultilevel"/>
    <w:lvl w:ilvl="0">
      <w:lvlJc w:val="left"/>
      <w:lvlText w:val="(%1)"/>
      <w:numFmt w:val="upperLetter"/>
      <w:start w:val="2"/>
    </w:lvl>
  </w:abstractNum>
  <w:abstractNum w:abstractNumId="56">
    <w:nsid w:val="53299938"/>
    <w:multiLevelType w:val="hybridMultilevel"/>
    <w:lvl w:ilvl="0">
      <w:lvlJc w:val="left"/>
      <w:lvlText w:val="(%1)"/>
      <w:numFmt w:val="lowerLetter"/>
      <w:start w:val="1"/>
    </w:lvl>
  </w:abstractNum>
  <w:abstractNum w:abstractNumId="57">
    <w:nsid w:val="1FBFE8E0"/>
    <w:multiLevelType w:val="hybridMultilevel"/>
    <w:lvl w:ilvl="0">
      <w:lvlJc w:val="left"/>
      <w:lvlText w:val="(%1)"/>
      <w:numFmt w:val="lowerLetter"/>
      <w:start w:val="2"/>
    </w:lvl>
  </w:abstractNum>
  <w:abstractNum w:abstractNumId="58">
    <w:nsid w:val="5092CA79"/>
    <w:multiLevelType w:val="hybridMultilevel"/>
    <w:lvl w:ilvl="0">
      <w:lvlJc w:val="left"/>
      <w:lvlText w:val="(%1)"/>
      <w:numFmt w:val="lowerLetter"/>
      <w:start w:val="1"/>
    </w:lvl>
  </w:abstractNum>
  <w:abstractNum w:abstractNumId="59">
    <w:nsid w:val="1D545C4D"/>
    <w:multiLevelType w:val="hybridMultilevel"/>
    <w:lvl w:ilvl="0">
      <w:lvlJc w:val="left"/>
      <w:lvlText w:val="(%1)"/>
      <w:numFmt w:val="lowerLetter"/>
      <w:start w:val="1"/>
    </w:lvl>
  </w:abstractNum>
  <w:abstractNum w:abstractNumId="60">
    <w:nsid w:val="59ADEA3D"/>
    <w:multiLevelType w:val="hybridMultilevel"/>
    <w:lvl w:ilvl="0">
      <w:lvlJc w:val="left"/>
      <w:lvlText w:val="(%1)"/>
      <w:numFmt w:val="lowerLetter"/>
      <w:start w:val="8"/>
    </w:lvl>
  </w:abstractNum>
  <w:abstractNum w:abstractNumId="61">
    <w:nsid w:val="288F1A34"/>
    <w:multiLevelType w:val="hybridMultilevel"/>
    <w:lvl w:ilvl="0">
      <w:lvlJc w:val="left"/>
      <w:lvlText w:val="(%1)"/>
      <w:numFmt w:val="lowerRoman"/>
      <w:start w:val="2"/>
    </w:lvl>
  </w:abstractNum>
  <w:abstractNum w:abstractNumId="62">
    <w:nsid w:val="2A155DBC"/>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63">
    <w:nsid w:val="1D9F6E5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64">
    <w:nsid w:val="97E1B4E"/>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65">
    <w:nsid w:val="51088277"/>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66">
    <w:nsid w:val="1CA0C5FA"/>
    <w:multiLevelType w:val="hybridMultilevel"/>
    <w:lvl w:ilvl="0">
      <w:lvlJc w:val="left"/>
      <w:lvlText w:val="%1"/>
      <w:numFmt w:val="lowerLetter"/>
      <w:start w:val="1"/>
    </w:lvl>
    <w:lvl w:ilvl="1">
      <w:lvlJc w:val="left"/>
      <w:lvlText w:val="(%2)"/>
      <w:numFmt w:val="lowerLetter"/>
      <w:start w:val="1"/>
    </w:lvl>
  </w:abstractNum>
  <w:abstractNum w:abstractNumId="67">
    <w:nsid w:val="53584BCB"/>
    <w:multiLevelType w:val="hybridMultilevel"/>
    <w:lvl w:ilvl="0">
      <w:lvlJc w:val="left"/>
      <w:lvlText w:val="(%1)"/>
      <w:numFmt w:val="lowerLetter"/>
      <w:start w:val="61"/>
    </w:lvl>
    <w:lvl w:ilvl="1">
      <w:lvlJc w:val="left"/>
      <w:lvlText w:val="(%2)"/>
      <w:numFmt w:val="lowerLetter"/>
      <w:start w:val="2"/>
    </w:lvl>
  </w:abstractNum>
  <w:abstractNum w:abstractNumId="68">
    <w:nsid w:val="415E286C"/>
    <w:multiLevelType w:val="hybridMultilevel"/>
    <w:lvl w:ilvl="0">
      <w:lvlJc w:val="left"/>
      <w:lvlText w:val="(%1)"/>
      <w:numFmt w:val="lowerRoman"/>
      <w:start w:val="2"/>
    </w:lvl>
  </w:abstractNum>
  <w:abstractNum w:abstractNumId="69">
    <w:nsid w:val="7C58FD05"/>
    <w:multiLevelType w:val="hybridMultilevel"/>
    <w:lvl w:ilvl="0">
      <w:lvlJc w:val="left"/>
      <w:lvlText w:val="(%1)"/>
      <w:numFmt w:val="upperLetter"/>
      <w:start w:val="1"/>
    </w:lvl>
  </w:abstractNum>
  <w:abstractNum w:abstractNumId="70">
    <w:nsid w:val="23D86AAC"/>
    <w:multiLevelType w:val="hybridMultilevel"/>
    <w:lvl w:ilvl="0">
      <w:lvlJc w:val="left"/>
      <w:lvlText w:val="(%1)"/>
      <w:numFmt w:val="lowerLetter"/>
      <w:start w:val="2"/>
    </w:lvl>
  </w:abstractNum>
  <w:abstractNum w:abstractNumId="71">
    <w:nsid w:val="45E6D486"/>
    <w:multiLevelType w:val="hybridMultilevel"/>
    <w:lvl w:ilvl="0">
      <w:lvlJc w:val="left"/>
      <w:lvlText w:val="(%1)"/>
      <w:numFmt w:val="lowerRoman"/>
      <w:start w:val="1"/>
    </w:lvl>
  </w:abstractNum>
  <w:abstractNum w:abstractNumId="72">
    <w:nsid w:val="5C10FE21"/>
    <w:multiLevelType w:val="hybridMultilevel"/>
    <w:lvl w:ilvl="0">
      <w:lvlJc w:val="left"/>
      <w:lvlText w:val="(%1)"/>
      <w:numFmt w:val="lowerRoman"/>
      <w:start w:val="2"/>
    </w:lvl>
  </w:abstractNum>
  <w:abstractNum w:abstractNumId="73">
    <w:nsid w:val="E7FFA2B"/>
    <w:multiLevelType w:val="hybridMultilevel"/>
    <w:lvl w:ilvl="0">
      <w:lvlJc w:val="left"/>
      <w:lvlText w:val="(%1)"/>
      <w:numFmt w:val="lowerLetter"/>
      <w:start w:val="5"/>
    </w:lvl>
  </w:abstractNum>
  <w:abstractNum w:abstractNumId="74">
    <w:nsid w:val="3C5991AA"/>
    <w:multiLevelType w:val="hybridMultilevel"/>
    <w:lvl w:ilvl="0">
      <w:lvlJc w:val="left"/>
      <w:lvlText w:val="(%1)"/>
      <w:numFmt w:val="lowerLetter"/>
      <w:start w:val="2"/>
    </w:lvl>
  </w:abstractNum>
  <w:abstractNum w:abstractNumId="75">
    <w:nsid w:val="4BD8591A"/>
    <w:multiLevelType w:val="hybridMultilevel"/>
    <w:lvl w:ilvl="0">
      <w:lvlJc w:val="left"/>
      <w:lvlText w:val="(%1)"/>
      <w:numFmt w:val="lowerLetter"/>
      <w:start w:val="4"/>
    </w:lvl>
  </w:abstractNum>
  <w:abstractNum w:abstractNumId="76">
    <w:nsid w:val="78DF6A55"/>
    <w:multiLevelType w:val="hybridMultilevel"/>
    <w:lvl w:ilvl="0">
      <w:lvlJc w:val="left"/>
      <w:lvlText w:val="%1"/>
      <w:numFmt w:val="lowerLetter"/>
      <w:start w:val="1"/>
    </w:lvl>
    <w:lvl w:ilvl="1">
      <w:lvlJc w:val="left"/>
      <w:lvlText w:val="(%2)"/>
      <w:numFmt w:val="lowerLetter"/>
      <w:start w:val="1"/>
    </w:lvl>
  </w:abstractNum>
  <w:abstractNum w:abstractNumId="77">
    <w:nsid w:val="39B7AAA2"/>
    <w:multiLevelType w:val="hybridMultilevel"/>
    <w:lvl w:ilvl="0">
      <w:lvlJc w:val="left"/>
      <w:lvlText w:val="(%1)"/>
      <w:numFmt w:val="lowerLetter"/>
      <w:start w:val="9"/>
    </w:lvl>
    <w:lvl w:ilvl="1">
      <w:lvlJc w:val="left"/>
      <w:lvlText w:val="%2"/>
      <w:numFmt w:val="lowerLetter"/>
      <w:start w:val="1"/>
    </w:lvl>
  </w:abstractNum>
  <w:abstractNum w:abstractNumId="78">
    <w:nsid w:val="2B0D8DBE"/>
    <w:multiLevelType w:val="hybridMultilevel"/>
    <w:lvl w:ilvl="0">
      <w:lvlJc w:val="left"/>
      <w:lvlText w:val="(%1)"/>
      <w:numFmt w:val="lowerLetter"/>
      <w:start w:val="2"/>
    </w:lvl>
  </w:abstractNum>
  <w:abstractNum w:abstractNumId="79">
    <w:nsid w:val="6C80EC70"/>
    <w:multiLevelType w:val="hybridMultilevel"/>
    <w:lvl w:ilvl="0">
      <w:lvlJc w:val="left"/>
      <w:lvlText w:val="(%1)"/>
      <w:numFmt w:val="lowerLetter"/>
      <w:start w:val="5"/>
    </w:lvl>
  </w:abstractNum>
  <w:abstractNum w:abstractNumId="80">
    <w:nsid w:val="379E21B5"/>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81">
    <w:nsid w:val="69E373"/>
    <w:multiLevelType w:val="hybridMultilevel"/>
    <w:lvl w:ilvl="0">
      <w:lvlJc w:val="left"/>
      <w:lvlText w:val="(%1)"/>
      <w:numFmt w:val="lowerLetter"/>
      <w:start w:val="25"/>
    </w:lvl>
  </w:abstractNum>
  <w:abstractNum w:abstractNumId="82">
    <w:nsid w:val="2C27173B"/>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83">
    <w:nsid w:val="4C9B0904"/>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84">
    <w:nsid w:val="6AA7B75C"/>
    <w:multiLevelType w:val="hybridMultilevel"/>
    <w:lvl w:ilvl="0">
      <w:lvlJc w:val="left"/>
      <w:lvlText w:val="(%1)"/>
      <w:numFmt w:val="lowerLetter"/>
      <w:start w:val="22"/>
    </w:lvl>
    <w:lvl w:ilvl="1">
      <w:lvlJc w:val="left"/>
      <w:lvlText w:val="(%2)"/>
      <w:numFmt w:val="lowerLetter"/>
      <w:start w:val="3"/>
    </w:lvl>
  </w:abstractNum>
  <w:abstractNum w:abstractNumId="85">
    <w:nsid w:val="1DF029D3"/>
    <w:multiLevelType w:val="hybridMultilevel"/>
    <w:lvl w:ilvl="0">
      <w:lvlJc w:val="left"/>
      <w:lvlText w:val="(%1)"/>
      <w:numFmt w:val="lowerRoman"/>
      <w:start w:val="2"/>
    </w:lvl>
  </w:abstractNum>
  <w:abstractNum w:abstractNumId="86">
    <w:nsid w:val="5675FF36"/>
    <w:multiLevelType w:val="hybridMultilevel"/>
    <w:lvl w:ilvl="0">
      <w:lvlJc w:val="left"/>
      <w:lvlText w:val="(%1)"/>
      <w:numFmt w:val="lowerLetter"/>
      <w:start w:val="4"/>
    </w:lvl>
  </w:abstractNum>
  <w:abstractNum w:abstractNumId="87">
    <w:nsid w:val="3DD15094"/>
    <w:multiLevelType w:val="hybridMultilevel"/>
    <w:lvl w:ilvl="0">
      <w:lvlJc w:val="left"/>
      <w:lvlText w:val="(%1)"/>
      <w:numFmt w:val="lowerLetter"/>
      <w:start w:val="1"/>
    </w:lvl>
  </w:abstractNum>
  <w:abstractNum w:abstractNumId="88">
    <w:nsid w:val="3DB012B3"/>
    <w:multiLevelType w:val="hybridMultilevel"/>
    <w:lvl w:ilvl="0">
      <w:lvlJc w:val="left"/>
      <w:lvlText w:val="(%1)"/>
      <w:numFmt w:val="lowerRoman"/>
      <w:start w:val="1"/>
    </w:lvl>
    <w:lvl w:ilvl="1">
      <w:lvlJc w:val="left"/>
      <w:lvlText w:val="(%2)"/>
      <w:numFmt w:val="lowerLetter"/>
      <w:start w:val="2"/>
    </w:lvl>
  </w:abstractNum>
  <w:abstractNum w:abstractNumId="89">
    <w:nsid w:val="2708C9AF"/>
    <w:multiLevelType w:val="hybridMultilevel"/>
    <w:lvl w:ilvl="0">
      <w:lvlJc w:val="left"/>
      <w:lvlText w:val="(%1)"/>
      <w:numFmt w:val="lowerLetter"/>
      <w:start w:val="1"/>
    </w:lvl>
  </w:abstractNum>
  <w:abstractNum w:abstractNumId="90">
    <w:nsid w:val="5B25ACE2"/>
    <w:multiLevelType w:val="hybridMultilevel"/>
    <w:lvl w:ilvl="0">
      <w:lvlJc w:val="left"/>
      <w:lvlText w:val="(%1)"/>
      <w:numFmt w:val="lowerLetter"/>
      <w:start w:val="3"/>
    </w:lvl>
  </w:abstractNum>
  <w:abstractNum w:abstractNumId="91">
    <w:nsid w:val="175DFCF0"/>
    <w:multiLevelType w:val="hybridMultilevel"/>
    <w:lvl w:ilvl="0">
      <w:lvlJc w:val="left"/>
      <w:lvlText w:val="(%1)"/>
      <w:numFmt w:val="lowerLetter"/>
      <w:start w:val="2"/>
    </w:lvl>
  </w:abstractNum>
  <w:abstractNum w:abstractNumId="92">
    <w:nsid w:val="4F97E3E4"/>
    <w:multiLevelType w:val="hybridMultilevel"/>
    <w:lvl w:ilvl="0">
      <w:lvlJc w:val="left"/>
      <w:lvlText w:val="%1"/>
      <w:numFmt w:val="lowerLetter"/>
      <w:start w:val="1"/>
    </w:lvl>
    <w:lvl w:ilvl="1">
      <w:lvlJc w:val="left"/>
      <w:lvlText w:val="(%2)"/>
      <w:numFmt w:val="lowerLetter"/>
      <w:start w:val="1"/>
    </w:lvl>
  </w:abstractNum>
  <w:abstractNum w:abstractNumId="93">
    <w:nsid w:val="53B0A9E"/>
    <w:multiLevelType w:val="hybridMultilevel"/>
    <w:lvl w:ilvl="0">
      <w:lvlJc w:val="left"/>
      <w:lvlText w:val="(%1)"/>
      <w:numFmt w:val="lowerLetter"/>
      <w:start w:val="9"/>
    </w:lvl>
    <w:lvl w:ilvl="1">
      <w:lvlJc w:val="left"/>
      <w:lvlText w:val="%2"/>
      <w:numFmt w:val="lowerLetter"/>
      <w:start w:val="1"/>
    </w:lvl>
  </w:abstractNum>
  <w:abstractNum w:abstractNumId="94">
    <w:nsid w:val="34FD6B4F"/>
    <w:multiLevelType w:val="hybridMultilevel"/>
    <w:lvl w:ilvl="0">
      <w:lvlJc w:val="left"/>
      <w:lvlText w:val="(%1)"/>
      <w:numFmt w:val="lowerRoman"/>
      <w:start w:val="2"/>
    </w:lvl>
  </w:abstractNum>
  <w:abstractNum w:abstractNumId="95">
    <w:nsid w:val="5915FF32"/>
    <w:multiLevelType w:val="hybridMultilevel"/>
    <w:lvl w:ilvl="0">
      <w:lvlJc w:val="left"/>
      <w:lvlText w:val="(%1)"/>
      <w:numFmt w:val="lowerLetter"/>
      <w:start w:val="1"/>
    </w:lvl>
  </w:abstractNum>
  <w:abstractNum w:abstractNumId="96">
    <w:nsid w:val="56438D15"/>
    <w:multiLevelType w:val="hybridMultilevel"/>
    <w:lvl w:ilvl="0">
      <w:lvlJc w:val="left"/>
      <w:lvlText w:val="(%1)"/>
      <w:numFmt w:val="lowerRoman"/>
      <w:start w:val="2"/>
    </w:lvl>
  </w:abstractNum>
  <w:abstractNum w:abstractNumId="97">
    <w:nsid w:val="519E3149"/>
    <w:multiLevelType w:val="hybridMultilevel"/>
    <w:lvl w:ilvl="0">
      <w:lvlJc w:val="left"/>
      <w:lvlText w:val="(%1)"/>
      <w:numFmt w:val="lowerLetter"/>
      <w:start w:val="1"/>
    </w:lvl>
  </w:abstractNum>
  <w:abstractNum w:abstractNumId="98">
    <w:nsid w:val="2C6E4AFD"/>
    <w:multiLevelType w:val="hybridMultilevel"/>
    <w:lvl w:ilvl="0">
      <w:lvlJc w:val="left"/>
      <w:lvlText w:val="(%1)"/>
      <w:numFmt w:val="lowerLetter"/>
      <w:start w:val="1"/>
    </w:lvl>
  </w:abstractNum>
  <w:abstractNum w:abstractNumId="99">
    <w:nsid w:val="17A1B582"/>
    <w:multiLevelType w:val="hybridMultilevel"/>
    <w:lvl w:ilvl="0">
      <w:lvlJc w:val="left"/>
      <w:lvlText w:val="(%1)"/>
      <w:numFmt w:val="lowerLetter"/>
      <w:start w:val="5"/>
    </w:lvl>
  </w:abstractNum>
  <w:abstractNum w:abstractNumId="100">
    <w:nsid w:val="4DF72E4E"/>
    <w:multiLevelType w:val="hybridMultilevel"/>
    <w:lvl w:ilvl="0">
      <w:lvlJc w:val="left"/>
      <w:lvlText w:val="(%1)"/>
      <w:numFmt w:val="lowerLetter"/>
      <w:start w:val="3"/>
    </w:lvl>
  </w:abstractNum>
  <w:abstractNum w:abstractNumId="101">
    <w:nsid w:val="5046B5A9"/>
    <w:multiLevelType w:val="hybridMultilevel"/>
    <w:lvl w:ilvl="0">
      <w:lvlJc w:val="left"/>
      <w:lvlText w:val="(%1)"/>
      <w:numFmt w:val="lowerLetter"/>
      <w:start w:val="1"/>
    </w:lvl>
  </w:abstractNum>
  <w:abstractNum w:abstractNumId="102">
    <w:nsid w:val="5D888A08"/>
    <w:multiLevelType w:val="hybridMultilevel"/>
    <w:lvl w:ilvl="0">
      <w:lvlJc w:val="left"/>
      <w:lvlText w:val="(%1)"/>
      <w:numFmt w:val="lowerLetter"/>
      <w:start w:val="1"/>
    </w:lvl>
  </w:abstractNum>
  <w:abstractNum w:abstractNumId="103">
    <w:nsid w:val="2A082C70"/>
    <w:multiLevelType w:val="hybridMultilevel"/>
    <w:lvl w:ilvl="0">
      <w:lvlJc w:val="left"/>
      <w:lvlText w:val="(%1)"/>
      <w:numFmt w:val="lowerLetter"/>
      <w:start w:val="1"/>
    </w:lvl>
  </w:abstractNum>
  <w:abstractNum w:abstractNumId="104">
    <w:nsid w:val="5EC6AFD4"/>
    <w:multiLevelType w:val="hybridMultilevel"/>
    <w:lvl w:ilvl="0">
      <w:lvlJc w:val="left"/>
      <w:lvlText w:val="%1."/>
      <w:numFmt w:val="decimal"/>
      <w:start w:val="1"/>
    </w:lvl>
  </w:abstractNum>
  <w:abstractNum w:abstractNumId="105">
    <w:nsid w:val="19E21BB2"/>
    <w:multiLevelType w:val="hybridMultilevel"/>
    <w:lvl w:ilvl="0">
      <w:lvlJc w:val="left"/>
      <w:lvlText w:val="(%1)"/>
      <w:numFmt w:val="upperLetter"/>
      <w:start w:val="1"/>
    </w:lvl>
  </w:abstractNum>
  <w:abstractNum w:abstractNumId="106">
    <w:nsid w:val="75E0858A"/>
    <w:multiLevelType w:val="hybridMultilevel"/>
    <w:lvl w:ilvl="0">
      <w:lvlJc w:val="left"/>
      <w:lvlText w:val="1"/>
      <w:numFmt w:val="bullet"/>
      <w:start w:val="1"/>
    </w:lvl>
  </w:abstractNum>
  <w:abstractNum w:abstractNumId="107">
    <w:nsid w:val="57A61A29"/>
    <w:multiLevelType w:val="hybridMultilevel"/>
    <w:lvl w:ilvl="0">
      <w:lvlJc w:val="left"/>
      <w:lvlText w:val="2"/>
      <w:numFmt w:val="bullet"/>
      <w:start w:val="1"/>
    </w:lvl>
  </w:abstractNum>
  <w:abstractNum w:abstractNumId="108">
    <w:nsid w:val="5399C654"/>
    <w:multiLevelType w:val="hybridMultilevel"/>
    <w:lvl w:ilvl="0">
      <w:lvlJc w:val="left"/>
      <w:lvlText w:val="3"/>
      <w:numFmt w:val="bullet"/>
      <w:start w:val="1"/>
    </w:lvl>
  </w:abstractNum>
  <w:abstractNum w:abstractNumId="109">
    <w:nsid w:val="20EE1348"/>
    <w:multiLevelType w:val="hybridMultilevel"/>
    <w:lvl w:ilvl="0">
      <w:lvlJc w:val="left"/>
      <w:lvlText w:val="(%1)"/>
      <w:numFmt w:val="upperLetter"/>
      <w:start w:val="3"/>
    </w:lvl>
  </w:abstractNum>
  <w:abstractNum w:abstractNumId="110">
    <w:nsid w:val="4427069A"/>
    <w:multiLevelType w:val="hybridMultilevel"/>
    <w:lvl w:ilvl="0">
      <w:lvlJc w:val="left"/>
      <w:lvlText w:val="4"/>
      <w:numFmt w:val="bullet"/>
      <w:start w:val="1"/>
    </w:lvl>
  </w:abstractNum>
  <w:abstractNum w:abstractNumId="111">
    <w:nsid w:val="B37E80A"/>
    <w:multiLevelType w:val="hybridMultilevel"/>
    <w:lvl w:ilvl="0">
      <w:lvlJc w:val="left"/>
      <w:lvlText w:val="5"/>
      <w:numFmt w:val="bullet"/>
      <w:start w:val="1"/>
    </w:lvl>
  </w:abstractNum>
  <w:abstractNum w:abstractNumId="112">
    <w:nsid w:val="2157F6BC"/>
    <w:multiLevelType w:val="hybridMultilevel"/>
    <w:lvl w:ilvl="0">
      <w:lvlJc w:val="left"/>
      <w:lvlText w:val="%1"/>
      <w:numFmt w:val="decimal"/>
      <w:start w:val="1"/>
    </w:lvl>
    <w:lvl w:ilvl="1">
      <w:lvlJc w:val="left"/>
      <w:lvlText w:val="(%2)"/>
      <w:numFmt w:val="upperLetter"/>
      <w:start w:val="1"/>
    </w:lvl>
  </w:abstractNum>
  <w:abstractNum w:abstractNumId="113">
    <w:nsid w:val="704E1DD5"/>
    <w:multiLevelType w:val="hybridMultilevel"/>
    <w:lvl w:ilvl="0">
      <w:lvlJc w:val="left"/>
      <w:lvlText w:val="2"/>
      <w:numFmt w:val="bullet"/>
      <w:start w:val="1"/>
    </w:lvl>
  </w:abstractNum>
  <w:abstractNum w:abstractNumId="114">
    <w:nsid w:val="57D2F10E"/>
    <w:multiLevelType w:val="hybridMultilevel"/>
    <w:lvl w:ilvl="0">
      <w:lvlJc w:val="left"/>
      <w:lvlText w:val="1"/>
      <w:numFmt w:val="bullet"/>
      <w:start w:val="1"/>
    </w:lvl>
  </w:abstractNum>
  <w:abstractNum w:abstractNumId="115">
    <w:nsid w:val="BFFAE18"/>
    <w:multiLevelType w:val="hybridMultilevel"/>
    <w:lvl w:ilvl="0">
      <w:lvlJc w:val="left"/>
      <w:lvlText w:val="2"/>
      <w:numFmt w:val="bullet"/>
      <w:start w:val="1"/>
    </w:lvl>
  </w:abstractNum>
  <w:abstractNum w:abstractNumId="116">
    <w:nsid w:val="E3E47A8"/>
    <w:multiLevelType w:val="hybridMultilevel"/>
    <w:lvl w:ilvl="0">
      <w:lvlJc w:val="left"/>
      <w:lvlText w:val="%1."/>
      <w:numFmt w:val="decimal"/>
      <w:start w:val="1"/>
    </w:lvl>
  </w:abstractNum>
  <w:abstractNum w:abstractNumId="117">
    <w:nsid w:val="2E48F044"/>
    <w:multiLevelType w:val="hybridMultilevel"/>
    <w:lvl w:ilvl="0">
      <w:lvlJc w:val="left"/>
      <w:lvlText w:val="%1."/>
      <w:numFmt w:val="decimal"/>
      <w:start w:val="3"/>
    </w:lvl>
    <w:lvl w:ilvl="1">
      <w:lvlJc w:val="left"/>
      <w:lvlText w:val="(%2)"/>
      <w:numFmt w:val="lowerLetter"/>
      <w:start w:val="1"/>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1."/>
      <w:numFmt w:val="decimal"/>
      <w:start w:val="4"/>
    </w:lvl>
  </w:abstractNum>
  <w:abstractNum w:abstractNumId="120">
    <w:nsid w:val="5551B9F3"/>
    <w:multiLevelType w:val="hybridMultilevel"/>
    <w:lvl w:ilvl="0">
      <w:lvlJc w:val="left"/>
      <w:lvlText w:val="%1."/>
      <w:numFmt w:val="decimal"/>
      <w:start w:val="2"/>
    </w:lvl>
  </w:abstractNum>
  <w:abstractNum w:abstractNumId="121">
    <w:nsid w:val="24F6AB8E"/>
    <w:multiLevelType w:val="hybridMultilevel"/>
    <w:lvl w:ilvl="0">
      <w:lvlJc w:val="left"/>
      <w:lvlText w:val="1"/>
      <w:numFmt w:val="bullet"/>
      <w:start w:val="1"/>
    </w:lvl>
  </w:abstractNum>
  <w:abstractNum w:abstractNumId="122">
    <w:nsid w:val="634C574C"/>
    <w:multiLevelType w:val="hybridMultilevel"/>
    <w:lvl w:ilvl="0">
      <w:lvlJc w:val="left"/>
      <w:lvlText w:val="2"/>
      <w:numFmt w:val="bullet"/>
      <w:start w:val="1"/>
    </w:lvl>
  </w:abstractNum>
  <w:abstractNum w:abstractNumId="123">
    <w:nsid w:val="24E99DD7"/>
    <w:multiLevelType w:val="hybridMultilevel"/>
    <w:lvl w:ilvl="0">
      <w:lvlJc w:val="left"/>
      <w:lvlText w:val="%1."/>
      <w:numFmt w:val="decimal"/>
      <w:start w:val="1"/>
    </w:lvl>
  </w:abstractNum>
  <w:abstractNum w:abstractNumId="124">
    <w:nsid w:val="2A31B62D"/>
    <w:multiLevelType w:val="hybridMultilevel"/>
    <w:lvl w:ilvl="0">
      <w:lvlJc w:val="left"/>
      <w:lvlText w:val="%1"/>
      <w:numFmt w:val="lowerLetter"/>
      <w:start w:val="1"/>
    </w:lvl>
    <w:lvl w:ilvl="1">
      <w:lvlJc w:val="left"/>
      <w:lvlText w:val="%2."/>
      <w:numFmt w:val="decimal"/>
      <w:start w:val="2"/>
    </w:lvl>
  </w:abstractNum>
  <w:abstractNum w:abstractNumId="125">
    <w:nsid w:val="1849C29B"/>
    <w:multiLevelType w:val="hybridMultilevel"/>
    <w:lvl w:ilvl="0">
      <w:lvlJc w:val="left"/>
      <w:lvlText w:val="(%1)"/>
      <w:numFmt w:val="lowerLetter"/>
      <w:start w:val="2"/>
    </w:lvl>
    <w:lvl w:ilvl="1">
      <w:lvlJc w:val="left"/>
      <w:lvlText w:val="%2"/>
      <w:numFmt w:val="decimal"/>
      <w:start w:val="1"/>
    </w:lvl>
  </w:abstractNum>
  <w:abstractNum w:abstractNumId="126">
    <w:nsid w:val="7DFF9D09"/>
    <w:multiLevelType w:val="hybridMultilevel"/>
    <w:lvl w:ilvl="0">
      <w:lvlJc w:val="left"/>
      <w:lvlText w:val="%1."/>
      <w:numFmt w:val="decimal"/>
      <w:start w:val="4"/>
    </w:lvl>
  </w:abstractNum>
  <w:abstractNum w:abstractNumId="127">
    <w:nsid w:val="754342"/>
    <w:multiLevelType w:val="hybridMultilevel"/>
    <w:lvl w:ilvl="0">
      <w:lvlJc w:val="left"/>
      <w:lvlText w:val="1"/>
      <w:numFmt w:val="bullet"/>
      <w:start w:val="1"/>
    </w:lvl>
  </w:abstractNum>
  <w:abstractNum w:abstractNumId="128">
    <w:nsid w:val="69E7F3E5"/>
    <w:multiLevelType w:val="hybridMultilevel"/>
    <w:lvl w:ilvl="0">
      <w:lvlJc w:val="left"/>
      <w:lvlText w:val="(%1)"/>
      <w:numFmt w:val="lowerLetter"/>
      <w:start w:val="1"/>
    </w:lvl>
  </w:abstractNum>
  <w:abstractNum w:abstractNumId="129">
    <w:nsid w:val="2A6DE806"/>
    <w:multiLevelType w:val="hybridMultilevel"/>
    <w:lvl w:ilvl="0">
      <w:lvlJc w:val="left"/>
      <w:lvlText w:val="1"/>
      <w:numFmt w:val="bullet"/>
      <w:start w:val="1"/>
    </w:lvl>
  </w:abstractNum>
  <w:abstractNum w:abstractNumId="130">
    <w:nsid w:val="1816F8C4"/>
    <w:multiLevelType w:val="hybridMultilevel"/>
    <w:lvl w:ilvl="0">
      <w:lvlJc w:val="left"/>
      <w:lvlText w:val="%1."/>
      <w:numFmt w:val="decimal"/>
      <w:start w:val="1"/>
    </w:lvl>
  </w:abstractNum>
  <w:abstractNum w:abstractNumId="131">
    <w:nsid w:val="37DF2233"/>
    <w:multiLevelType w:val="hybridMultilevel"/>
    <w:lvl w:ilvl="0">
      <w:lvlJc w:val="left"/>
      <w:lvlText w:val="(%1)"/>
      <w:numFmt w:val="lowerRoman"/>
      <w:start w:val="2"/>
    </w:lvl>
  </w:abstractNum>
  <w:abstractNum w:abstractNumId="132">
    <w:nsid w:val="7AB49DAF"/>
    <w:multiLevelType w:val="hybridMultilevel"/>
    <w:lvl w:ilvl="0">
      <w:lvlJc w:val="left"/>
      <w:lvlText w:val="%1"/>
      <w:numFmt w:val="decimal"/>
      <w:start w:val="1"/>
    </w:lvl>
    <w:lvl w:ilvl="1">
      <w:lvlJc w:val="left"/>
      <w:lvlText w:val="%2."/>
      <w:numFmt w:val="decimal"/>
      <w:start w:val="1"/>
    </w:lvl>
  </w:abstractNum>
  <w:abstractNum w:abstractNumId="133">
    <w:nsid w:val="759F82CD"/>
    <w:multiLevelType w:val="hybridMultilevel"/>
    <w:lvl w:ilvl="0">
      <w:lvlJc w:val="left"/>
      <w:lvlText w:val="(%1)"/>
      <w:numFmt w:val="upperLetter"/>
      <w:start w:val="1"/>
    </w:lvl>
  </w:abstractNum>
  <w:abstractNum w:abstractNumId="134">
    <w:nsid w:val="61E74EA3"/>
    <w:multiLevelType w:val="hybridMultilevel"/>
    <w:lvl w:ilvl="0">
      <w:lvlJc w:val="left"/>
      <w:lvlText w:val="(%1)"/>
      <w:numFmt w:val="upperLetter"/>
      <w:start w:val="5"/>
    </w:lvl>
  </w:abstractNum>
  <w:abstractNum w:abstractNumId="135">
    <w:nsid w:val="597B4D84"/>
    <w:multiLevelType w:val="hybridMultilevel"/>
    <w:lvl w:ilvl="0">
      <w:lvlJc w:val="left"/>
      <w:lvlText w:val="(%1)"/>
      <w:numFmt w:val="upperLetter"/>
      <w:start w:val="6"/>
    </w:lvl>
  </w:abstractNum>
  <w:abstractNum w:abstractNumId="136">
    <w:nsid w:val="F819E7F"/>
    <w:multiLevelType w:val="hybridMultilevel"/>
    <w:lvl w:ilvl="0">
      <w:lvlJc w:val="left"/>
      <w:lvlText w:val="1"/>
      <w:numFmt w:val="bullet"/>
      <w:start w:val="1"/>
    </w:lvl>
  </w:abstractNum>
  <w:abstractNum w:abstractNumId="137">
    <w:nsid w:val="57C7D42D"/>
    <w:multiLevelType w:val="hybridMultilevel"/>
    <w:lvl w:ilvl="0">
      <w:lvlJc w:val="left"/>
      <w:lvlText w:val="2"/>
      <w:numFmt w:val="bullet"/>
      <w:start w:val="1"/>
    </w:lvl>
  </w:abstractNum>
  <w:abstractNum w:abstractNumId="138">
    <w:nsid w:val="312167AD"/>
    <w:multiLevelType w:val="hybridMultilevel"/>
    <w:lvl w:ilvl="0">
      <w:lvlJc w:val="left"/>
      <w:lvlText w:val="(%1)"/>
      <w:numFmt w:val="upperLetter"/>
      <w:start w:val="1"/>
    </w:lvl>
  </w:abstractNum>
  <w:abstractNum w:abstractNumId="139">
    <w:nsid w:val="631B64D4"/>
    <w:multiLevelType w:val="hybridMultilevel"/>
    <w:lvl w:ilvl="0">
      <w:lvlJc w:val="left"/>
      <w:lvlText w:val="(%1)"/>
      <w:numFmt w:val="upperLetter"/>
      <w:start w:val="5"/>
    </w:lvl>
  </w:abstractNum>
  <w:abstractNum w:abstractNumId="140">
    <w:nsid w:val="78B5E776"/>
    <w:multiLevelType w:val="hybridMultilevel"/>
    <w:lvl w:ilvl="0">
      <w:lvlJc w:val="left"/>
      <w:lvlText w:val="(%1)"/>
      <w:numFmt w:val="upperLetter"/>
      <w:start w:val="6"/>
    </w:lvl>
  </w:abstractNum>
  <w:abstractNum w:abstractNumId="141">
    <w:nsid w:val="75486E47"/>
    <w:multiLevelType w:val="hybridMultilevel"/>
    <w:lvl w:ilvl="0">
      <w:lvlJc w:val="left"/>
      <w:lvlText w:val="1"/>
      <w:numFmt w:val="bullet"/>
      <w:start w:val="1"/>
    </w:lvl>
  </w:abstractNum>
  <w:abstractNum w:abstractNumId="142">
    <w:nsid w:val="6E534CDE"/>
    <w:multiLevelType w:val="hybridMultilevel"/>
    <w:lvl w:ilvl="0">
      <w:lvlJc w:val="left"/>
      <w:lvlText w:val="2"/>
      <w:numFmt w:val="bullet"/>
      <w:start w:val="1"/>
    </w:lvl>
  </w:abstractNum>
  <w:abstractNum w:abstractNumId="143">
    <w:nsid w:val="1A0DDE32"/>
    <w:multiLevelType w:val="hybridMultilevel"/>
    <w:lvl w:ilvl="0">
      <w:lvlJc w:val="left"/>
      <w:lvlText w:val="1"/>
      <w:numFmt w:val="bullet"/>
      <w:start w:val="1"/>
    </w:lvl>
  </w:abstractNum>
  <w:abstractNum w:abstractNumId="144">
    <w:nsid w:val="65968C1C"/>
    <w:multiLevelType w:val="hybridMultilevel"/>
    <w:lvl w:ilvl="0">
      <w:lvlJc w:val="left"/>
      <w:lvlText w:val="2"/>
      <w:numFmt w:val="bullet"/>
      <w:start w:val="1"/>
    </w:lvl>
  </w:abstractNum>
  <w:abstractNum w:abstractNumId="145">
    <w:nsid w:val="46263DEC"/>
    <w:multiLevelType w:val="hybridMultilevel"/>
    <w:lvl w:ilvl="0">
      <w:lvlJc w:val="left"/>
      <w:lvlText w:val="3"/>
      <w:numFmt w:val="bullet"/>
      <w:start w:val="1"/>
    </w:lvl>
  </w:abstractNum>
  <w:abstractNum w:abstractNumId="146">
    <w:nsid w:val="260D8C4A"/>
    <w:multiLevelType w:val="hybridMultilevel"/>
    <w:lvl w:ilvl="0">
      <w:lvlJc w:val="left"/>
      <w:lvlText w:val="(%1)"/>
      <w:numFmt w:val="upperLetter"/>
      <w:start w:val="1"/>
    </w:lvl>
  </w:abstractNum>
  <w:abstractNum w:abstractNumId="147">
    <w:nsid w:val="73D4D3C4"/>
    <w:multiLevelType w:val="hybridMultilevel"/>
    <w:lvl w:ilvl="0">
      <w:lvlJc w:val="left"/>
      <w:lvlText w:val="(%1)"/>
      <w:numFmt w:val="upperLetter"/>
      <w:start w:val="4"/>
    </w:lvl>
  </w:abstractNum>
  <w:abstractNum w:abstractNumId="148">
    <w:nsid w:val="746F2E30"/>
    <w:multiLevelType w:val="hybridMultilevel"/>
    <w:lvl w:ilvl="0">
      <w:lvlJc w:val="left"/>
      <w:lvlText w:val="4"/>
      <w:numFmt w:val="bullet"/>
      <w:start w:val="1"/>
    </w:lvl>
  </w:abstractNum>
  <w:abstractNum w:abstractNumId="149">
    <w:nsid w:val="6FDE8AF6"/>
    <w:multiLevelType w:val="hybridMultilevel"/>
    <w:lvl w:ilvl="0">
      <w:lvlJc w:val="left"/>
      <w:lvlText w:val="5"/>
      <w:numFmt w:val="bullet"/>
      <w:start w:val="1"/>
    </w:lvl>
  </w:abstractNum>
  <w:abstractNum w:abstractNumId="150">
    <w:nsid w:val="3FC32E20"/>
    <w:multiLevelType w:val="hybridMultilevel"/>
    <w:lvl w:ilvl="0">
      <w:lvlJc w:val="left"/>
      <w:lvlText w:val="6"/>
      <w:numFmt w:val="bullet"/>
      <w:start w:val="1"/>
    </w:lvl>
  </w:abstractNum>
  <w:abstractNum w:abstractNumId="151">
    <w:nsid w:val="49C0E823"/>
    <w:multiLevelType w:val="hybridMultilevel"/>
    <w:lvl w:ilvl="0">
      <w:lvlJc w:val="left"/>
      <w:lvlText w:val="7"/>
      <w:numFmt w:val="bullet"/>
      <w:start w:val="1"/>
    </w:lvl>
  </w:abstractNum>
  <w:abstractNum w:abstractNumId="152">
    <w:nsid w:val="14D53685"/>
    <w:multiLevelType w:val="hybridMultilevel"/>
    <w:lvl w:ilvl="0">
      <w:lvlJc w:val="left"/>
      <w:lvlText w:val="8"/>
      <w:numFmt w:val="bullet"/>
      <w:start w:val="1"/>
    </w:lvl>
  </w:abstractNum>
  <w:abstractNum w:abstractNumId="153">
    <w:nsid w:val="230F856C"/>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2022-04-05T16:07:14Z</dcterms:created>
  <dcterms:modified xsi:type="dcterms:W3CDTF">2022-04-05T16:07:14Z</dcterms:modified>
</cp:coreProperties>
</file>