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054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3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8"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18"/>
        <w:spacing w:after="0"/>
        <w:rPr>
          <w:sz w:val="20"/>
          <w:szCs w:val="20"/>
          <w:color w:val="auto"/>
        </w:rPr>
      </w:pPr>
      <w:r>
        <w:rPr>
          <w:rFonts w:ascii="Arial" w:cs="Arial" w:eastAsia="Arial" w:hAnsi="Arial"/>
          <w:sz w:val="17"/>
          <w:szCs w:val="17"/>
          <w:color w:val="0000FF"/>
        </w:rPr>
        <w:t>Chief Executive Officer</w:t>
      </w:r>
    </w:p>
    <w:p>
      <w:pPr>
        <w:spacing w:after="0" w:line="424"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8,184</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111,784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9"/>
              </w:rPr>
              <w:t>2,726</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109,058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(4)</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8"/>
              </w:rPr>
              <w:t>65,271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174,329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8,184</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8,184</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16,365</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ind w:left="240"/>
              <w:spacing w:after="0"/>
              <w:rPr>
                <w:sz w:val="20"/>
                <w:szCs w:val="20"/>
                <w:color w:val="auto"/>
              </w:rPr>
            </w:pPr>
            <w:r>
              <w:rPr>
                <w:rFonts w:ascii="Arial" w:cs="Arial" w:eastAsia="Arial" w:hAnsi="Arial"/>
                <w:sz w:val="11"/>
                <w:szCs w:val="11"/>
                <w:color w:val="008000"/>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4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September 30, 2010 pursuant to the Company's Salary Stock Plan (the "GMSSP") and vested upon grant. The portion of this award currently payable was settled on September 30, 2011 in shares of the Company's Common Stock, less a portion withheld for taxes.</w:t>
      </w:r>
    </w:p>
    <w:p>
      <w:pPr>
        <w:ind w:left="40" w:right="18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8,183 SSUs, of which 2,728 SSUs were scheduled to be payable on September 30,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24,549 SSUs granted on September 30, 2010, of which 8,184 SSUs became payable on September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w:t>
      </w:r>
    </w:p>
    <w:p>
      <w:pPr>
        <w:spacing w:after="0" w:line="2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1420" w:type="dxa"/>
            <w:vAlign w:val="bottom"/>
            <w:vMerge w:val="restart"/>
          </w:tcPr>
          <w:p>
            <w:pPr>
              <w:spacing w:after="0" w:line="193" w:lineRule="exact"/>
              <w:rPr>
                <w:sz w:val="20"/>
                <w:szCs w:val="20"/>
                <w:color w:val="auto"/>
              </w:rPr>
            </w:pPr>
            <w:r>
              <w:rPr>
                <w:rFonts w:ascii="Arial" w:cs="Arial" w:eastAsia="Arial" w:hAnsi="Arial"/>
                <w:sz w:val="17"/>
                <w:szCs w:val="17"/>
                <w:color w:val="0000FF"/>
                <w:w w:val="94"/>
              </w:rPr>
              <w:t>fact for Mr. Akerson</w:t>
            </w:r>
          </w:p>
        </w:tc>
        <w:tc>
          <w:tcPr>
            <w:tcW w:w="8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2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2019-12-17T00:54:37Z</dcterms:created>
  <dcterms:modified xsi:type="dcterms:W3CDTF">2019-12-17T00:54:37Z</dcterms:modified>
</cp:coreProperties>
</file>