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Date of Report (Date of earliest event reported) September 25, 2017</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GENERAL MOTORS COMPANY</w:t>
      </w:r>
    </w:p>
    <w:p>
      <w:pPr>
        <w:spacing w:after="0" w:line="1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47"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40" w:type="dxa"/>
            <w:vAlign w:val="bottom"/>
          </w:tcPr>
          <w:p>
            <w:pPr>
              <w:jc w:val="center"/>
              <w:ind w:right="1150"/>
              <w:spacing w:after="0"/>
              <w:rPr>
                <w:sz w:val="20"/>
                <w:szCs w:val="20"/>
                <w:color w:val="auto"/>
              </w:rPr>
            </w:pPr>
            <w:r>
              <w:rPr>
                <w:rFonts w:ascii="Arial" w:cs="Arial" w:eastAsia="Arial" w:hAnsi="Arial"/>
                <w:sz w:val="18"/>
                <w:szCs w:val="18"/>
                <w:b w:val="1"/>
                <w:bCs w:val="1"/>
                <w:color w:val="auto"/>
                <w:w w:val="98"/>
              </w:rPr>
              <w:t>DELAWARE</w:t>
            </w:r>
          </w:p>
        </w:tc>
        <w:tc>
          <w:tcPr>
            <w:tcW w:w="254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40" w:type="dxa"/>
            <w:vAlign w:val="bottom"/>
          </w:tcPr>
          <w:p>
            <w:pPr>
              <w:jc w:val="center"/>
              <w:ind w:right="1150"/>
              <w:spacing w:after="0"/>
              <w:rPr>
                <w:sz w:val="20"/>
                <w:szCs w:val="20"/>
                <w:color w:val="auto"/>
              </w:rPr>
            </w:pPr>
            <w:r>
              <w:rPr>
                <w:rFonts w:ascii="Arial" w:cs="Arial" w:eastAsia="Arial" w:hAnsi="Arial"/>
                <w:sz w:val="18"/>
                <w:szCs w:val="18"/>
                <w:color w:val="auto"/>
                <w:w w:val="93"/>
              </w:rPr>
              <w:t>(State or other jurisdiction of</w:t>
            </w:r>
          </w:p>
        </w:tc>
        <w:tc>
          <w:tcPr>
            <w:tcW w:w="254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40" w:type="dxa"/>
            <w:vAlign w:val="bottom"/>
          </w:tcPr>
          <w:p>
            <w:pPr>
              <w:jc w:val="center"/>
              <w:ind w:right="1150"/>
              <w:spacing w:after="0"/>
              <w:rPr>
                <w:sz w:val="20"/>
                <w:szCs w:val="20"/>
                <w:color w:val="auto"/>
              </w:rPr>
            </w:pPr>
            <w:r>
              <w:rPr>
                <w:rFonts w:ascii="Arial" w:cs="Arial" w:eastAsia="Arial" w:hAnsi="Arial"/>
                <w:sz w:val="18"/>
                <w:szCs w:val="18"/>
                <w:color w:val="auto"/>
                <w:w w:val="92"/>
              </w:rPr>
              <w:t>incorporation)</w:t>
            </w:r>
          </w:p>
        </w:tc>
        <w:tc>
          <w:tcPr>
            <w:tcW w:w="2540" w:type="dxa"/>
            <w:vAlign w:val="bottom"/>
          </w:tcPr>
          <w:p>
            <w:pPr>
              <w:jc w:val="center"/>
              <w:ind w:right="410"/>
              <w:spacing w:after="0"/>
              <w:rPr>
                <w:sz w:val="20"/>
                <w:szCs w:val="20"/>
                <w:color w:val="auto"/>
              </w:rPr>
            </w:pPr>
            <w:r>
              <w:rPr>
                <w:rFonts w:ascii="Arial" w:cs="Arial" w:eastAsia="Arial" w:hAnsi="Arial"/>
                <w:sz w:val="18"/>
                <w:szCs w:val="18"/>
                <w:color w:val="auto"/>
                <w:w w:val="93"/>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8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40" w:type="dxa"/>
            <w:vAlign w:val="bottom"/>
          </w:tcPr>
          <w:p>
            <w:pPr>
              <w:jc w:val="center"/>
              <w:ind w:left="350"/>
              <w:spacing w:after="0"/>
              <w:rPr>
                <w:sz w:val="20"/>
                <w:szCs w:val="20"/>
                <w:color w:val="auto"/>
              </w:rPr>
            </w:pPr>
            <w:r>
              <w:rPr>
                <w:rFonts w:ascii="Arial" w:cs="Arial" w:eastAsia="Arial" w:hAnsi="Arial"/>
                <w:sz w:val="18"/>
                <w:szCs w:val="18"/>
                <w:color w:val="auto"/>
                <w:w w:val="92"/>
              </w:rPr>
              <w:t>(Address of principal executive offices)</w:t>
            </w:r>
          </w:p>
        </w:tc>
        <w:tc>
          <w:tcPr>
            <w:tcW w:w="254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9"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__________________</w:t>
      </w:r>
    </w:p>
    <w:p>
      <w:pPr>
        <w:spacing w:after="0" w:line="210"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12" w:lineRule="exact"/>
        <w:rPr>
          <w:sz w:val="24"/>
          <w:szCs w:val="24"/>
          <w:color w:val="auto"/>
        </w:rPr>
      </w:pPr>
    </w:p>
    <w:p>
      <w:pPr>
        <w:ind w:left="40"/>
        <w:spacing w:after="0" w:line="181" w:lineRule="exact"/>
        <w:rPr>
          <w:sz w:val="20"/>
          <w:szCs w:val="20"/>
          <w:color w:val="auto"/>
        </w:rPr>
      </w:pPr>
      <w:r>
        <w:rPr>
          <w:rFonts w:ascii="MS PGothic" w:cs="MS PGothic" w:eastAsia="MS PGothic" w:hAnsi="MS PGothic"/>
          <w:sz w:val="18"/>
          <w:szCs w:val="18"/>
          <w:color w:val="auto"/>
        </w:rPr>
        <w:t>☐</w:t>
      </w:r>
    </w:p>
    <w:p>
      <w:pPr>
        <w:spacing w:after="0" w:line="101" w:lineRule="exact"/>
        <w:rPr>
          <w:sz w:val="24"/>
          <w:szCs w:val="24"/>
          <w:color w:val="auto"/>
        </w:rPr>
      </w:pPr>
    </w:p>
    <w:p>
      <w:pPr>
        <w:ind w:left="620"/>
        <w:spacing w:after="0"/>
        <w:rPr>
          <w:sz w:val="20"/>
          <w:szCs w:val="20"/>
          <w:color w:val="auto"/>
        </w:rPr>
      </w:pPr>
      <w:r>
        <w:rPr>
          <w:rFonts w:ascii="Arial" w:cs="Arial" w:eastAsia="Arial" w:hAnsi="Arial"/>
          <w:sz w:val="16"/>
          <w:szCs w:val="16"/>
          <w:color w:val="auto"/>
        </w:rPr>
        <w:t>Written communications pursuant to Rule 425 under the Securities Act (17 CFR 230.425)</w:t>
      </w:r>
    </w:p>
    <w:p>
      <w:pPr>
        <w:spacing w:after="0" w:line="292" w:lineRule="exact"/>
        <w:rPr>
          <w:sz w:val="24"/>
          <w:szCs w:val="24"/>
          <w:color w:val="auto"/>
        </w:rPr>
      </w:pPr>
    </w:p>
    <w:p>
      <w:pPr>
        <w:ind w:left="40"/>
        <w:spacing w:after="0" w:line="181" w:lineRule="exact"/>
        <w:rPr>
          <w:sz w:val="20"/>
          <w:szCs w:val="20"/>
          <w:color w:val="auto"/>
        </w:rPr>
      </w:pPr>
      <w:r>
        <w:rPr>
          <w:rFonts w:ascii="MS PGothic" w:cs="MS PGothic" w:eastAsia="MS PGothic" w:hAnsi="MS PGothic"/>
          <w:sz w:val="18"/>
          <w:szCs w:val="18"/>
          <w:color w:val="auto"/>
        </w:rPr>
        <w:t>☐</w:t>
      </w:r>
    </w:p>
    <w:p>
      <w:pPr>
        <w:spacing w:after="0" w:line="101" w:lineRule="exact"/>
        <w:rPr>
          <w:sz w:val="24"/>
          <w:szCs w:val="24"/>
          <w:color w:val="auto"/>
        </w:rPr>
      </w:pPr>
    </w:p>
    <w:p>
      <w:pPr>
        <w:ind w:left="620"/>
        <w:spacing w:after="0"/>
        <w:rPr>
          <w:sz w:val="20"/>
          <w:szCs w:val="20"/>
          <w:color w:val="auto"/>
        </w:rPr>
      </w:pPr>
      <w:r>
        <w:rPr>
          <w:rFonts w:ascii="Arial" w:cs="Arial" w:eastAsia="Arial" w:hAnsi="Arial"/>
          <w:sz w:val="16"/>
          <w:szCs w:val="16"/>
          <w:color w:val="auto"/>
        </w:rPr>
        <w:t>Soliciting material pursuant to Rule 14a-12 under the Exchange Act (17-CFR 240.14a-12)</w:t>
      </w:r>
    </w:p>
    <w:p>
      <w:pPr>
        <w:spacing w:after="0" w:line="292" w:lineRule="exact"/>
        <w:rPr>
          <w:sz w:val="24"/>
          <w:szCs w:val="24"/>
          <w:color w:val="auto"/>
        </w:rPr>
      </w:pPr>
    </w:p>
    <w:p>
      <w:pPr>
        <w:ind w:left="40"/>
        <w:spacing w:after="0" w:line="181" w:lineRule="exact"/>
        <w:rPr>
          <w:sz w:val="20"/>
          <w:szCs w:val="20"/>
          <w:color w:val="auto"/>
        </w:rPr>
      </w:pPr>
      <w:r>
        <w:rPr>
          <w:rFonts w:ascii="MS PGothic" w:cs="MS PGothic" w:eastAsia="MS PGothic" w:hAnsi="MS PGothic"/>
          <w:sz w:val="18"/>
          <w:szCs w:val="18"/>
          <w:color w:val="auto"/>
        </w:rPr>
        <w:t>☐</w:t>
      </w:r>
    </w:p>
    <w:p>
      <w:pPr>
        <w:spacing w:after="0" w:line="101" w:lineRule="exact"/>
        <w:rPr>
          <w:sz w:val="24"/>
          <w:szCs w:val="24"/>
          <w:color w:val="auto"/>
        </w:rPr>
      </w:pPr>
    </w:p>
    <w:p>
      <w:pPr>
        <w:ind w:left="620"/>
        <w:spacing w:after="0"/>
        <w:rPr>
          <w:sz w:val="20"/>
          <w:szCs w:val="20"/>
          <w:color w:val="auto"/>
        </w:rPr>
      </w:pPr>
      <w:r>
        <w:rPr>
          <w:rFonts w:ascii="Arial" w:cs="Arial" w:eastAsia="Arial" w:hAnsi="Arial"/>
          <w:sz w:val="16"/>
          <w:szCs w:val="16"/>
          <w:color w:val="auto"/>
        </w:rPr>
        <w:t>Pre-commencement communications pursuant to Rule 14d-2(b) under the Exchange Act (17 CFR 240.14d-2(b))</w:t>
      </w:r>
    </w:p>
    <w:p>
      <w:pPr>
        <w:spacing w:after="0" w:line="292" w:lineRule="exact"/>
        <w:rPr>
          <w:sz w:val="24"/>
          <w:szCs w:val="24"/>
          <w:color w:val="auto"/>
        </w:rPr>
      </w:pPr>
    </w:p>
    <w:p>
      <w:pPr>
        <w:ind w:left="40"/>
        <w:spacing w:after="0" w:line="181" w:lineRule="exact"/>
        <w:rPr>
          <w:sz w:val="20"/>
          <w:szCs w:val="20"/>
          <w:color w:val="auto"/>
        </w:rPr>
      </w:pPr>
      <w:r>
        <w:rPr>
          <w:rFonts w:ascii="MS PGothic" w:cs="MS PGothic" w:eastAsia="MS PGothic" w:hAnsi="MS PGothic"/>
          <w:sz w:val="18"/>
          <w:szCs w:val="18"/>
          <w:color w:val="auto"/>
        </w:rPr>
        <w:t>☐</w:t>
      </w:r>
    </w:p>
    <w:p>
      <w:pPr>
        <w:spacing w:after="0" w:line="101" w:lineRule="exact"/>
        <w:rPr>
          <w:sz w:val="24"/>
          <w:szCs w:val="24"/>
          <w:color w:val="auto"/>
        </w:rPr>
      </w:pPr>
    </w:p>
    <w:p>
      <w:pPr>
        <w:ind w:left="620"/>
        <w:spacing w:after="0"/>
        <w:rPr>
          <w:sz w:val="20"/>
          <w:szCs w:val="20"/>
          <w:color w:val="auto"/>
        </w:rPr>
      </w:pPr>
      <w:r>
        <w:rPr>
          <w:rFonts w:ascii="Arial" w:cs="Arial" w:eastAsia="Arial" w:hAnsi="Arial"/>
          <w:sz w:val="16"/>
          <w:szCs w:val="16"/>
          <w:color w:val="auto"/>
        </w:rPr>
        <w:t>Pre-commencement communications pursuant to Rule 13e-4(c) under the Exchange Act (17 CFR 240.13e-4(c))</w:t>
      </w:r>
    </w:p>
    <w:p>
      <w:pPr>
        <w:spacing w:after="0" w:line="248"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6"/>
          <w:szCs w:val="16"/>
          <w:color w:val="auto"/>
        </w:rPr>
        <w:t>☐</w:t>
      </w:r>
    </w:p>
    <w:p>
      <w:pPr>
        <w:spacing w:after="0" w:line="182" w:lineRule="exact"/>
        <w:rPr>
          <w:sz w:val="24"/>
          <w:szCs w:val="24"/>
          <w:color w:val="auto"/>
        </w:rPr>
      </w:pPr>
    </w:p>
    <w:p>
      <w:pPr>
        <w:ind w:right="10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143"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4.01 Changes in Registrant’s Certifying Accountant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Audit Committee (the “Audit Committee”) of the Board of Directors of General Motors Company (the “Company”) conducted a competitive process to determine the Company’s independent registered public accounting firm for the Company’s fiscal year ending December 31, 2018. The Audit Committee invited several independent registered public accounting firms to participate in this process.</w:t>
      </w:r>
    </w:p>
    <w:p>
      <w:pPr>
        <w:spacing w:after="0" w:line="3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Following review of proposals from the independent registered public accounting firms that participated in the process, on September 25, 2017, the Audit Committee approved the engagement of Ernst &amp; Young LLP (“EY”) as the Company’s independent registered public accounting firm for the Company’s fiscal year ending December 31, 2018, subject to completion of EY’s standard client acceptance procedures and execution of an engagement letter. Deloitte &amp; Touche LLP (“Deloitte”), the Company’s current independent registered public accounting firm, will continue as the Company’s independent registered public accounting firm for the year ending December 31, 2017.</w:t>
      </w:r>
    </w:p>
    <w:p>
      <w:pPr>
        <w:spacing w:after="0" w:line="200" w:lineRule="exact"/>
        <w:rPr>
          <w:sz w:val="20"/>
          <w:szCs w:val="20"/>
          <w:color w:val="auto"/>
        </w:rPr>
      </w:pPr>
    </w:p>
    <w:p>
      <w:pPr>
        <w:spacing w:after="0" w:line="20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Deloitte’s reports on the Company’s consolidated financial statements as of and for the fiscal years ended December 31, 2015 and 2016 did not contain any adverse opinion or disclaimer of opinion, nor were they qualified or modified as to uncertainty, audit scope, or accounting principles.</w:t>
      </w:r>
    </w:p>
    <w:p>
      <w:pPr>
        <w:spacing w:after="0" w:line="36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the fiscal years ended December 31, 2015 and 2016, and the subsequent interim periods through September 25, 2017, there were: (i) no disagreements within the meaning of Item 304(a)(1)(iv) of Regulation S-K and the related instructions between the Company and Deloitte on any matters of accounting principles or practices, financial statement disclosure, or auditing scope or procedure which, if not resolved to Deloitte’s satisfaction, would have caused Deloitte to make reference thereto in their reports; and (ii) no “reportable events” within the meaning of Item 304(a)(1)(v) of Regulation S-K.</w:t>
      </w:r>
    </w:p>
    <w:p>
      <w:pPr>
        <w:spacing w:after="0" w:line="3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requested that Deloitte furnish a letter addressed to the Securities and Exchange Commission stating whether or not it agrees with the above statements. A copy of Deloitte’s letter, dated September 27, 2017, is filed as Exhibit 16.1 to this Form 8-K.</w:t>
      </w:r>
    </w:p>
    <w:p>
      <w:pPr>
        <w:spacing w:after="0" w:line="3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fiscal years ended December 31, 2015 and 2016 and the subsequent interim periods through September 25, 2017, neither the Company nor anyone on its behalf has consulted with EY regarding: (i) the application of accounting principles to a specific transaction, either completed or proposed, or the type of audit opinion that might be rendered on the Company's financial statements, and neither a written report nor oral advice was provided to the Company that EY concluded was an important factor considered by the Company in reaching a decision as to any accounting, auditing, or financial reporting issue; (ii) any matter that was the subject of a disagreement within the meaning of Item 304(a)(1)(iv) of Regulation S-K and the related instructions; or (iii) any reportable event within the meaning of Item 304(a)(1)(v) of Regulation S-K.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EXHIBIT</w:t>
            </w:r>
          </w:p>
        </w:tc>
      </w:tr>
      <w:tr>
        <w:trPr>
          <w:trHeight w:val="574"/>
        </w:trPr>
        <w:tc>
          <w:tcPr>
            <w:tcW w:w="286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3200" w:type="dxa"/>
            <w:vAlign w:val="bottom"/>
            <w:gridSpan w:val="4"/>
          </w:tcPr>
          <w:p>
            <w:pPr>
              <w:spacing w:after="0"/>
              <w:rPr>
                <w:sz w:val="20"/>
                <w:szCs w:val="20"/>
                <w:color w:val="auto"/>
              </w:rPr>
            </w:pPr>
            <w:r>
              <w:rPr>
                <w:rFonts w:ascii="Arial" w:cs="Arial" w:eastAsia="Arial" w:hAnsi="Arial"/>
                <w:sz w:val="18"/>
                <w:szCs w:val="18"/>
                <w:color w:val="auto"/>
              </w:rPr>
              <w:t>Description</w:t>
            </w:r>
          </w:p>
        </w:tc>
      </w:tr>
      <w:tr>
        <w:trPr>
          <w:trHeight w:val="20"/>
        </w:trPr>
        <w:tc>
          <w:tcPr>
            <w:tcW w:w="52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588"/>
        </w:trPr>
        <w:tc>
          <w:tcPr>
            <w:tcW w:w="2860" w:type="dxa"/>
            <w:vAlign w:val="bottom"/>
            <w:gridSpan w:val="2"/>
          </w:tcPr>
          <w:p>
            <w:pPr>
              <w:spacing w:after="0"/>
              <w:rPr>
                <w:sz w:val="20"/>
                <w:szCs w:val="20"/>
                <w:color w:val="auto"/>
              </w:rPr>
            </w:pPr>
            <w:r>
              <w:rPr>
                <w:rFonts w:ascii="Arial" w:cs="Arial" w:eastAsia="Arial" w:hAnsi="Arial"/>
                <w:sz w:val="18"/>
                <w:szCs w:val="18"/>
                <w:color w:val="auto"/>
              </w:rPr>
              <w:t>Exhibit 16.1</w:t>
            </w:r>
          </w:p>
        </w:tc>
        <w:tc>
          <w:tcPr>
            <w:tcW w:w="3200" w:type="dxa"/>
            <w:vAlign w:val="bottom"/>
            <w:gridSpan w:val="4"/>
          </w:tcPr>
          <w:p>
            <w:pPr>
              <w:spacing w:after="0"/>
              <w:rPr>
                <w:rFonts w:ascii="Arial" w:cs="Arial" w:eastAsia="Arial" w:hAnsi="Arial"/>
                <w:sz w:val="20"/>
                <w:szCs w:val="20"/>
                <w:color w:val="0000FF"/>
              </w:rPr>
            </w:pPr>
            <w:hyperlink w:anchor="page4">
              <w:r>
                <w:rPr>
                  <w:rFonts w:ascii="Arial" w:cs="Arial" w:eastAsia="Arial" w:hAnsi="Arial"/>
                  <w:sz w:val="20"/>
                  <w:szCs w:val="20"/>
                  <w:color w:val="0000FF"/>
                </w:rPr>
                <w:t>Letter from Deloitte &amp; Touche LLP</w:t>
              </w:r>
            </w:hyperlink>
          </w:p>
        </w:tc>
      </w:tr>
      <w:tr>
        <w:trPr>
          <w:trHeight w:val="20"/>
        </w:trPr>
        <w:tc>
          <w:tcPr>
            <w:tcW w:w="5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0"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GENERAL MOTORS COMPANY (Registrant)</w:t>
            </w:r>
          </w:p>
        </w:tc>
        <w:tc>
          <w:tcPr>
            <w:tcW w:w="0" w:type="dxa"/>
            <w:vAlign w:val="bottom"/>
          </w:tcPr>
          <w:p>
            <w:pPr>
              <w:spacing w:after="0"/>
              <w:rPr>
                <w:sz w:val="1"/>
                <w:szCs w:val="1"/>
                <w:color w:val="auto"/>
              </w:rPr>
            </w:pPr>
          </w:p>
        </w:tc>
      </w:tr>
      <w:tr>
        <w:trPr>
          <w:trHeight w:val="702"/>
        </w:trPr>
        <w:tc>
          <w:tcPr>
            <w:tcW w:w="36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/s/ THOMAS S. TIMKO</w:t>
            </w:r>
          </w:p>
        </w:tc>
        <w:tc>
          <w:tcPr>
            <w:tcW w:w="0" w:type="dxa"/>
            <w:vAlign w:val="bottom"/>
          </w:tcPr>
          <w:p>
            <w:pPr>
              <w:spacing w:after="0"/>
              <w:rPr>
                <w:sz w:val="1"/>
                <w:szCs w:val="1"/>
                <w:color w:val="auto"/>
              </w:rPr>
            </w:pPr>
          </w:p>
        </w:tc>
      </w:tr>
      <w:tr>
        <w:trPr>
          <w:trHeight w:val="27"/>
        </w:trPr>
        <w:tc>
          <w:tcPr>
            <w:tcW w:w="3680" w:type="dxa"/>
            <w:vAlign w:val="bottom"/>
            <w:vMerge w:val="restart"/>
          </w:tcPr>
          <w:p>
            <w:pPr>
              <w:spacing w:after="0"/>
              <w:rPr>
                <w:sz w:val="20"/>
                <w:szCs w:val="20"/>
                <w:color w:val="auto"/>
              </w:rPr>
            </w:pPr>
            <w:r>
              <w:rPr>
                <w:rFonts w:ascii="Arial" w:cs="Arial" w:eastAsia="Arial" w:hAnsi="Arial"/>
                <w:sz w:val="18"/>
                <w:szCs w:val="18"/>
                <w:color w:val="auto"/>
              </w:rPr>
              <w:t>Date: September 29, 2017</w:t>
            </w:r>
          </w:p>
        </w:tc>
        <w:tc>
          <w:tcPr>
            <w:tcW w:w="2460" w:type="dxa"/>
            <w:vAlign w:val="bottom"/>
            <w:vMerge w:val="restart"/>
          </w:tcPr>
          <w:p>
            <w:pPr>
              <w:ind w:left="180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680" w:type="dxa"/>
            <w:vAlign w:val="bottom"/>
            <w:vMerge w:val="continue"/>
          </w:tcPr>
          <w:p>
            <w:pPr>
              <w:spacing w:after="0"/>
              <w:rPr>
                <w:sz w:val="19"/>
                <w:szCs w:val="19"/>
                <w:color w:val="auto"/>
              </w:rPr>
            </w:pPr>
          </w:p>
        </w:tc>
        <w:tc>
          <w:tcPr>
            <w:tcW w:w="2460" w:type="dxa"/>
            <w:vAlign w:val="bottom"/>
            <w:vMerge w:val="continue"/>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Thomas S. Timko</w:t>
            </w:r>
          </w:p>
        </w:tc>
        <w:tc>
          <w:tcPr>
            <w:tcW w:w="0" w:type="dxa"/>
            <w:vAlign w:val="bottom"/>
          </w:tcPr>
          <w:p>
            <w:pPr>
              <w:spacing w:after="0"/>
              <w:rPr>
                <w:sz w:val="1"/>
                <w:szCs w:val="1"/>
                <w:color w:val="auto"/>
              </w:rPr>
            </w:pPr>
          </w:p>
        </w:tc>
      </w:tr>
      <w:tr>
        <w:trPr>
          <w:trHeight w:val="230"/>
        </w:trPr>
        <w:tc>
          <w:tcPr>
            <w:tcW w:w="36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w w:val="92"/>
              </w:rPr>
              <w:t>Vice President, Global Business Services and Chief Accounting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16.1</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September 27,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20549-7561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Sirs/Madams: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read Item 4.01 of General Motors Company’s Form 8-K dated September 25, 2017, and have the following comments:</w:t>
      </w:r>
    </w:p>
    <w:p>
      <w:pPr>
        <w:spacing w:after="0" w:line="225"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agree with the statements made in the first through fifth paragraphs.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have no basis on which to agree or disagree with the statements in the sixth paragraph.</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Yours truly,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2019-12-29T04:17:11Z</dcterms:created>
  <dcterms:modified xsi:type="dcterms:W3CDTF">2019-12-29T04:17:11Z</dcterms:modified>
</cp:coreProperties>
</file>