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6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Carlisle Stephen K.</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jc w:val="center"/>
              <w:ind w:right="117"/>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11/17/2021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24,306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41.4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83,344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11/17/2021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24,306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64.87</w:t>
            </w:r>
            <w:r>
              <w:rPr>
                <w:rFonts w:ascii="Arial" w:cs="Arial" w:eastAsia="Arial" w:hAnsi="Arial"/>
                <w:sz w:val="21"/>
                <w:szCs w:val="21"/>
                <w:color w:val="008000"/>
                <w:w w:val="80"/>
                <w:vertAlign w:val="superscript"/>
              </w:rPr>
              <w:t>(2)</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59,038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24,306</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24,306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41.4</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11/17/2021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02/11/2028</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$64.85 to $64.97,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February 13, 2018. The options became exercisable in three equal installments on February 13, 2019, February 13, 2020, and February 13, 2021.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11/19/2021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Mr. Carlisle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51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2021-11-19T16:21:07Z</dcterms:created>
  <dcterms:modified xsi:type="dcterms:W3CDTF">2021-11-19T16:21:07Z</dcterms:modified>
</cp:coreProperties>
</file>