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088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0883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675"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Batey Alan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02/10/2019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675"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7"/>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40" w:type="dxa"/>
            <w:vAlign w:val="bottom"/>
            <w:gridSpan w:val="8"/>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00" w:type="dxa"/>
            <w:vAlign w:val="bottom"/>
            <w:tcBorders>
              <w:bottom w:val="single" w:sz="8" w:color="2C2C2C"/>
            </w:tcBorders>
            <w:gridSpan w:val="4"/>
          </w:tcPr>
          <w:p>
            <w:pPr>
              <w:spacing w:after="0"/>
              <w:rPr>
                <w:sz w:val="11"/>
                <w:szCs w:val="11"/>
                <w:color w:val="auto"/>
              </w:rPr>
            </w:pPr>
          </w:p>
        </w:tc>
        <w:tc>
          <w:tcPr>
            <w:tcW w:w="2740" w:type="dxa"/>
            <w:vAlign w:val="bottom"/>
            <w:tcBorders>
              <w:bottom w:val="single" w:sz="8" w:color="2C2C2C"/>
            </w:tcBorders>
            <w:gridSpan w:val="4"/>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466"/>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486"/>
              <w:spacing w:after="0"/>
              <w:rPr>
                <w:sz w:val="20"/>
                <w:szCs w:val="20"/>
                <w:color w:val="auto"/>
              </w:rPr>
            </w:pPr>
            <w:r>
              <w:rPr>
                <w:rFonts w:ascii="Arial" w:cs="Arial" w:eastAsia="Arial" w:hAnsi="Arial"/>
                <w:sz w:val="18"/>
                <w:szCs w:val="18"/>
                <w:color w:val="0000FF"/>
                <w:w w:val="88"/>
              </w:rPr>
              <w:t>02/10/2019</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jc w:val="center"/>
              <w:ind w:left="87"/>
              <w:spacing w:after="0"/>
              <w:rPr>
                <w:sz w:val="20"/>
                <w:szCs w:val="20"/>
                <w:color w:val="auto"/>
              </w:rPr>
            </w:pPr>
            <w:r>
              <w:rPr>
                <w:rFonts w:ascii="Arial" w:cs="Arial" w:eastAsia="Arial" w:hAnsi="Arial"/>
                <w:sz w:val="18"/>
                <w:szCs w:val="18"/>
                <w:color w:val="0000FF"/>
                <w:w w:val="86"/>
              </w:rPr>
              <w:t>121,312</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27"/>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205,906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00" w:type="dxa"/>
            <w:vAlign w:val="bottom"/>
            <w:gridSpan w:val="3"/>
          </w:tcPr>
          <w:p>
            <w:pPr>
              <w:jc w:val="center"/>
              <w:ind w:left="486"/>
              <w:spacing w:after="0"/>
              <w:rPr>
                <w:sz w:val="20"/>
                <w:szCs w:val="20"/>
                <w:color w:val="auto"/>
              </w:rPr>
            </w:pPr>
            <w:r>
              <w:rPr>
                <w:rFonts w:ascii="Arial" w:cs="Arial" w:eastAsia="Arial" w:hAnsi="Arial"/>
                <w:sz w:val="18"/>
                <w:szCs w:val="18"/>
                <w:color w:val="0000FF"/>
                <w:w w:val="88"/>
              </w:rPr>
              <w:t>02/10/2019</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jc w:val="center"/>
              <w:ind w:right="257"/>
              <w:spacing w:after="0"/>
              <w:rPr>
                <w:sz w:val="20"/>
                <w:szCs w:val="20"/>
                <w:color w:val="auto"/>
              </w:rPr>
            </w:pPr>
            <w:r>
              <w:rPr>
                <w:rFonts w:ascii="Arial" w:cs="Arial" w:eastAsia="Arial" w:hAnsi="Arial"/>
                <w:sz w:val="12"/>
                <w:szCs w:val="12"/>
                <w:color w:val="0000FF"/>
                <w:w w:val="81"/>
              </w:rPr>
              <w:t>F</w:t>
            </w:r>
          </w:p>
        </w:tc>
        <w:tc>
          <w:tcPr>
            <w:tcW w:w="760" w:type="dxa"/>
            <w:vAlign w:val="bottom"/>
          </w:tcPr>
          <w:p>
            <w:pPr>
              <w:jc w:val="center"/>
              <w:ind w:left="87"/>
              <w:spacing w:after="0"/>
              <w:rPr>
                <w:sz w:val="20"/>
                <w:szCs w:val="20"/>
                <w:color w:val="auto"/>
              </w:rPr>
            </w:pPr>
            <w:r>
              <w:rPr>
                <w:rFonts w:ascii="Arial" w:cs="Arial" w:eastAsia="Arial" w:hAnsi="Arial"/>
                <w:sz w:val="18"/>
                <w:szCs w:val="18"/>
                <w:color w:val="0000FF"/>
                <w:w w:val="87"/>
              </w:rPr>
              <w:t>51,046</w:t>
            </w:r>
          </w:p>
        </w:tc>
        <w:tc>
          <w:tcPr>
            <w:tcW w:w="660" w:type="dxa"/>
            <w:vAlign w:val="bottom"/>
          </w:tcPr>
          <w:p>
            <w:pPr>
              <w:ind w:left="320"/>
              <w:spacing w:after="0"/>
              <w:rPr>
                <w:sz w:val="20"/>
                <w:szCs w:val="20"/>
                <w:color w:val="auto"/>
              </w:rPr>
            </w:pPr>
            <w:r>
              <w:rPr>
                <w:rFonts w:ascii="Arial" w:cs="Arial" w:eastAsia="Arial" w:hAnsi="Arial"/>
                <w:sz w:val="18"/>
                <w:szCs w:val="18"/>
                <w:color w:val="0000FF"/>
              </w:rPr>
              <w:t>D</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38.7</w:t>
            </w:r>
          </w:p>
        </w:tc>
        <w:tc>
          <w:tcPr>
            <w:tcW w:w="1200" w:type="dxa"/>
            <w:vAlign w:val="bottom"/>
            <w:gridSpan w:val="2"/>
          </w:tcPr>
          <w:p>
            <w:pPr>
              <w:jc w:val="center"/>
              <w:spacing w:after="0"/>
              <w:rPr>
                <w:sz w:val="20"/>
                <w:szCs w:val="20"/>
                <w:color w:val="auto"/>
              </w:rPr>
            </w:pPr>
            <w:r>
              <w:rPr>
                <w:rFonts w:ascii="Arial" w:cs="Arial" w:eastAsia="Arial" w:hAnsi="Arial"/>
                <w:sz w:val="18"/>
                <w:szCs w:val="18"/>
                <w:color w:val="0000FF"/>
                <w:w w:val="86"/>
              </w:rPr>
              <w:t>154,860</w:t>
            </w:r>
          </w:p>
        </w:tc>
        <w:tc>
          <w:tcPr>
            <w:tcW w:w="280" w:type="dxa"/>
            <w:vAlign w:val="bottom"/>
          </w:tcPr>
          <w:p>
            <w:pPr>
              <w:spacing w:after="0"/>
              <w:rPr>
                <w:sz w:val="23"/>
                <w:szCs w:val="23"/>
                <w:color w:val="auto"/>
              </w:rPr>
            </w:pPr>
          </w:p>
        </w:tc>
        <w:tc>
          <w:tcPr>
            <w:tcW w:w="700" w:type="dxa"/>
            <w:vAlign w:val="bottom"/>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(2)</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486"/>
              <w:spacing w:after="0"/>
              <w:rPr>
                <w:sz w:val="20"/>
                <w:szCs w:val="20"/>
                <w:color w:val="auto"/>
              </w:rPr>
            </w:pPr>
            <w:r>
              <w:rPr>
                <w:rFonts w:ascii="Arial" w:cs="Arial" w:eastAsia="Arial" w:hAnsi="Arial"/>
                <w:sz w:val="18"/>
                <w:szCs w:val="18"/>
                <w:color w:val="0000FF"/>
                <w:w w:val="88"/>
              </w:rPr>
              <w:t>02/10/2019</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7"/>
              <w:spacing w:after="0"/>
              <w:rPr>
                <w:sz w:val="20"/>
                <w:szCs w:val="20"/>
                <w:color w:val="auto"/>
              </w:rPr>
            </w:pPr>
            <w:r>
              <w:rPr>
                <w:rFonts w:ascii="Arial" w:cs="Arial" w:eastAsia="Arial" w:hAnsi="Arial"/>
                <w:sz w:val="14"/>
                <w:szCs w:val="14"/>
                <w:color w:val="0000FF"/>
              </w:rPr>
              <w:t>M</w:t>
            </w:r>
          </w:p>
        </w:tc>
        <w:tc>
          <w:tcPr>
            <w:tcW w:w="760" w:type="dxa"/>
            <w:vAlign w:val="bottom"/>
            <w:tcBorders>
              <w:bottom w:val="single" w:sz="8" w:color="2C2C2C"/>
            </w:tcBorders>
          </w:tcPr>
          <w:p>
            <w:pPr>
              <w:jc w:val="center"/>
              <w:ind w:left="87"/>
              <w:spacing w:after="0"/>
              <w:rPr>
                <w:sz w:val="20"/>
                <w:szCs w:val="20"/>
                <w:color w:val="auto"/>
              </w:rPr>
            </w:pPr>
            <w:r>
              <w:rPr>
                <w:rFonts w:ascii="Arial" w:cs="Arial" w:eastAsia="Arial" w:hAnsi="Arial"/>
                <w:sz w:val="18"/>
                <w:szCs w:val="18"/>
                <w:color w:val="0000FF"/>
                <w:w w:val="88"/>
              </w:rPr>
              <w:t>8,120</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27"/>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162,980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00" w:type="dxa"/>
            <w:vAlign w:val="bottom"/>
            <w:gridSpan w:val="3"/>
          </w:tcPr>
          <w:p>
            <w:pPr>
              <w:jc w:val="center"/>
              <w:ind w:left="486"/>
              <w:spacing w:after="0"/>
              <w:rPr>
                <w:sz w:val="20"/>
                <w:szCs w:val="20"/>
                <w:color w:val="auto"/>
              </w:rPr>
            </w:pPr>
            <w:r>
              <w:rPr>
                <w:rFonts w:ascii="Arial" w:cs="Arial" w:eastAsia="Arial" w:hAnsi="Arial"/>
                <w:sz w:val="18"/>
                <w:szCs w:val="18"/>
                <w:color w:val="0000FF"/>
                <w:w w:val="88"/>
              </w:rPr>
              <w:t>02/10/2019</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jc w:val="center"/>
              <w:ind w:right="257"/>
              <w:spacing w:after="0"/>
              <w:rPr>
                <w:sz w:val="20"/>
                <w:szCs w:val="20"/>
                <w:color w:val="auto"/>
              </w:rPr>
            </w:pPr>
            <w:r>
              <w:rPr>
                <w:rFonts w:ascii="Arial" w:cs="Arial" w:eastAsia="Arial" w:hAnsi="Arial"/>
                <w:sz w:val="12"/>
                <w:szCs w:val="12"/>
                <w:color w:val="0000FF"/>
                <w:w w:val="81"/>
              </w:rPr>
              <w:t>F</w:t>
            </w:r>
          </w:p>
        </w:tc>
        <w:tc>
          <w:tcPr>
            <w:tcW w:w="760" w:type="dxa"/>
            <w:vAlign w:val="bottom"/>
          </w:tcPr>
          <w:p>
            <w:pPr>
              <w:jc w:val="center"/>
              <w:ind w:left="87"/>
              <w:spacing w:after="0"/>
              <w:rPr>
                <w:sz w:val="20"/>
                <w:szCs w:val="20"/>
                <w:color w:val="auto"/>
              </w:rPr>
            </w:pPr>
            <w:r>
              <w:rPr>
                <w:rFonts w:ascii="Arial" w:cs="Arial" w:eastAsia="Arial" w:hAnsi="Arial"/>
                <w:sz w:val="18"/>
                <w:szCs w:val="18"/>
                <w:color w:val="0000FF"/>
                <w:w w:val="88"/>
              </w:rPr>
              <w:t>2,181</w:t>
            </w:r>
          </w:p>
        </w:tc>
        <w:tc>
          <w:tcPr>
            <w:tcW w:w="660" w:type="dxa"/>
            <w:vAlign w:val="bottom"/>
          </w:tcPr>
          <w:p>
            <w:pPr>
              <w:ind w:left="320"/>
              <w:spacing w:after="0"/>
              <w:rPr>
                <w:sz w:val="20"/>
                <w:szCs w:val="20"/>
                <w:color w:val="auto"/>
              </w:rPr>
            </w:pPr>
            <w:r>
              <w:rPr>
                <w:rFonts w:ascii="Arial" w:cs="Arial" w:eastAsia="Arial" w:hAnsi="Arial"/>
                <w:sz w:val="18"/>
                <w:szCs w:val="18"/>
                <w:color w:val="0000FF"/>
              </w:rPr>
              <w:t>D</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38.7</w:t>
            </w:r>
          </w:p>
        </w:tc>
        <w:tc>
          <w:tcPr>
            <w:tcW w:w="1200" w:type="dxa"/>
            <w:vAlign w:val="bottom"/>
            <w:gridSpan w:val="2"/>
          </w:tcPr>
          <w:p>
            <w:pPr>
              <w:jc w:val="center"/>
              <w:spacing w:after="0"/>
              <w:rPr>
                <w:sz w:val="20"/>
                <w:szCs w:val="20"/>
                <w:color w:val="auto"/>
              </w:rPr>
            </w:pPr>
            <w:r>
              <w:rPr>
                <w:rFonts w:ascii="Arial" w:cs="Arial" w:eastAsia="Arial" w:hAnsi="Arial"/>
                <w:sz w:val="18"/>
                <w:szCs w:val="18"/>
                <w:color w:val="0000FF"/>
                <w:w w:val="86"/>
              </w:rPr>
              <w:t>160,799</w:t>
            </w:r>
          </w:p>
        </w:tc>
        <w:tc>
          <w:tcPr>
            <w:tcW w:w="280" w:type="dxa"/>
            <w:vAlign w:val="bottom"/>
          </w:tcPr>
          <w:p>
            <w:pPr>
              <w:spacing w:after="0"/>
              <w:rPr>
                <w:sz w:val="23"/>
                <w:szCs w:val="23"/>
                <w:color w:val="auto"/>
              </w:rPr>
            </w:pPr>
          </w:p>
        </w:tc>
        <w:tc>
          <w:tcPr>
            <w:tcW w:w="700" w:type="dxa"/>
            <w:vAlign w:val="bottom"/>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486"/>
              <w:spacing w:after="0"/>
              <w:rPr>
                <w:sz w:val="20"/>
                <w:szCs w:val="20"/>
                <w:color w:val="auto"/>
              </w:rPr>
            </w:pPr>
            <w:r>
              <w:rPr>
                <w:rFonts w:ascii="Arial" w:cs="Arial" w:eastAsia="Arial" w:hAnsi="Arial"/>
                <w:sz w:val="18"/>
                <w:szCs w:val="18"/>
                <w:color w:val="0000FF"/>
                <w:w w:val="88"/>
              </w:rPr>
              <w:t>02/11/2019</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7"/>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center"/>
              <w:ind w:left="87"/>
              <w:spacing w:after="0"/>
              <w:rPr>
                <w:sz w:val="20"/>
                <w:szCs w:val="20"/>
                <w:color w:val="auto"/>
              </w:rPr>
            </w:pPr>
            <w:r>
              <w:rPr>
                <w:rFonts w:ascii="Arial" w:cs="Arial" w:eastAsia="Arial" w:hAnsi="Arial"/>
                <w:sz w:val="18"/>
                <w:szCs w:val="18"/>
                <w:color w:val="0000FF"/>
                <w:w w:val="87"/>
              </w:rPr>
              <w:t>70,266</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38.39</w:t>
            </w:r>
            <w:r>
              <w:rPr>
                <w:rFonts w:ascii="Arial" w:cs="Arial" w:eastAsia="Arial" w:hAnsi="Arial"/>
                <w:sz w:val="22"/>
                <w:szCs w:val="22"/>
                <w:color w:val="008000"/>
                <w:w w:val="84"/>
                <w:vertAlign w:val="superscript"/>
              </w:rPr>
              <w:t>(4)</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90,533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jc w:val="center"/>
              <w:ind w:left="76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40" w:type="dxa"/>
            <w:vAlign w:val="bottom"/>
            <w:gridSpan w:val="11"/>
          </w:tcPr>
          <w:p>
            <w:pPr>
              <w:jc w:val="center"/>
              <w:ind w:left="326"/>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right"/>
              <w:ind w:right="387"/>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8,120</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02/10/2019</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8,120</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(6)</w:t>
            </w:r>
          </w:p>
        </w:tc>
        <w:tc>
          <w:tcPr>
            <w:tcW w:w="760" w:type="dxa"/>
            <w:vAlign w:val="bottom"/>
            <w:vMerge w:val="restart"/>
          </w:tcPr>
          <w:p>
            <w:pPr>
              <w:ind w:left="260"/>
              <w:spacing w:after="0"/>
              <w:rPr>
                <w:sz w:val="20"/>
                <w:szCs w:val="20"/>
                <w:color w:val="auto"/>
              </w:rPr>
            </w:pPr>
            <w:r>
              <w:rPr>
                <w:rFonts w:ascii="Arial" w:cs="Arial" w:eastAsia="Arial" w:hAnsi="Arial"/>
                <w:sz w:val="11"/>
                <w:szCs w:val="11"/>
                <w:color w:val="008000"/>
              </w:rPr>
              <w:t>(6)</w:t>
            </w: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380"/>
              <w:spacing w:after="0" w:line="146"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7"/>
                <w:szCs w:val="7"/>
                <w:color w:val="auto"/>
              </w:rPr>
            </w:pPr>
          </w:p>
        </w:tc>
        <w:tc>
          <w:tcPr>
            <w:tcW w:w="700" w:type="dxa"/>
            <w:vAlign w:val="bottom"/>
            <w:vMerge w:val="restart"/>
          </w:tcPr>
          <w:p>
            <w:pPr>
              <w:jc w:val="right"/>
              <w:ind w:right="187"/>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(5)</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10, 2016, the Reporting Person received a grant of Performance Stock Units ("PSUs") under the Company's 2014 Long-Term Incentive Plan (the "2014 LTIP"). Under the grant, the PSUs could be earned based on the achievement of certain financial targets. The PSUs vested on February 10, 2019, and were awarded in shares of Common Stock.</w:t>
      </w:r>
    </w:p>
    <w:p>
      <w:pPr>
        <w:spacing w:after="0" w:line="30" w:lineRule="exact"/>
        <w:rPr>
          <w:rFonts w:ascii="Arial" w:cs="Arial" w:eastAsia="Arial" w:hAnsi="Arial"/>
          <w:sz w:val="14"/>
          <w:szCs w:val="14"/>
          <w:color w:val="008000"/>
        </w:rPr>
      </w:pPr>
    </w:p>
    <w:p>
      <w:pPr>
        <w:ind w:left="40" w:right="7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and delivered upon the vesting of a grant of Restricted Stock Units ("RSUs") awarded to the Reporting Person on February 10, 2016, under the Company's 2014 LTIP.</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in this Form 4 were effected pursuant to a Rule 10b5-1 trading plan.</w:t>
      </w:r>
    </w:p>
    <w:p>
      <w:pPr>
        <w:spacing w:after="0" w:line="41" w:lineRule="exact"/>
        <w:rPr>
          <w:rFonts w:ascii="Arial" w:cs="Arial" w:eastAsia="Arial" w:hAnsi="Arial"/>
          <w:sz w:val="14"/>
          <w:szCs w:val="14"/>
          <w:color w:val="008000"/>
        </w:rPr>
      </w:pPr>
    </w:p>
    <w:p>
      <w:pPr>
        <w:ind w:left="40" w:right="1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selling price of the shares. The shares were sold in multiple transactions at prices from $38.28 to $38.57, inclusive. The Reporting Person undertakes to provide to the SEC, the Company and any security holder, upon request, full information regarding the number of shares sold at each price point within the ranges set forth in this footnote.</w:t>
      </w:r>
    </w:p>
    <w:p>
      <w:pPr>
        <w:ind w:left="40" w:right="4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RSUs were awarded on February 10, 2016, under the 2014 LTIP. One-third of the RSUs vested on February 10, 2017, February 10, 2018, and February 10, 2019, respectively. Each RSU represents a right to receive one share of the Company's Common Stock upon settlement.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RSUs do not have a conversion or exercise price, or a date on which they are exercisable or expire.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02/12/2019</w:t>
            </w:r>
          </w:p>
        </w:tc>
        <w:tc>
          <w:tcPr>
            <w:tcW w:w="0" w:type="dxa"/>
            <w:vAlign w:val="bottom"/>
          </w:tcPr>
          <w:p>
            <w:pPr>
              <w:spacing w:after="0"/>
              <w:rPr>
                <w:sz w:val="1"/>
                <w:szCs w:val="1"/>
                <w:color w:val="auto"/>
              </w:rPr>
            </w:pPr>
          </w:p>
        </w:tc>
      </w:tr>
      <w:tr>
        <w:trPr>
          <w:trHeight w:val="88"/>
        </w:trPr>
        <w:tc>
          <w:tcPr>
            <w:tcW w:w="21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Batey</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67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633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2019-12-24T07:37:47Z</dcterms:created>
  <dcterms:modified xsi:type="dcterms:W3CDTF">2019-12-24T07:37:47Z</dcterms:modified>
</cp:coreProperties>
</file>